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540" w:type="dxa"/>
            <w:vAlign w:val="bottom"/>
          </w:tcPr>
          <w:p>
            <w:pPr>
              <w:ind w:left="20"/>
              <w:spacing w:after="0"/>
              <w:rPr>
                <w:sz w:val="20"/>
                <w:szCs w:val="20"/>
                <w:color w:val="auto"/>
              </w:rPr>
            </w:pPr>
            <w:r>
              <w:rPr>
                <w:rFonts w:ascii="Arial" w:cs="Arial" w:eastAsia="Arial" w:hAnsi="Arial"/>
                <w:sz w:val="14"/>
                <w:szCs w:val="14"/>
                <w:color w:val="auto"/>
                <w:w w:val="98"/>
              </w:rPr>
              <w:t>(Middle)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660" w:type="dxa"/>
            <w:vAlign w:val="bottom"/>
          </w:tcPr>
          <w:p>
            <w:pPr>
              <w:spacing w:after="0"/>
              <w:rPr>
                <w:sz w:val="19"/>
                <w:szCs w:val="19"/>
                <w:color w:val="auto"/>
              </w:rPr>
            </w:pPr>
          </w:p>
        </w:tc>
        <w:tc>
          <w:tcPr>
            <w:tcW w:w="1580" w:type="dxa"/>
            <w:vAlign w:val="bottom"/>
            <w:gridSpan w:val="6"/>
          </w:tcPr>
          <w:p>
            <w:pPr>
              <w:ind w:left="240"/>
              <w:spacing w:after="0"/>
              <w:rPr>
                <w:sz w:val="20"/>
                <w:szCs w:val="20"/>
                <w:color w:val="auto"/>
              </w:rPr>
            </w:pPr>
            <w:r>
              <w:rPr>
                <w:rFonts w:ascii="Arial" w:cs="Arial" w:eastAsia="Arial" w:hAnsi="Arial"/>
                <w:sz w:val="18"/>
                <w:szCs w:val="18"/>
                <w:color w:val="0000FF"/>
              </w:rPr>
              <w:t>08/16/2013</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7"/>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540" w:type="dxa"/>
            <w:vAlign w:val="bottom"/>
          </w:tcPr>
          <w:p>
            <w:pPr>
              <w:ind w:left="20"/>
              <w:spacing w:after="0"/>
              <w:rPr>
                <w:sz w:val="20"/>
                <w:szCs w:val="20"/>
                <w:color w:val="auto"/>
              </w:rPr>
            </w:pPr>
            <w:r>
              <w:rPr>
                <w:rFonts w:ascii="Arial" w:cs="Arial" w:eastAsia="Arial" w:hAnsi="Arial"/>
                <w:sz w:val="18"/>
                <w:szCs w:val="18"/>
                <w:color w:val="0000FF"/>
                <w:w w:val="99"/>
              </w:rPr>
              <w:t>10017</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line="136" w:lineRule="exact"/>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540" w:type="dxa"/>
            <w:vAlign w:val="bottom"/>
          </w:tcPr>
          <w:p>
            <w:pPr>
              <w:ind w:left="20"/>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5"/>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8"/>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0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w w:val="99"/>
              </w:rPr>
              <w:t>08/16/2013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5,000</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720" w:type="dxa"/>
            <w:vAlign w:val="bottom"/>
            <w:gridSpan w:val="3"/>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11.875</w:t>
            </w:r>
          </w:p>
        </w:tc>
        <w:tc>
          <w:tcPr>
            <w:tcW w:w="160" w:type="dxa"/>
            <w:vAlign w:val="bottom"/>
          </w:tcPr>
          <w:p>
            <w:pPr>
              <w:spacing w:after="0"/>
              <w:rPr>
                <w:sz w:val="22"/>
                <w:szCs w:val="22"/>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25,000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w w:val="99"/>
              </w:rPr>
              <w:t>08/16/2013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5,000</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26.8126</w:t>
            </w:r>
            <w:r>
              <w:rPr>
                <w:rFonts w:ascii="Arial" w:cs="Arial" w:eastAsia="Arial" w:hAnsi="Arial"/>
                <w:sz w:val="22"/>
                <w:szCs w:val="22"/>
                <w:color w:val="008000"/>
                <w:w w:val="85"/>
                <w:vertAlign w:val="superscript"/>
              </w:rPr>
              <w:t>(2)</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20,000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jc w:val="center"/>
              <w:ind w:left="3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4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6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0000FF"/>
                <w:w w:val="84"/>
              </w:rPr>
              <w:t>Common</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vMerge w:val="restart"/>
          </w:tcPr>
          <w:p>
            <w:pPr>
              <w:jc w:val="right"/>
              <w:ind w:right="35"/>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6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11.875</w:t>
            </w:r>
          </w:p>
        </w:tc>
        <w:tc>
          <w:tcPr>
            <w:tcW w:w="160" w:type="dxa"/>
            <w:vAlign w:val="bottom"/>
          </w:tcPr>
          <w:p>
            <w:pPr>
              <w:spacing w:after="0"/>
              <w:rPr>
                <w:sz w:val="12"/>
                <w:szCs w:val="12"/>
                <w:color w:val="auto"/>
              </w:rPr>
            </w:pPr>
          </w:p>
        </w:tc>
        <w:tc>
          <w:tcPr>
            <w:tcW w:w="10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0000FF"/>
              </w:rPr>
              <w:t>08/16/2013</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5,000</w:t>
            </w:r>
          </w:p>
        </w:tc>
        <w:tc>
          <w:tcPr>
            <w:tcW w:w="820" w:type="dxa"/>
            <w:vAlign w:val="bottom"/>
            <w:vMerge w:val="continue"/>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85"/>
              </w:rPr>
              <w:t>06/23/2015</w:t>
            </w:r>
          </w:p>
        </w:tc>
        <w:tc>
          <w:tcPr>
            <w:tcW w:w="540" w:type="dxa"/>
            <w:vAlign w:val="bottom"/>
          </w:tcPr>
          <w:p>
            <w:pPr>
              <w:ind w:left="4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20,000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0000FF"/>
                <w:w w:val="97"/>
              </w:rPr>
              <w:t>$0.001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0000FF"/>
                <w:w w:val="81"/>
              </w:rPr>
              <w:t>per share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August 16, 2013 the reporting person exercised previously issued options to purchase an aggregate of 5,000 shares of common stock of ExlService Holdings, Inc.</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$26.76 to $26.92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20,000 of these options are currently vested and exercisable.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08/20/2013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2019-12-16T15:44:19Z</dcterms:created>
  <dcterms:modified xsi:type="dcterms:W3CDTF">2019-12-16T15:44:19Z</dcterms:modified>
</cp:coreProperties>
</file>