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4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-10160</wp:posOffset>
            </wp:positionV>
            <wp:extent cx="883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EXLSERVICE HOLDINGS, INC.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6640" w:type="dxa"/>
            <w:vAlign w:val="bottom"/>
          </w:tcPr>
          <w:p>
            <w:pPr>
              <w:jc w:val="center"/>
              <w:ind w:right="2924"/>
              <w:spacing w:after="0"/>
              <w:rPr>
                <w:sz w:val="20"/>
                <w:szCs w:val="20"/>
                <w:color w:val="auto"/>
              </w:rPr>
            </w:pPr>
            <w:r>
              <w:rPr>
                <w:rFonts w:ascii="Arial" w:cs="Arial" w:eastAsia="Arial" w:hAnsi="Arial"/>
                <w:sz w:val="18"/>
                <w:szCs w:val="18"/>
                <w:b w:val="1"/>
                <w:bCs w:val="1"/>
                <w:color w:val="auto"/>
                <w:w w:val="96"/>
              </w:rPr>
              <w:t>DELAWARE</w:t>
            </w:r>
          </w:p>
        </w:tc>
        <w:tc>
          <w:tcPr>
            <w:tcW w:w="1560" w:type="dxa"/>
            <w:vAlign w:val="bottom"/>
          </w:tcPr>
          <w:p>
            <w:pPr>
              <w:jc w:val="right"/>
              <w:ind w:right="6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640" w:type="dxa"/>
            <w:vAlign w:val="bottom"/>
          </w:tcPr>
          <w:p>
            <w:pPr>
              <w:jc w:val="center"/>
              <w:ind w:right="29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6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40" w:type="dxa"/>
            <w:vAlign w:val="bottom"/>
          </w:tcPr>
          <w:p>
            <w:pPr>
              <w:jc w:val="center"/>
              <w:ind w:right="2904"/>
              <w:spacing w:after="0"/>
              <w:rPr>
                <w:sz w:val="20"/>
                <w:szCs w:val="20"/>
                <w:color w:val="auto"/>
              </w:rPr>
            </w:pPr>
            <w:r>
              <w:rPr>
                <w:rFonts w:ascii="Arial" w:cs="Arial" w:eastAsia="Arial" w:hAnsi="Arial"/>
                <w:sz w:val="14"/>
                <w:szCs w:val="14"/>
                <w:b w:val="1"/>
                <w:bCs w:val="1"/>
                <w:color w:val="auto"/>
                <w:w w:val="89"/>
              </w:rPr>
              <w:t>Incorporation or organization)</w:t>
            </w:r>
          </w:p>
        </w:tc>
        <w:tc>
          <w:tcPr>
            <w:tcW w:w="1560" w:type="dxa"/>
            <w:vAlign w:val="bottom"/>
          </w:tcPr>
          <w:p>
            <w:pPr>
              <w:jc w:val="center"/>
              <w:ind w:left="384"/>
              <w:spacing w:after="0"/>
              <w:rPr>
                <w:sz w:val="20"/>
                <w:szCs w:val="20"/>
                <w:color w:val="auto"/>
              </w:rPr>
            </w:pPr>
            <w:r>
              <w:rPr>
                <w:rFonts w:ascii="Arial" w:cs="Arial" w:eastAsia="Arial" w:hAnsi="Arial"/>
                <w:sz w:val="14"/>
                <w:szCs w:val="14"/>
                <w:b w:val="1"/>
                <w:bCs w:val="1"/>
                <w:color w:val="auto"/>
                <w:w w:val="90"/>
              </w:rPr>
              <w:t>Identification No. )</w:t>
            </w:r>
          </w:p>
        </w:tc>
      </w:tr>
      <w:tr>
        <w:trPr>
          <w:trHeight w:val="406"/>
        </w:trPr>
        <w:tc>
          <w:tcPr>
            <w:tcW w:w="6640" w:type="dxa"/>
            <w:vAlign w:val="bottom"/>
          </w:tcPr>
          <w:p>
            <w:pPr>
              <w:jc w:val="center"/>
              <w:ind w:right="290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60" w:type="dxa"/>
            <w:vAlign w:val="bottom"/>
          </w:tcPr>
          <w:p>
            <w:pPr>
              <w:jc w:val="right"/>
              <w:ind w:right="264"/>
              <w:spacing w:after="0"/>
              <w:rPr>
                <w:sz w:val="20"/>
                <w:szCs w:val="20"/>
                <w:color w:val="auto"/>
              </w:rPr>
            </w:pPr>
            <w:r>
              <w:rPr>
                <w:rFonts w:ascii="Arial" w:cs="Arial" w:eastAsia="Arial" w:hAnsi="Arial"/>
                <w:sz w:val="18"/>
                <w:szCs w:val="18"/>
                <w:b w:val="1"/>
                <w:bCs w:val="1"/>
                <w:color w:val="auto"/>
              </w:rPr>
              <w:t>10022</w:t>
            </w:r>
          </w:p>
        </w:tc>
      </w:tr>
      <w:tr>
        <w:trPr>
          <w:trHeight w:val="174"/>
        </w:trPr>
        <w:tc>
          <w:tcPr>
            <w:tcW w:w="6640" w:type="dxa"/>
            <w:vAlign w:val="bottom"/>
          </w:tcPr>
          <w:p>
            <w:pPr>
              <w:jc w:val="center"/>
              <w:ind w:right="29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60" w:type="dxa"/>
            <w:vAlign w:val="bottom"/>
          </w:tcPr>
          <w:p>
            <w:pPr>
              <w:jc w:val="center"/>
              <w:ind w:left="384"/>
              <w:spacing w:after="0"/>
              <w:rPr>
                <w:sz w:val="20"/>
                <w:szCs w:val="20"/>
                <w:color w:val="auto"/>
              </w:rPr>
            </w:pPr>
            <w:r>
              <w:rPr>
                <w:rFonts w:ascii="Arial" w:cs="Arial" w:eastAsia="Arial" w:hAnsi="Arial"/>
                <w:sz w:val="14"/>
                <w:szCs w:val="14"/>
                <w:b w:val="1"/>
                <w:bCs w:val="1"/>
                <w:color w:val="auto"/>
                <w:w w:val="86"/>
              </w:rPr>
              <w:t>(Zip code)</w:t>
            </w:r>
          </w:p>
        </w:tc>
      </w:tr>
      <w:tr>
        <w:trPr>
          <w:trHeight w:val="352"/>
        </w:trPr>
        <w:tc>
          <w:tcPr>
            <w:tcW w:w="6640" w:type="dxa"/>
            <w:vAlign w:val="bottom"/>
          </w:tcPr>
          <w:p>
            <w:pPr>
              <w:jc w:val="right"/>
              <w:ind w:right="1344"/>
              <w:spacing w:after="0"/>
              <w:rPr>
                <w:sz w:val="20"/>
                <w:szCs w:val="20"/>
                <w:color w:val="auto"/>
              </w:rPr>
            </w:pPr>
            <w:r>
              <w:rPr>
                <w:rFonts w:ascii="Arial" w:cs="Arial" w:eastAsia="Arial" w:hAnsi="Arial"/>
                <w:sz w:val="18"/>
                <w:szCs w:val="18"/>
                <w:b w:val="1"/>
                <w:bCs w:val="1"/>
                <w:color w:val="auto"/>
              </w:rPr>
              <w:t>(212) 277-7100</w:t>
            </w:r>
          </w:p>
        </w:tc>
        <w:tc>
          <w:tcPr>
            <w:tcW w:w="1560" w:type="dxa"/>
            <w:vAlign w:val="bottom"/>
          </w:tcPr>
          <w:p>
            <w:pPr>
              <w:spacing w:after="0"/>
              <w:rPr>
                <w:sz w:val="24"/>
                <w:szCs w:val="24"/>
                <w:color w:val="auto"/>
              </w:rPr>
            </w:pPr>
          </w:p>
        </w:tc>
      </w:tr>
      <w:tr>
        <w:trPr>
          <w:trHeight w:val="174"/>
        </w:trPr>
        <w:tc>
          <w:tcPr>
            <w:tcW w:w="6640" w:type="dxa"/>
            <w:vAlign w:val="bottom"/>
          </w:tcPr>
          <w:p>
            <w:pPr>
              <w:jc w:val="center"/>
              <w:ind w:left="262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60" w:type="dxa"/>
            <w:vAlign w:val="bottom"/>
          </w:tcPr>
          <w:p>
            <w:pPr>
              <w:spacing w:after="0"/>
              <w:rPr>
                <w:sz w:val="15"/>
                <w:szCs w:val="15"/>
                <w:color w:val="auto"/>
              </w:rPr>
            </w:pPr>
          </w:p>
        </w:tc>
      </w:tr>
    </w:tbl>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940"/>
        <w:spacing w:after="0" w:line="207" w:lineRule="exact"/>
        <w:tabs>
          <w:tab w:leader="none" w:pos="5000" w:val="left"/>
          <w:tab w:leader="none" w:pos="66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 As of July 31, 2007, there were 28,571,303 shares of the registrant’s common stock outstanding (excluding 149,138 shares held in treasury),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p>
      <w:pPr>
        <w:ind w:left="11020"/>
        <w:spacing w:after="0"/>
        <w:rPr>
          <w:sz w:val="20"/>
          <w:szCs w:val="20"/>
          <w:color w:val="auto"/>
        </w:rPr>
      </w:pPr>
      <w:r>
        <w:rPr>
          <w:rFonts w:ascii="Arial" w:cs="Arial" w:eastAsia="Arial" w:hAnsi="Arial"/>
          <w:sz w:val="14"/>
          <w:szCs w:val="14"/>
          <w:b w:val="1"/>
          <w:bCs w:val="1"/>
          <w:u w:val="single" w:color="auto"/>
          <w:color w:val="auto"/>
        </w:rPr>
        <w:t>PAGE</w:t>
      </w:r>
    </w:p>
    <w:p>
      <w:pPr>
        <w:spacing w:after="0" w:line="13" w:lineRule="exact"/>
        <w:rPr>
          <w:sz w:val="20"/>
          <w:szCs w:val="20"/>
          <w:color w:val="auto"/>
        </w:rPr>
      </w:pPr>
    </w:p>
    <w:p>
      <w:pPr>
        <w:ind w:left="8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9" w:lineRule="exact"/>
        <w:rPr>
          <w:sz w:val="20"/>
          <w:szCs w:val="20"/>
          <w:color w:val="auto"/>
        </w:rPr>
      </w:pPr>
    </w:p>
    <w:p>
      <w:pPr>
        <w:ind w:left="840" w:hanging="832"/>
        <w:spacing w:after="0"/>
        <w:tabs>
          <w:tab w:leader="none" w:pos="840" w:val="left"/>
        </w:tabs>
        <w:numPr>
          <w:ilvl w:val="0"/>
          <w:numId w:val="3"/>
        </w:numPr>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60" w:type="dxa"/>
            <w:vAlign w:val="bottom"/>
            <w:tcBorders>
              <w:bottom w:val="single" w:sz="8" w:color="0000EE"/>
            </w:tcBorders>
            <w:gridSpan w:val="13"/>
          </w:tcPr>
          <w:p>
            <w:pPr>
              <w:spacing w:after="0" w:line="187"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June 30, 2007 and December 31, 2006</w:t>
              </w:r>
            </w:hyperlink>
          </w:p>
        </w:tc>
        <w:tc>
          <w:tcPr>
            <w:tcW w:w="3340" w:type="dxa"/>
            <w:vAlign w:val="bottom"/>
            <w:gridSpan w:val="3"/>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8"/>
                <w:szCs w:val="18"/>
                <w:color w:val="auto"/>
              </w:rPr>
              <w:t>1</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Income (Unaudited) for the Three Months Ended and Six Months Ended June 30, 2007 and 2006</w:t>
              </w:r>
            </w:hyperlink>
          </w:p>
        </w:tc>
        <w:tc>
          <w:tcPr>
            <w:tcW w:w="6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Six Months Ended June 30, 2007 and 2006</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Unaudited Consolidated Financial Statements</w:t>
              </w:r>
            </w:hyperlink>
          </w:p>
        </w:tc>
        <w:tc>
          <w:tcPr>
            <w:tcW w:w="3400" w:type="dxa"/>
            <w:vAlign w:val="bottom"/>
            <w:tcBorders>
              <w:top w:val="single" w:sz="8" w:color="0000EE"/>
            </w:tcBorders>
            <w:gridSpan w:val="3"/>
          </w:tcPr>
          <w:p>
            <w:pPr>
              <w:spacing w:after="0"/>
              <w:rPr>
                <w:sz w:val="17"/>
                <w:szCs w:val="17"/>
                <w:color w:val="auto"/>
              </w:rPr>
            </w:pPr>
          </w:p>
        </w:tc>
        <w:tc>
          <w:tcPr>
            <w:tcW w:w="214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63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52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Quantitative and Qualitative Disclosures About Market Risk</w:t>
              </w:r>
            </w:hyperlink>
          </w:p>
        </w:tc>
        <w:tc>
          <w:tcPr>
            <w:tcW w:w="556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Controls and Procedures</w:t>
              </w:r>
            </w:hyperlink>
          </w:p>
        </w:tc>
        <w:tc>
          <w:tcPr>
            <w:tcW w:w="810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0000EE"/>
            </w:tcBorders>
            <w:gridSpan w:val="8"/>
          </w:tcPr>
          <w:p>
            <w:pPr>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 OTHER INFORMATION</w:t>
              </w:r>
            </w:hyperlink>
          </w:p>
        </w:tc>
        <w:tc>
          <w:tcPr>
            <w:tcW w:w="712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Legal Proceedings</w:t>
              </w:r>
            </w:hyperlink>
          </w:p>
        </w:tc>
        <w:tc>
          <w:tcPr>
            <w:tcW w:w="852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840" w:type="dxa"/>
            <w:vAlign w:val="bottom"/>
            <w:gridSpan w:val="2"/>
          </w:tcPr>
          <w:p>
            <w:pPr>
              <w:spacing w:after="0" w:line="196" w:lineRule="exact"/>
              <w:rPr>
                <w:sz w:val="20"/>
                <w:szCs w:val="20"/>
                <w:color w:val="auto"/>
              </w:rPr>
            </w:pPr>
            <w:r>
              <w:rPr>
                <w:rFonts w:ascii="Arial" w:cs="Arial" w:eastAsia="Arial" w:hAnsi="Arial"/>
                <w:sz w:val="18"/>
                <w:szCs w:val="18"/>
                <w:color w:val="auto"/>
              </w:rPr>
              <w:t>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0">
              <w:r>
                <w:rPr>
                  <w:rFonts w:ascii="Arial" w:cs="Arial" w:eastAsia="Arial" w:hAnsi="Arial"/>
                  <w:sz w:val="18"/>
                  <w:szCs w:val="18"/>
                  <w:color w:val="0000EE"/>
                  <w:w w:val="85"/>
                </w:rPr>
                <w:t>Risk Factors</w:t>
              </w:r>
            </w:hyperlink>
          </w:p>
        </w:tc>
        <w:tc>
          <w:tcPr>
            <w:tcW w:w="8940" w:type="dxa"/>
            <w:vAlign w:val="bottom"/>
            <w:gridSpan w:val="1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40">
              <w:r>
                <w:rPr>
                  <w:rFonts w:ascii="Arial" w:cs="Arial" w:eastAsia="Arial" w:hAnsi="Arial"/>
                  <w:sz w:val="18"/>
                  <w:szCs w:val="18"/>
                  <w:color w:val="0000EE"/>
                  <w:w w:val="86"/>
                </w:rPr>
                <w:t>Unregistered Sales of Equity Securities and Use of Proceeds</w:t>
              </w:r>
            </w:hyperlink>
          </w:p>
        </w:tc>
        <w:tc>
          <w:tcPr>
            <w:tcW w:w="558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22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Defaults Upon Senior Securities</w:t>
              </w:r>
            </w:hyperlink>
          </w:p>
        </w:tc>
        <w:tc>
          <w:tcPr>
            <w:tcW w:w="756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Submission of Matters to a Vote of Security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5"/>
          </w:tcPr>
          <w:p>
            <w:pPr>
              <w:spacing w:after="0"/>
              <w:rPr>
                <w:sz w:val="17"/>
                <w:szCs w:val="17"/>
                <w:color w:val="auto"/>
              </w:rPr>
            </w:pPr>
          </w:p>
        </w:tc>
        <w:tc>
          <w:tcPr>
            <w:tcW w:w="616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9820" w:type="dxa"/>
            <w:vAlign w:val="bottom"/>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40" w:type="dxa"/>
            <w:vAlign w:val="bottom"/>
            <w:gridSpan w:val="2"/>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Signatures</w:t>
              </w:r>
            </w:hyperlink>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100" w:type="dxa"/>
            <w:vAlign w:val="bottom"/>
          </w:tcPr>
          <w:p>
            <w:pPr>
              <w:jc w:val="center"/>
              <w:ind w:left="11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00" w:type="dxa"/>
            <w:vAlign w:val="bottom"/>
          </w:tcPr>
          <w:p>
            <w:pPr>
              <w:jc w:val="center"/>
              <w:ind w:left="1192"/>
              <w:spacing w:after="0"/>
              <w:rPr>
                <w:sz w:val="20"/>
                <w:szCs w:val="20"/>
                <w:color w:val="auto"/>
              </w:rPr>
            </w:pPr>
            <w:r>
              <w:rPr>
                <w:rFonts w:ascii="Arial" w:cs="Arial" w:eastAsia="Arial" w:hAnsi="Arial"/>
                <w:sz w:val="18"/>
                <w:szCs w:val="18"/>
                <w:b w:val="1"/>
                <w:bCs w:val="1"/>
                <w:color w:val="auto"/>
                <w:w w:val="99"/>
              </w:rPr>
              <w:t>EXLSERVICE HOLDINGS, INC.</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00" w:type="dxa"/>
            <w:vAlign w:val="bottom"/>
          </w:tcPr>
          <w:p>
            <w:pPr>
              <w:jc w:val="center"/>
              <w:ind w:left="12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82,604,086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85,366,103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482,720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1,093,277</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Accounts receivable, net of allowance for doubtful accounts of $22,539 at June 30, 2007 and $100,828 at December 31,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2006</w:t>
            </w:r>
          </w:p>
        </w:tc>
        <w:tc>
          <w:tcPr>
            <w:tcW w:w="8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34,300,602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26,801,058</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316,618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254,803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1,673,721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3,570,990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Prepaid income tax</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7,755,706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3,321,992</w:t>
            </w:r>
          </w:p>
        </w:tc>
        <w:tc>
          <w:tcPr>
            <w:tcW w:w="60" w:type="dxa"/>
            <w:vAlign w:val="bottom"/>
            <w:shd w:val="clear" w:color="auto" w:fill="CCEEFF"/>
          </w:tcPr>
          <w:p>
            <w:pPr>
              <w:spacing w:after="0"/>
              <w:rPr>
                <w:sz w:val="18"/>
                <w:szCs w:val="18"/>
                <w:color w:val="auto"/>
              </w:rPr>
            </w:pPr>
          </w:p>
        </w:tc>
      </w:tr>
      <w:tr>
        <w:trPr>
          <w:trHeight w:val="221"/>
        </w:trPr>
        <w:tc>
          <w:tcPr>
            <w:tcW w:w="912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131,637,577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122,720,533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23,639,959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21,545,324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16,785,487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16,651,462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340,776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818,219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8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6,488,952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1,601,244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181,937,473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shd w:val="clear" w:color="auto" w:fill="CCEEFF"/>
          </w:tcPr>
          <w:p>
            <w:pPr>
              <w:spacing w:after="0"/>
              <w:rPr>
                <w:sz w:val="18"/>
                <w:szCs w:val="18"/>
                <w:color w:val="auto"/>
              </w:rPr>
            </w:pPr>
          </w:p>
        </w:tc>
      </w:tr>
      <w:tr>
        <w:trPr>
          <w:trHeight w:val="221"/>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2,666,365</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3,161,942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6,376,725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8,875,308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10,251,197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11,016,164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14,336,829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2,705,326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700,901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27,433,316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37,698,915</w:t>
            </w:r>
          </w:p>
        </w:tc>
        <w:tc>
          <w:tcPr>
            <w:tcW w:w="60" w:type="dxa"/>
            <w:vAlign w:val="bottom"/>
            <w:shd w:val="clear" w:color="auto" w:fill="CCEEFF"/>
          </w:tcPr>
          <w:p>
            <w:pPr>
              <w:spacing w:after="0"/>
              <w:rPr>
                <w:sz w:val="18"/>
                <w:szCs w:val="18"/>
                <w:color w:val="auto"/>
              </w:rPr>
            </w:pPr>
          </w:p>
        </w:tc>
      </w:tr>
      <w:tr>
        <w:trPr>
          <w:trHeight w:val="221"/>
        </w:trPr>
        <w:tc>
          <w:tcPr>
            <w:tcW w:w="9120" w:type="dxa"/>
            <w:vAlign w:val="bottom"/>
            <w:gridSpan w:val="3"/>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172,862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227,651</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 non current liabilities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339,715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28,118,162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38,412,481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Common stock, $0.001 par value; 100,000,000 shares authorized, 28,714,859 shares issued and outstanding as at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1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June 30, 2007 and 28,262,289 shares issued and outstanding as at December 31, 2006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106,912,223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98,429,374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39,693,321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28,664,647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7,220,568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109,693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153,854,827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127,231,977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Less: 149,138 shares as at June 30, 2007 and December 31, 2006, held in treasury, at cost</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(35,516)</w:t>
            </w: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153,819,311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127,196,461</w:t>
            </w:r>
          </w:p>
        </w:tc>
        <w:tc>
          <w:tcPr>
            <w:tcW w:w="60" w:type="dxa"/>
            <w:vAlign w:val="bottom"/>
            <w:shd w:val="clear" w:color="auto" w:fill="CCEEFF"/>
          </w:tcPr>
          <w:p>
            <w:pPr>
              <w:spacing w:after="0"/>
              <w:rPr>
                <w:sz w:val="18"/>
                <w:szCs w:val="18"/>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181,937,473</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165,608,942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3"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42,646,251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24,650,263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82,150,252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46,107,597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373,588</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579,995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43,019,839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25,230,258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82,874,287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46,788,242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28,798,645</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15,941,695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53,280,613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29,887,639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14,221,194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9,288,563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29,593,674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16,900,603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6,805,341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3,633,351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2,027,727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685,909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3,991,257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2,764,035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1,875,243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3,639,974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11,597,103</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6,194,503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22,037,082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12,396,454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2,624,091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3,094,060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7,556,592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2,294,904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(1,100,715)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2,865,011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1,018,782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363,759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2,026,584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(203,767)</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5,928,218</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2,255,356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12,421,107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4,201,870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308,170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670,196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5,620,048</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1,585,160</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3,698,442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(342,379)</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3"/>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5,620,048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1,411,509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3,356,063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28,495,781</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21,224,168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28,319,530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21,217,626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29,210,372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21,407,834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29,050,897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21,429,822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332" w:lineRule="auto"/>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The weighted average number of shares and earnings per share data for three months ended June 30, 2006 and six months ended June 30, 2006 have been adjusted to reflect the stock split and conversion effected by the Company in connection with its October 2006 initial public offering.</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3,698,442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5,204,937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3,639,974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1,918,996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on senior long 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Non employee stock options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167,970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 (unrealized)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(1,050,373)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1,416,135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(742,238)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(7,475,579)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(6,907,307)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2,034,390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(37,890)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(1,976,090)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(1,073,430)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2,118,482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(2,812,114)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(5,853,038)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1,122,236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2,698,719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(4,869,035)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(2,262,582)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(4,869,035)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(2,262,582)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(163,488)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(155,325)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exercise of stock options and tax recoveries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841,821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Net cash provided by/(used for) financing activities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933,194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(153,998)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(182,512)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(2,762,017)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85,366,103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82,604,086</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24,340,259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20,270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5,738,949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1,938,872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Fair value of the shares issued for non cash consideration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5,449,042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ind w:right="828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2"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ExlService.com, Inc. (“Exl Inc.”), exlService.com (India) Private Limited (“Exl India”), Noida Customer Operations Private Limited (“NCOP”), Exl Support Services Pvt. Ltd. (“ESSPL”), ExlService (U.K.) Limited (“Exl UK”) and Inductis Inc. and its wholly owned subsidiaries (“Inductis”), including Inductis India Private Limited (“Inductis India”) (collectively, the “Company”) is a recognized provider of offshore solutions, including business process outsourcing (“BPO”), research and analytics and advisory services. The Company’s clients are located principally in the United States and the United Kingdom.</w:t>
      </w:r>
    </w:p>
    <w:p>
      <w:pPr>
        <w:spacing w:after="0" w:line="14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completed its initial public offering in October 2006 and the common stock of the Company is listed on the NASDAQ Global Select Market under the symbol “EXLS.”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unaudited interim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audited consolidated financial statements of ExlService Holdings for the year ended December 31, 2006 and Management’s Discussion and Analysis of Financial Condition and Results of Operations included in the Company’s 2006 Form 10-K.</w:t>
      </w:r>
    </w:p>
    <w:p>
      <w:pPr>
        <w:spacing w:after="0" w:line="1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consolidated balance sheet at December 31, 2006 was extracted from the audited consolidated balance sheet of ExlService Holdings included in the Company’s 2006 Form 10-K.</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weighted average number of shares and earnings per share data for three months ended June 30, 2006 and six months ended June 30, 2006 have been adjusted to reflect the stock split and conversion effected by the Company in connection with its October 2006 initial public offering.</w:t>
      </w:r>
    </w:p>
    <w:p>
      <w:pPr>
        <w:spacing w:after="0" w:line="160" w:lineRule="exact"/>
        <w:rPr>
          <w:sz w:val="20"/>
          <w:szCs w:val="20"/>
          <w:color w:val="auto"/>
        </w:rPr>
      </w:pPr>
    </w:p>
    <w:p>
      <w:pPr>
        <w:ind w:right="7920" w:firstLine="8"/>
        <w:spacing w:after="0" w:line="347"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depreciation and amortization periods, and recoverability of long-term assets including goodwill and intangibles.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90" w:lineRule="exact"/>
        <w:rPr>
          <w:sz w:val="20"/>
          <w:szCs w:val="20"/>
          <w:color w:val="auto"/>
        </w:rPr>
      </w:pPr>
    </w:p>
    <w:p>
      <w:pPr>
        <w:ind w:right="100" w:firstLine="348"/>
        <w:spacing w:after="0" w:line="323" w:lineRule="auto"/>
        <w:rPr>
          <w:sz w:val="20"/>
          <w:szCs w:val="20"/>
          <w:color w:val="auto"/>
        </w:rPr>
      </w:pPr>
      <w:r>
        <w:rPr>
          <w:rFonts w:ascii="Arial" w:cs="Arial" w:eastAsia="Arial" w:hAnsi="Arial"/>
          <w:sz w:val="15"/>
          <w:szCs w:val="15"/>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9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Resulting translation adjustments are included in accumulated other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and money market accounts to reduce our exposure to market risk with regard to these funds.</w:t>
      </w:r>
    </w:p>
    <w:p>
      <w:pPr>
        <w:sectPr>
          <w:pgSz w:w="11900" w:h="16838" w:orient="portrait"/>
          <w:cols w:equalWidth="0" w:num="1">
            <w:col w:w="11400"/>
          </w:cols>
          <w:pgMar w:left="240" w:top="459" w:right="259" w:bottom="855"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855"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receivables aging and prior collection experience to estimate the ultimate collectability of these receivables.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Revenues from BPO services include revenue from a range of services, including insurance services, banking and financial services, finance and accounting services and collection services. Revenues from advisory services include revenues from various services such as Sarbanes-Oxley compliance, internal audit outsourcing and financial reporting. Revenues from research and analytics services include revenues from services that are intended to facilitate more effective data-based strategic and operating decisions by our clients using research, statistical and quantitative analytical techniques.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cost-plus, time-and-material, fixed price, contingent fee and unit-priced arrangements. The Company recognizes revenue from the last billing date to the balance sheet date as unbilled revenues and recognizes billings in excess of revenues earned or advances received from clients as deferred revenue.</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accordance with 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the Company has accounted for reimbursements received for out-of-pocket expenses incurred as revenues in the consolidated statements of income. The Company typically incurs telecommunication and travel-related costs that are billed to and reimbursed by clients.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2,186,854</w:t>
            </w:r>
          </w:p>
        </w:tc>
      </w:tr>
      <w:tr>
        <w:trPr>
          <w:trHeight w:val="216"/>
        </w:trPr>
        <w:tc>
          <w:tcPr>
            <w:tcW w:w="46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Three Months Ended June 30, 2006</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917,789</w:t>
            </w:r>
          </w:p>
        </w:tc>
      </w:tr>
      <w:tr>
        <w:trPr>
          <w:trHeight w:val="216"/>
        </w:trPr>
        <w:tc>
          <w:tcPr>
            <w:tcW w:w="46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4,002,805</w:t>
            </w:r>
          </w:p>
        </w:tc>
      </w:tr>
      <w:tr>
        <w:trPr>
          <w:trHeight w:val="222"/>
        </w:trPr>
        <w:tc>
          <w:tcPr>
            <w:tcW w:w="46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1,952,004</w:t>
            </w:r>
          </w:p>
        </w:tc>
      </w:tr>
    </w:tbl>
    <w:p>
      <w:pPr>
        <w:spacing w:after="0" w:line="14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three months ended June 30, 2007, two customers accounted for 29% and 25% respectively, of the Company’s total revenues. During the three months ended June 30, 2006, two customers accounted for 41% and 14% respectively, of the Company’s total revenues.</w:t>
      </w:r>
    </w:p>
    <w:p>
      <w:pPr>
        <w:spacing w:after="0" w:line="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During the six months ended June 30, 2007, two customers accounted for 28% and 25%, respectively, of the Company’s total revenues. During the six months ended June 30, 2006, two customers accounted for 44% and 12% respectively, of the Company’s total revenues.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June 30, 2007, two customers accounted for 29% and 28% respectively, of the Company’s total accounts receivable. As of December 31, 2006, three customers accounted for 25%, 21% and 12% respectively, of the Company’s total accounts receivable.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9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the results of its first step impairment tests performed on October 1, 2006,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we record an impairment loss in the future, such amount will not be deductible for tax purposes. As of June 30, 2007, our goodwill balance was $16,785,487. The goodwill balance at June 30, 2007 has changed from the balance at December 31, 2006 due to purchase price adjustments recorded during the six months ended June 30, 2007.</w:t>
      </w:r>
    </w:p>
    <w:p>
      <w:pPr>
        <w:sectPr>
          <w:pgSz w:w="11900" w:h="16838" w:orient="portrait"/>
          <w:cols w:equalWidth="0" w:num="1">
            <w:col w:w="11420"/>
          </w:cols>
          <w:pgMar w:left="240" w:top="459" w:right="239" w:bottom="437" w:gutter="0" w:footer="0" w:header="0"/>
        </w:sectPr>
      </w:pP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437"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years</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Trademarks</w:t>
            </w:r>
          </w:p>
        </w:tc>
        <w:tc>
          <w:tcPr>
            <w:tcW w:w="420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year</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is generally organized around its BPO, advisory and research and analytics service lines. The chief operating decision maker generally reviews financial information at the consolidated statements of income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Revenues and cost of revenues for the three months ended June 30, 2007 and 2006 for BPO, Advisory and Research and Analytics services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0"/>
              </w:rPr>
              <w:t>Three months ended June 30, 2007</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6"/>
              </w:rPr>
              <w:t>Three months ended June 30, 2006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Research</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Research</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BPO</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BPO</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$35,170,757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$3,221,933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$4,253,561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42,646,251</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$ 22,446,020</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$ 1,761,214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$ 443,029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24,650,263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187,890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161,664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156,335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423,660</w:t>
            </w: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579,995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35,358,647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3,383,597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4,277,595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43,019,839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22,602,355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2,184,874</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443,029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25,230,258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revenue (exclusive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22,697,620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2,376,243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3,724,782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28,798,645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14,380,251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1,261,532</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299,912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15,941,695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12,661,027</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1,007,354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14,221,194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8,222,104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923,342</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143,117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9,288,563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8,833,068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4,319,260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1,875,243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Foreign exchange gain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2,294,904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(1,100,715)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1,018,782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(9,559)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5,620,048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1,585,160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(173,651)</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5,620,048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1,411,509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restart"/>
          </w:tcPr>
          <w:p>
            <w:pPr>
              <w:jc w:val="right"/>
              <w:ind w:right="161"/>
              <w:spacing w:after="0"/>
              <w:rPr>
                <w:sz w:val="20"/>
                <w:szCs w:val="20"/>
                <w:color w:val="auto"/>
              </w:rPr>
            </w:pPr>
            <w:r>
              <w:rPr>
                <w:rFonts w:ascii="Arial" w:cs="Arial" w:eastAsia="Arial" w:hAnsi="Arial"/>
                <w:sz w:val="18"/>
                <w:szCs w:val="18"/>
                <w:color w:val="auto"/>
              </w:rPr>
              <w:t>6</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w w:val="93"/>
              </w:rPr>
              <w:t>Six months ended June 30, 2007</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88"/>
              </w:rPr>
              <w:t>Six months ended June 30, 2006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Research</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Research</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BPO</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BPO</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Advisory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Analytics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$67,686,026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$5,984,464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$8,479,762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$82,150,252</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$ 42,070,895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$ 3,103,238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7"/>
              </w:rPr>
              <w:t>$ 933,944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46,107,597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382,920</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43,349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156,335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523,830</w:t>
            </w:r>
          </w:p>
        </w:tc>
        <w:tc>
          <w:tcPr>
            <w:tcW w:w="10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680,645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68,068,946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6,282,230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8,523,111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82,874,287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42,227,230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3,627,068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933,944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46,788,242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Cost of revenue (exclusive of</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41,540,868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4,338,292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7,401,453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53,280,613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26,994,275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2,346,854</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546,510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29,887,639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26,528,078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1,943,938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1,121,658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29,593,674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15,232,955</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1,280,214</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387,434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16,900,603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16,832,145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8,756,480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3,639,974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Foreign exchange gain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2,865,011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2,026,584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(27,080)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11,028,674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3,698,442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Dividends and accretion on preferred</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(342,379)</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11,028,674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3,356,063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1, 2006, the Company adopted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(“FAS</w:t>
      </w:r>
    </w:p>
    <w:p>
      <w:pPr>
        <w:spacing w:after="0" w:line="3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No. 123(R)”)</w:t>
      </w:r>
      <w:r>
        <w:rPr>
          <w:rFonts w:ascii="Arial" w:cs="Arial" w:eastAsia="Arial" w:hAnsi="Arial"/>
          <w:sz w:val="16"/>
          <w:szCs w:val="16"/>
          <w:i w:val="1"/>
          <w:iCs w:val="1"/>
          <w:color w:val="auto"/>
        </w:rPr>
        <w:t>,</w:t>
      </w:r>
      <w:r>
        <w:rPr>
          <w:rFonts w:ascii="Arial" w:cs="Arial" w:eastAsia="Arial" w:hAnsi="Arial"/>
          <w:sz w:val="16"/>
          <w:szCs w:val="16"/>
          <w:color w:val="auto"/>
        </w:rPr>
        <w:t xml:space="preserve"> which is a revision of Statement of Financial Accounting Standards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(FAS 123). FAS 123(R) supersedes Accounting Principles Board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Under the fair value recognition provisions of this statement, stock-based compensation cost is measured at the grant date based on the fair value of the award and is recognized as expense on a straight-line basis over the requisite service period, which is the vesting period. The Company adopted the provisions of FAS No. 123(R) using the modified prospective transition method, which requires that the estimated fair value of share based awards granted under stock incentive plans is recognized as compensation expense for all share based payments (i) granted after the effective date of adoption and (ii) granted prior to the effective date of adoption and that remain unvested on the date of adoption. See Note 13 for a detailed discussion of our stock based compensation and our adoption of FAS No. 123(R).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Basic earnings per share are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stock options issued and outstanding at the reporting date. Stock options that are anti-dilutive are excluded from the computation of weighted average shares outstanding. For the three months ended June 30, 2007 and 2006, the weighted average number of shares used in calculating diluted earnings per share includes stock options for 714,591 and 183,666 shares (after giving effect to the stock split and conversion that occurred in connection with our October 2006 initial public offering), respectively. For the six months ended June 30, 2007 and 2006, the weighted average number of shares used in calculating diluted earnings per share includes stock options for 731,366 and 212,194 shares (after giving effect to the stock split and conversion that occurred in connection with our October 2006 initial public offering), respectively. The calculation of earnings per share for the three months ended June 30, 2007 and 2006 excludes stock options for 284,400 shares and 736,824 shares (after giving effect to the stock split and conversion that occurred in connection with our October 2006 initial public offering) and for six months ended June 30, 2007 and 2006 excludes stock options for 143,000 shares and 736,824 shares (after giving effect to the stock split and conversion that occurred in connection with our October 2006 initial public offering), respectively, because the exercise price of such stock options is more than the average price of stock and hence to include them in the calculation would be anti-dilutive.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(“SFAS No. 130”),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 </w:t>
      </w:r>
      <w:r>
        <w:rPr>
          <w:rFonts w:ascii="Arial" w:cs="Arial" w:eastAsia="Arial" w:hAnsi="Arial"/>
          <w:sz w:val="16"/>
          <w:szCs w:val="16"/>
          <w:i w:val="1"/>
          <w:iCs w:val="1"/>
          <w:color w:val="auto"/>
        </w:rPr>
        <w:t>Accounting for Derivative Instruments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w:t>
      </w:r>
      <w:r>
        <w:rPr>
          <w:rFonts w:ascii="Arial" w:cs="Arial" w:eastAsia="Arial" w:hAnsi="Arial"/>
          <w:sz w:val="16"/>
          <w:szCs w:val="16"/>
          <w:color w:val="auto"/>
        </w:rPr>
        <w:t>” (“SFAS No. 133”) Changes in the fair values of contracts that are deemed effective are recorded as a component of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until the settlement of that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our investment policy, our surplus funds are kept as cash or cash equivalents and are invested in highly-rated commercial paper and money market accounts to reduce our exposure to market risk with regard to these funds. Trade accounts receivables are incurred pursuant to the contractual terms with customers. See “Revenue Recognition” elsewhere in this footnote.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policies, with counterparties that are highly rated financial institutions. The Company’s primary exchange rate exposure is with the U.K. pound sterling and the Indian rupee. The Company uses derivative instruments for the purpose of</w:t>
      </w:r>
    </w:p>
    <w:p>
      <w:pPr>
        <w:sectPr>
          <w:pgSz w:w="11900" w:h="16838" w:orient="portrait"/>
          <w:cols w:equalWidth="0" w:num="1">
            <w:col w:w="11420"/>
          </w:cols>
          <w:pgMar w:left="240" w:top="459" w:right="239" w:bottom="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 Company also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hedges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income.</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$33,500,000 and GBP22,000,000 as at June 30, 2007 and totaling $33,000,000 and GBP21,700,000 as at December 31, 2006.</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evaluates hedge effectiveness at the time a contract is entered into as well as on an ongoing basis. If during this time, a contract is deemed ineffective, the change in the fair value is recorded in other income in the consolidated statements of income. For the three months ended June 30, 2007 and 2006, net gain/(loss) from ineffective cash flow hedges included in the consolidated statements of income totaled $881,261 and $(975,000), respectively. For the six months ended June 30, 2007 and 2006, net gain/(loss) from ineffective cash flow hedges included in the consolidated statements of income totaled $951,929 and $(1,007,000), respectively. Such gain/(loss) is included in foreign exchange gain (loss) in the consolidated statements of income. For hedge relationships discontinued because the forecasted transaction is not expected to occur by the end of the originally specified period, any related derivative amounts recorded in equity are reclassified to earnings. For the three months ended June 30, 2007 and June 30, 2006, $366,889 and $168,239, respectively, were reclassified from Other Comprehensive Income into earnings as a result of forecasted transactions that failed to occur.</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estimate that approximately $5,300,000 of net derivative gains included in Other Comprehensive Income could be reclassified into earnings within the next 12 months based on exchange rates prevailing as of June 30, 2007. At June 30, 2007, the maximum outstanding term of derivative instruments that hedge forecasted transactions was 18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January 1, 2007, the Company adopted FASB Interpretation No. 48 (“FIN 48”), “Accounting for Uncertainty in Income Taxes – An Interpretation of FASB Statement No. 109”.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FIN 48 contains a two-step approach to recognizing and measuring uncertain tax positions accounted for in accordance with SFAS No. 109. The first step is to evaluate the tax position for recognition by determining if the weight of available evidence indicated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implementation of FIN 48 did not have any impact on the Company’s consolidated financial statements.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federal tax filings of ExlService Holdings and its U.S. subsidiaries for tax years since 2003 are subject to examination by federal tax authorities, and the 2004 tax year is being examined by the U.S. Internal Revenue Service. In addition, the 2005 tax year for Inductis is being examined by the U.S. Internal Revenue Service. All state tax filings of ExlService Holdings for tax years from 2003 to 2005 are being examined by New York State tax authorities. All tax filings of the Company’s subsidiaries in India are subject to examination by Indian taxing authorities for tax years since 2001-02. All Income tax filings for Company’s subsidiaries in U.K. are subject to examination by U.K. taxing authorities for tax years since 2004. Management believes that the outcome of these examinations will not have a material impact on the Company’s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Inductis Inc.</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July 1, 2006, the Company acquired all of the outstanding capital stock of Inductis Inc. (“Inductis”) for $3,047,160 in cash and the issuance of 1,307,235 shares with a fair value of $14,583,711 (including 257,273 shares of common stock issued as earn out consideration for performance related to the period ended December 31, 2006), which is accounted under the purchase method. Management believes that this acquisition will enable the Company to expand the types and sophistication of the research and analytics services that are currently being offered by the Company. The results of operations of Inductis are included in the Company’s consolidated financial statements from July 1, 2006.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other intangible assets acquired in the Inductis Acquisition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0"/>
              </w:rPr>
              <w:t>June 30, 2007</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3"/>
              </w:rPr>
              <w:t>Gross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Net Carrying</w:t>
            </w:r>
          </w:p>
        </w:tc>
        <w:tc>
          <w:tcPr>
            <w:tcW w:w="0" w:type="dxa"/>
            <w:vAlign w:val="bottom"/>
          </w:tcPr>
          <w:p>
            <w:pPr>
              <w:spacing w:after="0"/>
              <w:rPr>
                <w:sz w:val="1"/>
                <w:szCs w:val="1"/>
                <w:color w:val="auto"/>
              </w:rPr>
            </w:pPr>
          </w:p>
        </w:tc>
      </w:tr>
      <w:tr>
        <w:trPr>
          <w:trHeight w:val="135"/>
        </w:trPr>
        <w:tc>
          <w:tcPr>
            <w:tcW w:w="6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3"/>
              </w:rPr>
              <w:t>Carrying</w:t>
            </w:r>
          </w:p>
        </w:tc>
        <w:tc>
          <w:tcPr>
            <w:tcW w:w="360" w:type="dxa"/>
            <w:vAlign w:val="bottom"/>
          </w:tcPr>
          <w:p>
            <w:pPr>
              <w:spacing w:after="0"/>
              <w:rPr>
                <w:sz w:val="11"/>
                <w:szCs w:val="11"/>
                <w:color w:val="auto"/>
              </w:rPr>
            </w:pPr>
          </w:p>
        </w:tc>
        <w:tc>
          <w:tcPr>
            <w:tcW w:w="1100" w:type="dxa"/>
            <w:vAlign w:val="bottom"/>
            <w:gridSpan w:val="3"/>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Amortization</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110,000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680,000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(1,460,000)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3,150,000</w:t>
            </w: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(2,360,000)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790,000</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Amortization expense for the three months ended June 30, 2007 and 2006, was $590,000 and $0, respectively. Amortization expense for the six months ended June 30, 2007 and 2006 was $1,180,000 and $0, respectively. The estimated amortization for the intangible assets on a straight-line basis for the year ending June 30, 2008 is $790,000.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Restriction on Cash Balances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Current restricted cash represents amounts on deposit with banks against letters of credit and bank guarantees issued by the Company for equipment imports amounting to $482,720 that will mature on various dates within the next year.</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$340,766 that will mature after June 30, 2008.</w:t>
      </w:r>
    </w:p>
    <w:p>
      <w:pPr>
        <w:sectPr>
          <w:pgSz w:w="11900" w:h="16838" w:orient="portrait"/>
          <w:cols w:equalWidth="0" w:num="1">
            <w:col w:w="11400"/>
          </w:cols>
          <w:pgMar w:left="240" w:top="459" w:right="259" w:bottom="599" w:gutter="0" w:footer="0" w:header="0"/>
        </w:sectPr>
      </w:pP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599"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comprehensive income for the three and six months ended June 30, 2007 and June 30, 2006.</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20"/>
              <w:spacing w:after="0" w:line="143"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32"/>
              <w:spacing w:after="0" w:line="143"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2"/>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5,620,048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1,411,509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$ 11,028,674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effective cash flow hedges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4,216,605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(585,470)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5,732,619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1,272,963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(239,695)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1,378,256</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(196,902)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5,489,568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(825,165)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7,110,875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(360,720)</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11,109,616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586,344</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18,139,549</w:t>
            </w:r>
          </w:p>
        </w:tc>
        <w:tc>
          <w:tcPr>
            <w:tcW w:w="1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2,995,343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Fixed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9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Useful Life</w:t>
            </w:r>
          </w:p>
        </w:tc>
        <w:tc>
          <w:tcPr>
            <w:tcW w:w="48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2"/>
                <w:szCs w:val="12"/>
                <w:color w:val="auto"/>
              </w:rPr>
            </w:pP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5"/>
        </w:trPr>
        <w:tc>
          <w:tcPr>
            <w:tcW w:w="69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80" w:type="dxa"/>
            <w:vAlign w:val="bottom"/>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$ 24,304,783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$ 20,068,764</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Buildings</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3,231,343</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3,006,911</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11,413,611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8,401,713</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4,681,062</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3,652,614</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914,126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927,716</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3,532,677</w:t>
            </w:r>
          </w:p>
        </w:tc>
        <w:tc>
          <w:tcPr>
            <w:tcW w:w="6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46,466,051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39,590,395</w:t>
            </w:r>
          </w:p>
        </w:tc>
        <w:tc>
          <w:tcPr>
            <w:tcW w:w="60" w:type="dxa"/>
            <w:vAlign w:val="bottom"/>
            <w:shd w:val="clear" w:color="auto" w:fill="CCEEFF"/>
          </w:tcPr>
          <w:p>
            <w:pPr>
              <w:spacing w:after="0"/>
              <w:rPr>
                <w:sz w:val="18"/>
                <w:szCs w:val="18"/>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(22,826,092)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(18,045,071)</w:t>
            </w:r>
          </w:p>
        </w:tc>
      </w:tr>
      <w:tr>
        <w:trPr>
          <w:trHeight w:val="216"/>
        </w:trPr>
        <w:tc>
          <w:tcPr>
            <w:tcW w:w="6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$ 23,639,959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$ 21,545,324</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Depreciation and amortization expense for the three months ended June 30, 2007 and 2006 was $2,174,035 and $1,875,243, respectively. Depreciation and amortization expense for the six months ended June 30, 2007 and 2006 was $4,024,938 and $3,639,974, respectively.</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Construction in progress represents advances paid towards the acquisition of fixed assets and the cost of fixed assets not yet placed in service. The cost and accumulated amortization of assets under capital leases at June 30, 2007 were $729,511 and $471,277, respectively, and at December 31, 2006 were $825,177 and $456,082,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Long-Term Debt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were to mature on December 13, 2007. The Company issued additional senior promissory notes to employees of the Company during August 2003 in the amount of $272,403. Interest on the principal amount was payable on maturity and accrued at a rate equal to the greater of (i) 2.02% semiannually or (ii) London Interbank Offered Rate.</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Deferred financing costs, totaling $300,000, were included in other assets and were amortized to interest expense through the maturity date of the senior long-term debt. The Company repaid all outstanding promissory notes of $5,821,190 with a portion of the proceeds from its October 2006 initial public offering. The un-amortized issuance cost was charged to interest expense upon the repayment of the senior long-term debt. For the three months ended June 30, 2007 and 2006, amortization of deferred financing costs amounted to $0 and $15,000, respectively. For the six months ended June 30, 2007 and 2006, amortization of deferred financing costs amounted to $0 and $30,000,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w:t>
      </w:r>
    </w:p>
    <w:p>
      <w:pPr>
        <w:spacing w:after="0" w:line="9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On December 13, 2002, the Company issued 45,304 shares of redeemable Series A preferred stock to certain new investors and certain members of management. The Company repurchased all of the outstanding preferred stock by repaying $6,688,413 in October and November 2006 with a portion of the proceeds from its October 2006 initial public offering. The Company is currently authorized to issue up to 15 million shares of preferred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three months ended June 30, 2007 and 2006, the Company recorded $0 and $158,651, respectively, as dividends and accretion on preferred stock in the consolidated statements of income. For the six months ended June 30, 2007 and 2006, the Company recorded $0 and $ 312,379, respectively, as dividends and accretion on preferred stock in the consolidated statements of income.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preferred stock was recorded net of issuance costs of $300,000, which were accreted over a period of five years. For the three months ended June 30, 2007 and 2006, amortization of issuance costs of $0 and $15,000, respectively, was included as dividends and accretion on preferred stock in the consolidated statements of income. For the six months ended June 30, 2007 and 2006, amortization of issuance costs of $0 and $30,000, respectively, was included as dividends and accretion on preferred stock in the consolidated statements of income. The un-amortized issuance cost was charged to expense on the repurchase of preferred stock.</w:t>
      </w:r>
    </w:p>
    <w:p>
      <w:pPr>
        <w:spacing w:after="0" w:line="218" w:lineRule="exact"/>
        <w:rPr>
          <w:sz w:val="20"/>
          <w:szCs w:val="20"/>
          <w:color w:val="auto"/>
        </w:rPr>
      </w:pPr>
    </w:p>
    <w:p>
      <w:pPr>
        <w:ind w:right="9900" w:firstLine="8"/>
        <w:spacing w:after="0" w:line="391" w:lineRule="auto"/>
        <w:tabs>
          <w:tab w:leader="none" w:pos="17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October 2006 initial public offering, the Company had Series A common stock and Series B common stock issued and outstanding. Holders of Series A common stock had one vote for each share held with respect to all matters voted on by the stockholders of the Company. Holders of Series B common stock did not have any voting rights.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October 2006 initial public offering all outstanding shares of Series B common stock of the Company converted automatically into shares of Series A common stock (the “Conversion”). In addition, immediately prior to the consummation of the offering, the Company increased its total authorized number of shares of capital stock and effected a two-for-one stock split (the “Stock Split”). As a result of the October 2006 initial public offering, the Company only has one class of common stock outstanding.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Company’s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7"/>
              </w:rPr>
              <w:t>Three months ended</w:t>
            </w:r>
          </w:p>
        </w:tc>
        <w:tc>
          <w:tcPr>
            <w:tcW w:w="180" w:type="dxa"/>
            <w:vAlign w:val="bottom"/>
          </w:tcPr>
          <w:p>
            <w:pPr>
              <w:spacing w:after="0"/>
              <w:rPr>
                <w:sz w:val="14"/>
                <w:szCs w:val="14"/>
                <w:color w:val="auto"/>
              </w:rPr>
            </w:pPr>
          </w:p>
        </w:tc>
        <w:tc>
          <w:tcPr>
            <w:tcW w:w="172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980" w:type="dxa"/>
            <w:vAlign w:val="bottom"/>
          </w:tcPr>
          <w:p>
            <w:pPr>
              <w:spacing w:after="0"/>
              <w:rPr>
                <w:sz w:val="14"/>
                <w:szCs w:val="14"/>
                <w:color w:val="auto"/>
              </w:rPr>
            </w:pPr>
          </w:p>
        </w:tc>
        <w:tc>
          <w:tcPr>
            <w:tcW w:w="17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720" w:type="dxa"/>
            <w:vAlign w:val="bottom"/>
            <w:gridSpan w:val="3"/>
          </w:tcPr>
          <w:p>
            <w:pPr>
              <w:jc w:val="right"/>
              <w:ind w:right="542"/>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9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$74,621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$63,039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jc w:val="right"/>
              <w:spacing w:after="0"/>
              <w:rPr>
                <w:sz w:val="20"/>
                <w:szCs w:val="20"/>
                <w:color w:val="auto"/>
              </w:rPr>
            </w:pPr>
            <w:r>
              <w:rPr>
                <w:rFonts w:ascii="Arial" w:cs="Arial" w:eastAsia="Arial" w:hAnsi="Arial"/>
                <w:sz w:val="18"/>
                <w:szCs w:val="18"/>
                <w:color w:val="auto"/>
              </w:rPr>
              <w:t>16,088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7,503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35,018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15,252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Net gratuity cost</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90,709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70,542</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239,140</w:t>
            </w:r>
          </w:p>
        </w:tc>
        <w:tc>
          <w:tcPr>
            <w:tcW w:w="10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143,403</w:t>
            </w:r>
          </w:p>
        </w:tc>
      </w:tr>
      <w:tr>
        <w:trPr>
          <w:trHeight w:val="20"/>
        </w:trPr>
        <w:tc>
          <w:tcPr>
            <w:tcW w:w="5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balance sheet. The contributions made to the Government Provident Fund for each period are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2007</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$499,641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Three months ended June 30, 2006</w:t>
            </w:r>
          </w:p>
        </w:tc>
        <w:tc>
          <w:tcPr>
            <w:tcW w:w="3900" w:type="dxa"/>
            <w:vAlign w:val="bottom"/>
          </w:tcPr>
          <w:p>
            <w:pPr>
              <w:jc w:val="right"/>
              <w:spacing w:after="0"/>
              <w:rPr>
                <w:sz w:val="20"/>
                <w:szCs w:val="20"/>
                <w:color w:val="auto"/>
              </w:rPr>
            </w:pPr>
            <w:r>
              <w:rPr>
                <w:rFonts w:ascii="Arial" w:cs="Arial" w:eastAsia="Arial" w:hAnsi="Arial"/>
                <w:sz w:val="18"/>
                <w:szCs w:val="18"/>
                <w:color w:val="auto"/>
              </w:rPr>
              <w:t>$318,537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2007</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$ 916,111</w:t>
            </w:r>
          </w:p>
        </w:tc>
      </w:tr>
      <w:tr>
        <w:trPr>
          <w:trHeight w:val="222"/>
        </w:trPr>
        <w:tc>
          <w:tcPr>
            <w:tcW w:w="5680" w:type="dxa"/>
            <w:vAlign w:val="bottom"/>
          </w:tcPr>
          <w:p>
            <w:pPr>
              <w:spacing w:after="0"/>
              <w:rPr>
                <w:sz w:val="20"/>
                <w:szCs w:val="20"/>
                <w:color w:val="auto"/>
              </w:rPr>
            </w:pPr>
            <w:r>
              <w:rPr>
                <w:rFonts w:ascii="Arial" w:cs="Arial" w:eastAsia="Arial" w:hAnsi="Arial"/>
                <w:sz w:val="18"/>
                <w:szCs w:val="18"/>
                <w:color w:val="auto"/>
              </w:rPr>
              <w:t>Six months ended June 30, 2006</w:t>
            </w:r>
          </w:p>
        </w:tc>
        <w:tc>
          <w:tcPr>
            <w:tcW w:w="3900" w:type="dxa"/>
            <w:vAlign w:val="bottom"/>
          </w:tcPr>
          <w:p>
            <w:pPr>
              <w:jc w:val="right"/>
              <w:spacing w:after="0"/>
              <w:rPr>
                <w:sz w:val="20"/>
                <w:szCs w:val="20"/>
                <w:color w:val="auto"/>
              </w:rPr>
            </w:pPr>
            <w:r>
              <w:rPr>
                <w:rFonts w:ascii="Arial" w:cs="Arial" w:eastAsia="Arial" w:hAnsi="Arial"/>
                <w:sz w:val="18"/>
                <w:szCs w:val="18"/>
                <w:color w:val="auto"/>
              </w:rPr>
              <w:t>$597,950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Company leases motor vehicles from finance companies for certain of its employees. Such leases are recorded as capital leases with interest rates ranging from 9.0% to 12.5%. Future minimum lease payments under these capital leases at June 30, 2007 are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68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2008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$124,638</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125,541</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2010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59,061</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309,240</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33,815</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275,425</w:t>
            </w: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102,563</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172,862</w:t>
            </w:r>
          </w:p>
        </w:tc>
      </w:tr>
      <w:tr>
        <w:trPr>
          <w:trHeight w:val="20"/>
        </w:trPr>
        <w:tc>
          <w:tcPr>
            <w:tcW w:w="8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November 2009. Future minimum lease payments under non-cancelable agreements expiring after more than twelve months are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8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2008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$1,450,567</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831,895</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2010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217,838</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2,500,300</w:t>
            </w:r>
          </w:p>
        </w:tc>
      </w:tr>
      <w:tr>
        <w:trPr>
          <w:trHeight w:val="20"/>
        </w:trPr>
        <w:tc>
          <w:tcPr>
            <w:tcW w:w="8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Rent expense under operating leases was $984,876 and $674,100 for the three months ended June 30, 2007 and 2006, respectively. Rent expense under operating leases was $1,679,736 and $1,350,937 for the six months ended June 30, 2007 and 2006, respectively.</w:t>
      </w:r>
    </w:p>
    <w:p>
      <w:pPr>
        <w:sectPr>
          <w:pgSz w:w="11900" w:h="16838" w:orient="portrait"/>
          <w:cols w:equalWidth="0" w:num="1">
            <w:col w:w="11400"/>
          </w:cols>
          <w:pgMar w:left="240" w:top="459" w:right="259" w:bottom="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0" w:gutter="0" w:footer="0" w:header="0"/>
          <w:type w:val="continuous"/>
        </w:sectPr>
      </w:pPr>
    </w:p>
    <w:bookmarkStart w:id="13" w:name="page14"/>
    <w:bookmarkEnd w:id="1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recorded income tax expense of $308,170 for the three months ended June 30, 2007 and $1,392,433 for the six months ended June 30, 2007.</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This amount includes current taxes of $463,348 offset by a deferred tax benefit of $155,178 for the three months ended June 30, 2007.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2007 this amount includes current taxes of $2,134,670 offset by a deferred tax benefit of $742,237.</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effective rate of taxes has decreased to a provision of 5% for the three months ended June 30, 2007, as compared to 30% for the three months ended June 30, 2006. The effective rate of taxes has decreased to a provision of 11% for the six months ended June 30, 2007, as compared to 12% for the six months ended June 30, 2006. This is due to the changes in the geographic distribution of our income and a change effective April 1, 2007 in our internal transfer pricing agreement between India and U.S. entities to exclude the impact of unrealized foreign exchange gains from the transfer pricing computation. Certain of our Indian subsidiaries benefit from a tax holiday until March 2009.</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Deferred tax assets and liabilities are recognized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fiscal year under the Indian Income Tax Act ends on March 31.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Inductis India and NCOP benefit from this deduction. This exemption shall terminate if the Company ceases to operate in Export Processing Zones or by March 2009 when the tax exemption period expires. ESSPL is not eligible for this deduction. The export revenue of Exl India, Inductis India and NCOP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Minimum Alternate Tax (“MAT”). The MAT liability can be carried forward and set off against future tax liabilities. In accordance with SFAS 109 “Accounting for Income Taxes” a deferred tax asset of $893,446 has been recognized as of June 30, 2007.</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minimum alternate tax credit entitlement and (v) deferred revenue with respect to the domestic operations of the Company. At June 30, 2007, the Company performed an analysis of the deferred tax asset valuation allowance for its Indian subsidiary. Based on this analysis, the Company has concluded that a valuation allowance offsetting certain deferred tax assets should continue to be recorded at June 30, 2007 based on the conclusion that it is more likely than not that there will not be sufficient future taxable income to realize the deferred tax assets. The valuation allowance at June 30, 2007 is approximately $4.2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Based Compensation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2003, the Company instituted the ExlService Holdings, Inc.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expire ten years from the date of grant and generally vest incrementally over a period of 4 years from the date of grant with 25% of the options vesting each year.</w:t>
      </w:r>
    </w:p>
    <w:p>
      <w:pPr>
        <w:spacing w:after="0" w:line="143"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Pursuant to the 2003 Plan, the Company reserved 1,600,000 shares of common stock after giving effect to the Stock Split and Conversion,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was added to the pool of available shares under the 2006 Plan (as defined below).</w:t>
      </w:r>
    </w:p>
    <w:p>
      <w:pPr>
        <w:spacing w:after="0" w:line="143"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2006, the Company instituted the ExlService Holdings, Inc. 2006 Omnibus Award Plan (the “2006 Plan”). The 2006 Plan covers all the employees of the Company and its subsidiaries.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expire ten years from the date of grant and generally vest incrementally over a period of 4 years from the date of grant with 10% vesting in year 1, 20% vesting in year 2, 30% vesting in year 3 and 40% vesting in year 4. Pursuant to the 2006 Plan, the Company reserved 3,399,384 shares of common stock (in addition to the available pool of 2003 plan) for the granting of options. If an employee is terminated they must exercise any vested options within 90 days after termination or the vested options are forfeited.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 based compensation plan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7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80"/>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1"/>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501,389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20" w:type="dxa"/>
            <w:vAlign w:val="bottom"/>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1,161,030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372,984</w:t>
            </w:r>
          </w:p>
        </w:tc>
        <w:tc>
          <w:tcPr>
            <w:tcW w:w="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1,090,787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201,207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1,918,996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400,751</w:t>
            </w:r>
          </w:p>
        </w:tc>
      </w:tr>
      <w:tr>
        <w:trPr>
          <w:trHeight w:val="20"/>
        </w:trPr>
        <w:tc>
          <w:tcPr>
            <w:tcW w:w="7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900" w:orient="portrait"/>
          <w:cols w:equalWidth="0" w:num="1">
            <w:col w:w="11420"/>
          </w:cols>
          <w:pgMar w:left="240" w:top="459"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5071745</wp:posOffset>
            </wp:positionH>
            <wp:positionV relativeFrom="page">
              <wp:posOffset>88900</wp:posOffset>
            </wp:positionV>
            <wp:extent cx="23323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32355" cy="17145"/>
                    </a:xfrm>
                    <a:prstGeom prst="rect">
                      <a:avLst/>
                    </a:prstGeom>
                    <a:noFill/>
                  </pic:spPr>
                </pic:pic>
              </a:graphicData>
            </a:graphic>
          </wp:anchor>
        </w:drawing>
        <w:t>11</w:t>
      </w:r>
    </w:p>
    <w:p>
      <w:pPr>
        <w:sectPr>
          <w:pgSz w:w="11900" w:h="16838" w:orient="portrait"/>
          <w:cols w:equalWidth="0" w:num="1">
            <w:col w:w="9019"/>
          </w:cols>
          <w:pgMar w:left="1440" w:top="320"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unrecognized compensation cost for unvested options as of June 30, 2007, is $6,846,366, which is expected to be expensed over a weighted average period of 2.33 years. The fair value of the stock was estimated on the date of grant using third party valuations during the period when the Company was a non-public entity. The fair value of each option is estimated on the date of grant using the Black-Scholes option-pricing model with the following weighted 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Three months ended</w:t>
            </w:r>
          </w:p>
        </w:tc>
        <w:tc>
          <w:tcPr>
            <w:tcW w:w="1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8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4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Expected life (years)</w:t>
            </w:r>
          </w:p>
        </w:tc>
        <w:tc>
          <w:tcPr>
            <w:tcW w:w="440" w:type="dxa"/>
            <w:vAlign w:val="bottom"/>
          </w:tcPr>
          <w:p>
            <w:pPr>
              <w:jc w:val="right"/>
              <w:spacing w:after="0"/>
              <w:rPr>
                <w:sz w:val="20"/>
                <w:szCs w:val="20"/>
                <w:color w:val="auto"/>
              </w:rPr>
            </w:pPr>
            <w:r>
              <w:rPr>
                <w:rFonts w:ascii="Arial" w:cs="Arial" w:eastAsia="Arial" w:hAnsi="Arial"/>
                <w:sz w:val="18"/>
                <w:szCs w:val="18"/>
                <w:color w:val="auto"/>
              </w:rPr>
              <w:t>6.25</w:t>
            </w:r>
          </w:p>
        </w:tc>
        <w:tc>
          <w:tcPr>
            <w:tcW w:w="5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400" w:type="dxa"/>
            <w:vAlign w:val="bottom"/>
          </w:tcPr>
          <w:p>
            <w:pPr>
              <w:jc w:val="right"/>
              <w:spacing w:after="0"/>
              <w:rPr>
                <w:sz w:val="20"/>
                <w:szCs w:val="20"/>
                <w:color w:val="auto"/>
              </w:rPr>
            </w:pPr>
            <w:r>
              <w:rPr>
                <w:rFonts w:ascii="Arial" w:cs="Arial" w:eastAsia="Arial" w:hAnsi="Arial"/>
                <w:sz w:val="18"/>
                <w:szCs w:val="18"/>
                <w:color w:val="auto"/>
              </w:rPr>
              <w:t>6.25</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5.14%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4.99%</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4.25%</w:t>
            </w: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Volatility</w:t>
            </w:r>
          </w:p>
        </w:tc>
        <w:tc>
          <w:tcPr>
            <w:tcW w:w="960" w:type="dxa"/>
            <w:vAlign w:val="bottom"/>
            <w:gridSpan w:val="2"/>
          </w:tcPr>
          <w:p>
            <w:pPr>
              <w:jc w:val="right"/>
              <w:ind w:right="312"/>
              <w:spacing w:after="0"/>
              <w:rPr>
                <w:sz w:val="20"/>
                <w:szCs w:val="20"/>
                <w:color w:val="auto"/>
              </w:rPr>
            </w:pPr>
            <w:r>
              <w:rPr>
                <w:rFonts w:ascii="Arial" w:cs="Arial" w:eastAsia="Arial" w:hAnsi="Arial"/>
                <w:sz w:val="18"/>
                <w:szCs w:val="18"/>
                <w:color w:val="auto"/>
              </w:rPr>
              <w:t>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estimates the expected term of options granted by taking the average of the vesting term and the contractual term of the option, as illustrated in the SAB 107. In the absence of a history of volatility of our stock trading we have used the volatility of stocks of comparative companies with estimated life of options similar to ours.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4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1,642,190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Granted</w:t>
            </w:r>
          </w:p>
        </w:tc>
        <w:tc>
          <w:tcPr>
            <w:tcW w:w="4020" w:type="dxa"/>
            <w:vAlign w:val="bottom"/>
            <w:gridSpan w:val="3"/>
          </w:tcPr>
          <w:p>
            <w:pPr>
              <w:jc w:val="right"/>
              <w:ind w:right="640"/>
              <w:spacing w:after="0"/>
              <w:rPr>
                <w:sz w:val="20"/>
                <w:szCs w:val="20"/>
                <w:color w:val="auto"/>
              </w:rPr>
            </w:pPr>
            <w:r>
              <w:rPr>
                <w:rFonts w:ascii="Arial" w:cs="Arial" w:eastAsia="Arial" w:hAnsi="Arial"/>
                <w:sz w:val="18"/>
                <w:szCs w:val="18"/>
                <w:color w:val="auto"/>
              </w:rPr>
              <w:t>287,000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(191,297)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Forfeited</w:t>
            </w:r>
          </w:p>
        </w:tc>
        <w:tc>
          <w:tcPr>
            <w:tcW w:w="268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(106,416)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2007</w:t>
            </w:r>
          </w:p>
        </w:tc>
        <w:tc>
          <w:tcPr>
            <w:tcW w:w="4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1,631,477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2007</w:t>
            </w:r>
          </w:p>
        </w:tc>
        <w:tc>
          <w:tcPr>
            <w:tcW w:w="2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283,557</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2007</w:t>
            </w:r>
          </w:p>
        </w:tc>
        <w:tc>
          <w:tcPr>
            <w:tcW w:w="40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2,160,655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weighted-average fair value of options granted during the three months ended June 30, 2007 and 2006 was $10.70 and $8.93, respectively, and weighted average fair value of options granted during the six months ended June 30, 2007 and 2006 was $11.73 and $8.93, respectively. The weighted-average remaining contractual life of options outstanding and exercisable at June 30, 2007 and 2006 was 7.99 years and 8.13 years, respectively. The weighted average fair value of vested and exercisable options at June 30, 2007 was $4.04.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activity under the Company’s stock plans is shown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2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Weighted</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9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Intrinsic</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4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2006</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267,270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366,600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21.32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8.65</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Unvested at June 30, 2007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615,147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16.59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June 30, 2007, unrecognized compensation cost of $7,489,254 is expected to be expensed over a weighted average period of 2.49 years. The weighted-average fair value of restricted stock and restricted stock units under the 2006 Plan during three months ended June 30, 2007 and 2006, was $19.41 and $10.15, respectively. The weighted-average fair value of restricted stock and restricted stock units under the 2006 Plan during six months ended June 30, 2007 and 2006, was $21.32 and $10.15, respectively. The weighted-average remaining contractual life of restricted stock and restricted stock units outstanding and exercisable at June 30, 2007 and 2006, was 9.31 years and 9.87 years,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options and restricted stock has been adjusted to reflect the Stock Split described in Note 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 based employees. For the three months ended June 30, 2007, we recorded FBT expense of $0.2 million.</w:t>
      </w:r>
    </w:p>
    <w:p>
      <w:pPr>
        <w:sectPr>
          <w:pgSz w:w="11900" w:h="16838" w:orient="portrait"/>
          <w:cols w:equalWidth="0" w:num="1">
            <w:col w:w="11420"/>
          </w:cols>
          <w:pgMar w:left="240" w:top="459"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31"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2005, the Company granted to a member of its advisory board options to purchase 10,000 shares (after giving effect to the Stock Split and Conversion) of common stock at an exercise price of $11.88 per share under the 2003 Plan. Using the Black-Scholes valuation model, the fair value of these options at June 30, 2007 was determined to be $122,946. In 2003, the Company also granted to members of its advisory board options to purchase 20,000 shares (after giving effect to the Stock Split and Conversion) of common stock at an exercise price of $0.12 per share under the 2003 Plan. Using the Black-Scholes valuation model, the fair value of these options at June 30, 2007 was determined to be $372,994. These options vest over a period of four years and expire ten years from the grant date. For the three months ended June 30, 2007 and 2006, the Company recorded compensation expense reversal of $8,064 and $25,991, respectively. For the six months ended June 30, 2007 and 2006, the Company recorded compensation expense of $18,584 and compensation expense reversal of $11,238, respectively. The fair value and related compensation expense will be re-measured for the unvested portion of these options at the end of each reporting period until such options are fully vested.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connection with the execution of a five-year services agreement, the Company issued options to purchase 230,200 shares of common stock (after giving effect to the Stock Split and Conversion) at an exercise price of $6.25 per share in July 2004 to one of our clients. The option is fully exercisable and expires ten years from the date of grant. The value of the options on the date of issuance, using the Black-Scholes valuation model was approximately $1,792,000. Such amount is being amortized as a reduction in revenue over the five-year term of the services agreement. Amortization for the three months ended June 30, 2007 and 2006 was $89,604 and $89,604, respectively. Amortization for the six months ended June 30, 2007 and 2006 was $179,208 and $179,208,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Company received services in India for employee training performed by a company controlled by a stockholder. This company is one of the many companies rendering such services to Exl India. The Company recorded expenses related to these services of $0 and $7,477 for the three months ended June 30, 2007 and 2006, respectively. For the six months ended June 30, 2007 and June 30, 2006, the Company recorded expenses of $0 and $25,925, respectively. At June 30, 2007 the Company had a balance payable of $1,997 related to these services. The agreement with this company terminated on September 30, 2006.</w:t>
      </w:r>
    </w:p>
    <w:p>
      <w:pPr>
        <w:spacing w:after="0" w:line="9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the Company’s significant stockholders. The Company recognized approximately $68,944 and $219,760 in the three months ended June 30, 2007 and 2006, respectively, and $90,546 and $245,410 in the six months ended June 30, 2007 and 2006, respectively, in advisory fees revenue and expense reimbursements from Williams Scotsman, Inc. At June 30, 2007 and December 31, 2006, the Company had an account receivable of $53,694 and $59,633, respectively, related to these services.</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provides BPO services to MedSynergies, Inc., a provider of outsourced billing, claims administration and payment processing services to healthcare providers. MedSynergies, Inc. is controlled by entities related to one of the Company’s former significant stockholders. The Company recognized revenue of approximately $187,890 and $156,335 in the three months ended June 30, 2007 and 2006, respectively, from MedSynergies, Inc. For the six months ended June 30, 2007 and June 30, 2006, the Company recorded revenue of $382,920 and $156,335, respectively. At June 30, 2007 and December 31, 2006, the Company had an account receivable of $187,890 and $130,020, respectively, related to these services.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Company provides advisory services to Duane Reade Holdings, Inc., a New York City drugstore chain. Duane Reade Holdings, Inc. is indirectly owned by one of the Company’s significant stockholders. The Company recognized revenue of approximately $92,720 and $203,900 in the three months ended June 30, 2007 and 2006, respectively, and $207,220 and $278,900 in the six months ended June 30, 2007 and 2006, respectively, for advisory fees and expense reimbursements from Duane Reade Holdings, Inc. At June 30, 2007 and December 31, 2006, the Company had an account receivable of $60,000 and $55,350, respectively, related to these services.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provides analytical services to FTVentures, one of the Company’s former significant stockholders, for which the Company recognized revenue of approximately $24,034 and $0 in the three months ended June 30, 2007 and 2006, respectively. For the six months ended June 30, 2007 and June 30, 2006, the Company recorded revenue of $43,349 and $0, respectively. At June 30, 2007 and December 31, 2006, the Company had an account receivable of $15,034 and $9,800, respectively, related to these services.</w:t>
      </w:r>
    </w:p>
    <w:p>
      <w:pPr>
        <w:spacing w:after="0" w:line="143"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entered into employment and non-competition agreements with certain members of senior management in November 2002. The initial term of these agreements was three years and the Company had the option to extend the term for two additional one-year periods. The agreements had been extended through September 30, 2006. These agreements were amended and restated in their entirety effective September 30, 2006. The amended and restated employment agreements will expire in December 31, 2009 and will automatically extend for successive 12-month periods unless either party provides the other with 120 days’ notice of its desire not to extend the agreement.</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June 30, 2007 and 2006, the Company accrued management fees of $0 and $50,000, respectively, to certain of its significant stockholders. For each of the six months ended June 30, 2007 and 2006, the Company accrued management fees of $0 and $100,000, respectively, to certain of its significant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3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20" w:type="dxa"/>
            <w:vAlign w:val="bottom"/>
            <w:gridSpan w:val="5"/>
          </w:tcPr>
          <w:p>
            <w:pPr>
              <w:jc w:val="right"/>
              <w:ind w:right="516"/>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780" w:type="dxa"/>
            <w:vAlign w:val="bottom"/>
          </w:tcPr>
          <w:p>
            <w:pPr>
              <w:spacing w:after="0"/>
              <w:rPr>
                <w:sz w:val="15"/>
                <w:szCs w:val="15"/>
                <w:color w:val="auto"/>
              </w:rPr>
            </w:pPr>
          </w:p>
        </w:tc>
        <w:tc>
          <w:tcPr>
            <w:tcW w:w="23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5"/>
                <w:szCs w:val="15"/>
                <w:color w:val="auto"/>
              </w:rPr>
            </w:pPr>
          </w:p>
        </w:tc>
      </w:tr>
      <w:tr>
        <w:trPr>
          <w:trHeight w:val="142"/>
        </w:trPr>
        <w:tc>
          <w:tcPr>
            <w:tcW w:w="5780" w:type="dxa"/>
            <w:vAlign w:val="bottom"/>
          </w:tcPr>
          <w:p>
            <w:pPr>
              <w:spacing w:after="0"/>
              <w:rPr>
                <w:sz w:val="12"/>
                <w:szCs w:val="12"/>
                <w:color w:val="auto"/>
              </w:rPr>
            </w:pPr>
          </w:p>
        </w:tc>
        <w:tc>
          <w:tcPr>
            <w:tcW w:w="920" w:type="dxa"/>
            <w:vAlign w:val="bottom"/>
            <w:tcBorders>
              <w:top w:val="single" w:sz="8" w:color="auto"/>
            </w:tcBorders>
          </w:tcPr>
          <w:p>
            <w:pPr>
              <w:jc w:val="right"/>
              <w:ind w:right="240"/>
              <w:spacing w:after="0" w:line="143" w:lineRule="exact"/>
              <w:rPr>
                <w:sz w:val="20"/>
                <w:szCs w:val="20"/>
                <w:color w:val="auto"/>
              </w:rPr>
            </w:pPr>
            <w:r>
              <w:rPr>
                <w:rFonts w:ascii="Arial" w:cs="Arial" w:eastAsia="Arial" w:hAnsi="Arial"/>
                <w:sz w:val="14"/>
                <w:szCs w:val="14"/>
                <w:b w:val="1"/>
                <w:bCs w:val="1"/>
                <w:color w:val="auto"/>
              </w:rPr>
              <w:t>2007</w:t>
            </w:r>
          </w:p>
        </w:tc>
        <w:tc>
          <w:tcPr>
            <w:tcW w:w="1260" w:type="dxa"/>
            <w:vAlign w:val="bottom"/>
            <w:tcBorders>
              <w:top w:val="single" w:sz="8" w:color="auto"/>
            </w:tcBorders>
            <w:gridSpan w:val="2"/>
          </w:tcPr>
          <w:p>
            <w:pPr>
              <w:jc w:val="right"/>
              <w:ind w:right="252"/>
              <w:spacing w:after="0" w:line="143"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right"/>
              <w:ind w:right="267"/>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76"/>
              <w:spacing w:after="0" w:line="143" w:lineRule="exact"/>
              <w:rPr>
                <w:sz w:val="20"/>
                <w:szCs w:val="20"/>
                <w:color w:val="auto"/>
              </w:rPr>
            </w:pPr>
            <w:r>
              <w:rPr>
                <w:rFonts w:ascii="Arial" w:cs="Arial" w:eastAsia="Arial" w:hAnsi="Arial"/>
                <w:sz w:val="14"/>
                <w:szCs w:val="14"/>
                <w:b w:val="1"/>
                <w:bCs w:val="1"/>
                <w:color w:val="auto"/>
              </w:rPr>
              <w:t>2006</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$ 19,717,513</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$ 11,202,590</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$ 38,872,221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20,760,173</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23,249,098</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14,027,668</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43,823,923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26,024,069</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Rest of World (excluding India)</w:t>
            </w:r>
          </w:p>
        </w:tc>
        <w:tc>
          <w:tcPr>
            <w:tcW w:w="920" w:type="dxa"/>
            <w:vAlign w:val="bottom"/>
          </w:tcPr>
          <w:p>
            <w:pPr>
              <w:jc w:val="right"/>
              <w:spacing w:after="0"/>
              <w:rPr>
                <w:sz w:val="20"/>
                <w:szCs w:val="20"/>
                <w:color w:val="auto"/>
              </w:rPr>
            </w:pPr>
            <w:r>
              <w:rPr>
                <w:rFonts w:ascii="Arial" w:cs="Arial" w:eastAsia="Arial" w:hAnsi="Arial"/>
                <w:sz w:val="18"/>
                <w:szCs w:val="18"/>
                <w:color w:val="auto"/>
              </w:rPr>
              <w:t>53,228</w:t>
            </w:r>
          </w:p>
        </w:tc>
        <w:tc>
          <w:tcPr>
            <w:tcW w:w="3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166,823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$ 43,019,839</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$ 25,230,258</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$ 82,874,287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46,788,242</w:t>
            </w:r>
          </w:p>
        </w:tc>
      </w:tr>
      <w:tr>
        <w:trPr>
          <w:trHeight w:val="20"/>
        </w:trPr>
        <w:tc>
          <w:tcPr>
            <w:tcW w:w="57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459" w:right="259" w:bottom="360" w:gutter="0" w:footer="0" w:header="0"/>
        </w:sect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459" w:right="259" w:bottom="36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June 30, 2007</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2006</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 net</w:t>
            </w:r>
          </w:p>
        </w:tc>
        <w:tc>
          <w:tcPr>
            <w:tcW w:w="3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United States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1,761,739</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2,022,808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21,872,971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19,518,994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United Kingdom</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23,639,959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21,545,324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At June 30, 2007, the Company had committed to spend approximately $1,261,000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this policy, the Company has benefited from certain incentives on import of capital goods. Under this policy, Exl India, Inductis India and NCOP must achieve certain export ratios and realize revenues attributable to exports of approximately $244.5 million, $21.8 million and $43.4 million, respectively, over a period of five years.</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If Exl India, Inductis India and NCOP are unable to achieve their commitments over the specified period, Exl India, Inductis India and NCOP may be required to refund such incentives along with penalties and fines. Management, however, believes that Exl India, Inductis India and NCOP will achieve these export levels within the required timeframe.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the Company’s subsidiaries and the Company may be considered such transactions.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Indian tax authorities over the application of some of its transfer pricing policies. The Company has received three assessment orders from the Indian tax authorities with respect to their audit of certain of the Company’s subsidiaries.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first assessment for the tax year 2003-04 requires that Exl India pay additional taxes in the amount of approximately $2.4 million. The Company has paid approximately $0.8 million to the Indian tax authorities as a deposit in respect of the first assessment while it is contesting the above order before the appellate authorities.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second assessment order issued by the Indian taxing authorities regarding transfer pricing is with respect to their audit of EXL India’s 2004-05 tax year. The assessment order alleges that the transfer price applied to transactions between EXL India and EXL Inc. for the 2004-05 tax year was not appropriate and requires that EXL India pay additional taxes of $4.0 million. We have paid approximately $1.7 million to the Indian tax authorities as a deposit with respect to this assessment while we are contesting the above order before the appellate authorities.</w:t>
      </w:r>
    </w:p>
    <w:p>
      <w:pPr>
        <w:spacing w:after="0" w:line="11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third assessment requires the payment by Exl Inc. of approximately $3.6 million for the tax year 2003-04. Out of $3.6 million, the Company has already paid $1.7 million as a deposit in respect of the third assessment while it is contesting the above order before the appellate authorities.</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consolidated financial statements. The Company does not expect any impact from these assessments on its future income tax expense. The Company is subject to U.S. income taxes on the profits it recognizes in the United States. There is a possibility that the Company might receive similar orders for subsequent years until the above disputes are resolved. Amounts paid as deposits in respect of the assessments described above, totaling $4.2 million as of June 30, 2007, are included in “Other assets” in our June 30, 2007 consolidated balance sheet.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2006 Form 10-K. Some of the statements in the following discussion are forward looking statements. See “Forward 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recognized provider of offshore solutions, including BPO, research and analytics and advisory services, primarily serving the needs of Global 1000 companies in the banking, financial services and insurance sector as well as other industry sectors such as utilities. We provide integrated front-, middle- and back-office process outsourcing services and manage large-scale processes for our U.S. and U.K.-based clients.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market our services directly through our sales and marketing team, which operates out of U.S. and U.K., and our business development team, which operates out of India. We currently operate nine operations facilities in India and the U.S. including two operation facilities of Inductis.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completed the Inductis Acquisition on July 1, 2006. The Inductis Acquisition has expanded the types and sophistication of the research and analytics services we offer. The results of operations of Inductis are consolidated in our financial statements with effect from July 1, 2006. As a result, our results of operations for the three months ended June 30, 2007 are not comparable to our results of operations for the three months ended June 30, 2006. See “Inductis Acquisition” below.</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October 2006, we consummated an initial public offering of our shares of common stock. Our initial public offering resulted in net proceeds of $69.8 million to us after deducting underwriting discounts and commissions and related expenses. Our common stock is traded on the NASDAQ Global Select Market under the symbol “EXLS.” In connection with the October 2006 initial public offering, we effected the Conversion and the Stock Split.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revenues principally from contracts to provide BPO, research and analytics and advisory services. For the three and six months ended June 30, 2007, we had total revenues of $43.0 million and $82.9 million compared to total revenues of $25.2 million and $46.8 million for the corresponding periods in 2006, an increase of 70.6% and 77.1%. A portion of this increase is attributable to the Inductis Acquisition, which contributed $3.8 million and $8.0 million to our revenues for the three and six months ended June 30, 2007. The key drivers of our revenue growth for the three months ended June 30, 2007 were as follows:</w:t>
      </w:r>
    </w:p>
    <w:p>
      <w:pPr>
        <w:spacing w:after="0" w:line="3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our client base, both organically and through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Ongoing growth in existing client relationships.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of advisory services including Sarbanes-Oxley compliance, internal audit outsourcing, internal controls documentation and value-added services.</w:t>
      </w:r>
    </w:p>
    <w:p>
      <w:pPr>
        <w:spacing w:after="0" w:line="13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further acquisitions. Revenues from new clients are an indicator of successful marketing efforts and do not represent a trend in our results of operations. 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these operations centers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 Our revenues may also be adversely affected to the extent our existing clients reduce or eliminate their use of our service offerings. In particular, our revenues in 2007 are likely to be affected by the decision of one of our clients to change its outsourcing strategy by moving more of its work from its third-party contractors to its in-house group operating offshore.</w:t>
      </w:r>
    </w:p>
    <w:p>
      <w:pPr>
        <w:spacing w:after="0" w:line="127"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research, statistical and quantitative analytical techniques. We materially expanded our research and analytics capabilities and enhanced the strategic dimension of our services with the Inductis Acquisition.</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advisory services include risk assessment, documentation and internal controls testing and business process re-engineering and process quality monitoring.</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research and analytics services and our advisory services are cyclical and can be significantly affected by variations in business cycles. Changes in the deadline and the scope of work required for compliance with the Sarbanes-Oxley Act of 2002, for example, could have a significant impact on certain risk advisory service offerings of our advisory services business. 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serve clients mainly in the United States and the United Kingdom, with these two regions generating approximately 45.8% and 54.0%, respectively, of our total revenues in the three months ended June 30, 2007 and approximately 44.4% and 55.6%, respectively, of our total revenues in the three months ended June 30, 2006. For the six months ended June 30, 2007 these two regions generated approximately 46.9% and 52.9%, respectively, of our total revenues and approximately 44.4% and 55.6%, respectively, of our total revenues in the six months ended June 30, 2006.</w:t>
      </w:r>
    </w:p>
    <w:p>
      <w:pPr>
        <w:sectPr>
          <w:pgSz w:w="11900" w:h="16844" w:orient="portrait"/>
          <w:cols w:equalWidth="0" w:num="1">
            <w:col w:w="11420"/>
          </w:cols>
          <w:pgMar w:left="240" w:top="459" w:right="239" w:bottom="0" w:gutter="0" w:footer="0" w:header="0"/>
        </w:sectPr>
      </w:pPr>
    </w:p>
    <w:bookmarkStart w:id="20" w:name="page21"/>
    <w:bookmarkEnd w:id="20"/>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revenues from a limited number of large clients. In the three months ended June 30, 2007 and 2006, our total revenues from our two largest clients grew to $23.2 million and $14.0 million, respectively, accounting for 54.0% and 55.6% of our total revenues, respectively, during these periods. In the six months ended June 30, 2007 and 2006, our total revenues from our two largest clients grew to $43.8 million and $26.0 million, respectively, accounting for 52.8% and 55.5% of our total revenues, respectively, during these periods.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131"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provide services to Norwich Union (an Aviva company), which represented $12.4 million, or 28.8%, and $23.5 million, or 28.3% of our total revenues in the three and six months ended June 30, 2007, respectively, and $10.4 million, or 41.4%, and $20.3 million, or 43.3% of our total revenues for the same periods in 2006, under two framework agreements and work orders generated by these agreements. The first framework agreement and all work orders under that agreement can be terminated without cause by our client at anytime after October 1, 2007 by giving three months notice. Norwich Union may terminate this agreement without cause or penalty with three months notice. The second framework agreement expires in July 2009 and can be terminated by Norwich Union without cause upon six months prior notice and payment to us of a break-up fee during its initial term. After the initial term of the second framework agreement, Norwich Union may terminate this agreement without cause or penalty with six months notice. We provide services to Centrica plc, which represented $10.8 million, or 25.2%, and $20.3 million, or 24.5%, of our total revenues for the three and six months ended June 30, 2007, respectively, and $3.6 million, or 14.2%, and $5.7 million, or 12.1%, of our total revenues for the three and six months ended June 30, 2006, respectively, under an agreement that has an initial term that expires in July 2008 and that can be terminated by Centrica plc for cause only during its initial term. Contracts with other BPO clients representing approximately 24.4% of our total BPO revenues for the three months ended June 30, 2007 and 26.4% of our total BPO revenues for the six months ended June 30, 2007 will expire prior to June 30, 2008, while the remainder of our BPO contracts expire in more than one year or do not have specified initial terms and remain in effect until terminated or until there are no work orders or engagement schedules.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derived revenues from 11 and 7 new clients for our services, including advisory and research and analytics services, in the three months ended June 30, 2007 and 2006, respectively. We derived revenues from 24 and 9 new clients for our services, including advisory and research and analytics services, in the six months ended June 30, 2007 and 2006, respectively. By acquiring Inductis, we obtained 17 additional new clients in 2006. Although we are increasing and diversifying our customer base, we expect in the near future that a significant portion of our revenues will continue to be contributed by a limited number of large clients.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June 30, 2007 and June 30, 2006, 5.1% and 3.6%, respectively, of our revenues represent reimbursement of such expenses. For the six months ended June 30, 2007 and June 30, 2006, 4.8% and 4.2%, respectively, of our revenues represent reimbursement of such expenses. Our operating results may vary significantly from period to period as a result of various factors, including, for example, seasonal changes in our clients’ operations or macroeconomic effects on our clients’ businesses.</w:t>
      </w:r>
    </w:p>
    <w:p>
      <w:pPr>
        <w:spacing w:after="0" w:line="12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and U.K. pound sterling/U.S. dollar foreign currency exposures, our results of operations may be adversely affected if there is significant fluctuation among the Indian rupee, the U.K. pound sterling and the U.S. dollar or if our hedging strategy is unsuccessful.</w:t>
      </w:r>
    </w:p>
    <w:p>
      <w:pPr>
        <w:spacing w:after="0" w:line="11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Norwich Union has the option (“Transfer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recently exercised its option to assume the operations of the facilities of one of its third party vendor-contractors and has publicly announced its intention to start exercising its option to assume the operations of the facilities of certain of its other third party vendor-contractors, including one of our facilities in Pune. The affected facility generated 16.5% and 16.3% of our total revenues in the three and six months ended June 30, 2007, respectively, as compared to 22.7% and 23.9%, respectively, for the corresponding prior year periods. We expect that any decline in revenues that we would experience when Norwich Union exercises this option would be partially offset by a decrease in expenses associated with the operation of the affected Pune facility.</w:t>
      </w:r>
    </w:p>
    <w:p>
      <w:pPr>
        <w:spacing w:after="0" w:line="11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July 16, 2007, we entered into a letter agreement, effective as of July 1, 2007, with Norwich Union, amending the terms of exercise of Norwich Union's Transfer Option, to reduce the notice period for the exercise of the Transfer Option from six months to three months. The earliest date for the exercise of the Transfer Option is now October 1, 2007. If the Transfer Option is exercised, the earliest date by which we would be required to transfer the Pune facility to Norwich Union remains January 1, 2008. The remaining terms of our agreements with Norwich Union remain substantially unchanged.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and rent expenses.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stock compensation expense relating to our issuance of stock options to employees directly involved in providing services to our clients.</w:t>
      </w:r>
    </w:p>
    <w:p>
      <w:pPr>
        <w:sectPr>
          <w:pgSz w:w="11900" w:h="16838" w:orient="portrait"/>
          <w:cols w:equalWidth="0" w:num="1">
            <w:col w:w="11420"/>
          </w:cols>
          <w:pgMar w:left="240" w:top="459" w:right="239" w:bottom="0" w:gutter="0" w:footer="0" w:header="0"/>
        </w:sectPr>
      </w:pPr>
    </w:p>
    <w:bookmarkStart w:id="22" w:name="page23"/>
    <w:bookmarkEnd w:id="22"/>
    <w:p>
      <w:pPr>
        <w:ind w:firstLine="456"/>
        <w:spacing w:after="0" w:line="294" w:lineRule="auto"/>
        <w:rPr>
          <w:sz w:val="20"/>
          <w:szCs w:val="20"/>
          <w:color w:val="auto"/>
        </w:rPr>
      </w:pPr>
      <w:r>
        <w:rPr>
          <w:rFonts w:ascii="Arial" w:cs="Arial" w:eastAsia="Arial" w:hAnsi="Arial"/>
          <w:sz w:val="16"/>
          <w:szCs w:val="16"/>
          <w:color w:val="auto"/>
        </w:rPr>
        <w:t>A significant portion of our increase in cost of revenues for the three months ended June 30, 2007 and six months ended June 30, 2007 over the same period in 2006 is a result of the Inductis Acquisition, which contributed $3.6 million and $7.3 million to our consolidated cost of revenues. We expect our cost of revenues to continue to increase as we continue to add professionals in India and the United States, to service additional business, in particular as our research and analytics and advisory services businesses grow, both organically and as a result of acquisitions, and as wages continue to increase in India. In particular, we expect training costs to continue to increase as we continue to add staff to service new clients.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in a new contract engages us,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expect cost of revenues to increase when we add new operations facilities due to increases in telecommunication and rent expenses and other facilities operating costs. In particular, we recently opened a new operations facility in Noida, India, having a total capacity of 1,200 workstations, and are contractually committed to one of our clients to establish and maintain a viable BPO offshore operation outside of India by September 2008. As we increase the amount of physical infrastructure available to perform our operations, we expect that utilization will decrease and this will have a negative impact on our operating margin. The India Finance Act, 2007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cash outflow and expense in connection with any expansion of our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client relationship management, travel and brand building. We expect that sales and marketing expenses will continue to increase as we invest heavily in our front-end sales and client relationship management functions to better serve our clients. We also expect our costs to increase as we continue to strengthen our back-end support and enabling functions and drive additional management development programs and training initiatives. We also expect our accounting, insurance and legal fees to continue to increase as a result of being a public company. SG&amp;A expenses also include non-cash amortization of stock compensation expense related to our issuance of stock options and restricted stock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in the Inductis Acquisition is part of depreciation and amortization. As we add facilities, including our new operations facility in Noida, India, we expect that depreciation expense will increase, reflecting additional investments in equipment such as desktop computers, servers and other infrastructure.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report our financial results in U.S. dollars and a substantial portion of our total revenues is earned in U.K. pound sterling. Accordingly, our results of operations are adversely affected if the U.K. pound sterling depreciates against the U.S. dollar. Although substantially all of our revenues are denominated in U.S. dollars or U.K. pound sterling (45.8% and 54.2%, respectively, for the three months ended June 30, 2007 and 46.9% and 52.9%, respectively, for the six months ended June 30, 2007, as compared to 44.4% and 55.6%, respectively, for the three months ended June 30, 2006 and 44.4% and 55.6%, respectively, for the six months ended June 30, 2006), most of our expenses (69.1% in the three months ended June 30, 2007 and 65.7% in the six months ended June 30, 2007) were incurred and paid in Indian rupees.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Regulation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that is registered with a software technology park or an export processing zone in India, such as our subsidiaries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received are earned within a period of 12 months. If Exl India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ExlService Holdings and Inductis receive payments under most of their respective client contracts and are invoiced by Exl India and Inductis India, as applicable, for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 of employees and discharge of foreign exchange are met using the foreign currency in that account. As and when funds are required in India, such funds are transferred to an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India Finance Act, 2000 provides Exl India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 Finance Act, 2000 for a tax holiday until March 31, 2009.</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 result of the tax holiday, our BPO service operations have been subject to relatively lower tax liabilities. For example, we recognized lower income tax expense with respect to the Company’s foreign operations for the three months ended June 30, 2007 as a result of the tax holiday, compared to approximately $2.0 million that we would have incurred if the tax holiday had not been available for that period (without accounting for double taxation treaty set-offs). When our tax holiday expires or terminates, our tax expense will materially increase. While we have incurred losses in the prior periods under applicable Indian tax laws, we have decided not to carry forward these losses.</w:t>
      </w:r>
    </w:p>
    <w:p>
      <w:pPr>
        <w:sectPr>
          <w:pgSz w:w="11900" w:h="16838" w:orient="portrait"/>
          <w:cols w:equalWidth="0" w:num="1">
            <w:col w:w="11380"/>
          </w:cols>
          <w:pgMar w:left="240" w:top="459" w:right="279" w:bottom="119" w:gutter="0" w:footer="0" w:header="0"/>
        </w:sectPr>
      </w:pPr>
    </w:p>
    <w:bookmarkStart w:id="24" w:name="page25"/>
    <w:bookmarkEnd w:id="24"/>
    <w:p>
      <w:pPr>
        <w:ind w:right="4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India Finance Act, 2007 includes the imposition of MAT obligations beginning in April 2007. Pursuant to such change we have calculated our tax liability including MAT. The MAT liability can be carried forward and set off against future tax liabilities. In accordance with SFAS 109 “Accounting for Income Taxes” a deferred tax asset of $893,446 has been recognized as of June 30, 2007.</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U.S. and Indian transfer-pricing regulations require that any international transaction involving associated enterprises be at an arm’s-length price. Transactions among our subsidiaries and ExlService Holdings Inc.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three assessment orders from the Indian tax authorities with respect to their audit of certain of our subsidiaries.</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first assessment order issued by the Indian taxing authorities regarding transfer pricing relates to their audit of EXL India’s 2003-04 tax year. The assessment order alleges that the transfer price we applied to transactions between EXL India and EXL Inc. for the 2003-04 tax year was not appropriate and disallows certain expenses claimed as tax deductible by EXL India. This assessment demands that EXL India pay additional taxes in the amount of $2.4 million. We have paid approximately $0.8 million to the Indian tax authorities as a deposit in respect of this assessment and may have to deposit additional amounts in the future while we are contesting the above order before the appellate authorities.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$4.0 million. We have paid approximately $1.7 million to the Indian tax authorities as a deposit in respect of this assessment and may have to deposit additional amounts in the future while we are contesting the above order before the appellate authorities.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$3.6 million. Out of the $3.6 million demanded, we have paid approximately $1.7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for the 2003-04 tax year as well as for subsequent years.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unaudited consolidated financial statements. We do not expect any impact from these assessments on our future income tax expense. We are subject to U.S. income taxes on the profits we recognize in the United States. There is a possibility that we might receive similar orders for subsequent years until the common dispute is resolved.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Inductis Acquisition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The total consideration for the Inductis Acquisition, including the assumption of liabilities, earn-out and contingent payments and transaction costs, could be approximately $31.5 million. As of June 30, 2007, we have paid approximately $17.7 million of such consideration including $3.0 million cash and the issuance of 1,307,235 shares of our common stock with a fair value of $14.6 million (including 257,273 shares of common stock issued as earn out consideration for performance related to the period ended December 31, 2006).</w:t>
      </w:r>
    </w:p>
    <w:p>
      <w:pPr>
        <w:spacing w:after="0" w:line="11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also agreed to make certain additional earn-out payments to the former holders of Inductis securities based on the satisfaction of certain agreed-upon financial performance goals for the Inductis business in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The value of any such contingent payments could range from $0.6 million to $6.5 million. However, based on the current and expected performance of Inductis in 2007, it is unlikely that any such contingent payments will be required.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unaudited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occur exactly as forecasted,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fixed</w:t>
      </w:r>
    </w:p>
    <w:p>
      <w:pPr>
        <w:spacing w:after="0" w:line="1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price, contingent fee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1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June 30, 2007.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w:t>
      </w:r>
    </w:p>
    <w:p>
      <w:pPr>
        <w:sectPr>
          <w:pgSz w:w="11900" w:h="16838" w:orient="portrait"/>
          <w:cols w:equalWidth="0" w:num="1">
            <w:col w:w="11400"/>
          </w:cols>
          <w:pgMar w:left="240" w:top="459" w:right="259" w:bottom="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280"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not on the basis of an assessment of whether it is more likely than not that a deferred tax asset will be realized. At June 30, 2007, we performed an analysis of the deferred tax asset valuation allowance on our Indian subsidiaries and concluded that a valuation allowance offsetting certain deferred tax assets be recorded, based on our conclusion that it is more likely than not that there will not be future taxable income to realize the deferred tax assets. We perform this assessment at the end of each period. See Note 12, “Income Taxes,” in the notes to our unaudited consolidated financial statements for the three months ended June 30, 2007.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Effective January 1, 2006, we adopted SFAS No. 123(R) using the modified prospective method of transition with regard to stock-based awards. Before the consummation of our October 2006 initial public offering, we used a third party valuation firm to perform valuations of the fair value of our securities in connection with certain stock-based equity grants.</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See Note 2, “Summary of Significant Accounting Policies,” and Note 13, “Stock Based Compensation,” in the notes to our unaudited consolidated financial statements for the three months ended June 30, 2007, for significant factors considered in determining the fair value of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At June 30, 2007, forward exchange contracts of $33.5 million and GBP22.0 million were outstanding. We have evaluated the effectiveness of all our forward exchange contracts. For the three months ended June 30, 2007 and 2006, net gains from ineffective cash flow hedges included in the consolidated statements of income totaled $0.9 million and $(1.0) million respectively. For the six months ended June 30, 2007 and 2006, net gains from ineffective cash flow hedges included in the consolidated statements of income totaled $1.0 million and $(1.0) million respectively. For hedge relationships discontinued because the forecasted transaction is not expected to occur by the end of the originally specified period, any related derivative amounts recorded in accumulated comprehensive income are reclassified to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18"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8" w:name="page29"/>
    <w:bookmarkEnd w:id="28"/>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3"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42,646,251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24,650,263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82,150,252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46,107,597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Revenues (from related party)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373,588</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579,995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43,019,839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25,230,258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82,874,287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46,788,242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28,798,645</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15,941,695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53,280,613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29,887,639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14,221,194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9,288,563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29,593,674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16,900,603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6,805,341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3,633,351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7,308,380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Selling and marketing expenses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2,027,727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685,909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3,991,257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2,764,035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1,875,243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3,639,974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11,597,103</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6,194,503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22,037,082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12,396,454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2,624,091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3,094,060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7,556,592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2,294,904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(1,100,715)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2,865,011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1,018,782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363,759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2,026,584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(203,767)</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5,928,218</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2,255,356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12,421,107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4,201,870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308,170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670,196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1,392,433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0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5,620,048</w:t>
            </w: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1,585,160</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3,698,442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and accretion on preferred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(342,379)</w:t>
            </w: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gridSpan w:val="3"/>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5,620,048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1,411,509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11,028,674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3,356,063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86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28,495,781</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21,224,168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28,319,530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21,217,626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29,210,372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21,407,834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29,050,897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21,429,822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revenues includes $0.3 million and $0.0 for the three months ended June 30, 2007 and June 30, 2006, respectively, and $0.5 million and $0.0 million for the six months ended June 30, 2007 an June 30, 2006, respectively, as amortization of stock compensation expense relating to issuance of equity awards to employees directly involved in providing services to our clients as described in Note 13. Cost of revenues excludes depreciation and amortization related to fixed assets.</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SG&amp;A expenses include $0.8 million and $0.2 million for the three months ended June 30, 2007 and June 30, 2006, respectively, and $1.4 million and $0.4 million for the six months ended June 30, 2007 and June 30, 2006, respectively, as amortization of stock compensation expense relating to issuance of equity awards to our non-operations staff as described in Note 13 to our consolidated financial statements.</w:t>
      </w:r>
    </w:p>
    <w:p>
      <w:pPr>
        <w:spacing w:after="0" w:line="2"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and amortization includes $0.6 million and $0 for the three months ended June 30, 2007 and June 30, 2006, respectively, and $1.2 million and $0 for the six months ended June 30, 2007 and June 30, 2006, respectively, of amortization of intangibles as described in Note 3 to our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2007 Compared to Three Months Ended June 30, 2006</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result of the Inductis Acquisition, our results of operations for the three months ended June 30, 2007 are not comparable to the three months ended June 30, 2006. Our results of operations for the three months ended June 30, 2007 were favorably impacted by an increase in revenues attributable to the Inductis Acquisition and an increase in BPO and advisory revenue and negatively impacted by changes in exchange rates and a decrease in utilization rates attributable to expansion.</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70.6% from $25.2 million for the three months ended June 30, 2006 (including $0.9 million of reimbursable expenses)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$43.0 million for the three months ended June 30, 2007 (including $2.2 million of reimbursable expenses). We recognized revenues from 58 clients (including 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clients acquired in the Inductis Acquisition) during the three months ended June 30, 2007, compared to 39 clients during the three months ended June 30,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attributable to 11 new clients (excluding revenue increase attributable to existing clients) were $0.8 million during the three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 Revenue</w:t>
      </w:r>
    </w:p>
    <w:p>
      <w:pPr>
        <w:spacing w:after="0" w:line="9"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increases from existing clients were attributable to faster than expected volume increases within existing processes and the addition of new processes. The increase in revenue was also attributable to the strength of the UK pound sterling with respect to the US dollar during the period.</w:t>
      </w:r>
    </w:p>
    <w:p>
      <w:pPr>
        <w:spacing w:after="0" w:line="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81.1% from $15.9 million for the three months ended June 30, 2006 to $28.8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2007. Cost of revenues for the three months ended June 30, 2007 includes $3.6 million related to the Inductis business, which was not included in cost of revenues for the three months ended June 30, 2006. Salaries and personnel expenses increased from $10.6 million in the three months ended June 30, 2006 to $20.4 million in the three months ended June 30, 2007 as a result of an increase in headcount and salary levels. Cost of revenues also increased due to an increase in reimbursable expenses, primarily as a result of significant additional costs associated with training activities on client premises. Facilities operating costs increased from $2.0 million for the three months ended June 30, 2006 to $2.7 million for the three months ended June 30, 2007, primarily reflecting our increased workforce and increased operating capacity. Cost of revenues also increased due to the strengthening of India rupee with respect to the US dollar. Cost of revenues includes $0.3 million and $0.0 for the three months ended June 30, 2007 and June 30, 2006, respectively, for amortization of stock compensation expense relating to our issuance of stock options to employees directly involved in providing services to our clients. As a percentage of revenues, cost of revenues increased from 63.1% for the three months ended June 30, 2006 to 67.0% for the three months ended June 30, 2007.</w:t>
      </w:r>
    </w:p>
    <w:p>
      <w:pPr>
        <w:spacing w:after="0" w:line="12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52.7% from $9.3 million for the three months ended June 30, 2006 to $14.2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2007, including $0.5 million for the three months ended June 30, 2007 from Inductis. The increase in gross profit is primarily the result of increased</w:t>
      </w:r>
    </w:p>
    <w:p>
      <w:pPr>
        <w:sectPr>
          <w:pgSz w:w="11900" w:h="16952" w:orient="portrait"/>
          <w:cols w:equalWidth="0" w:num="1">
            <w:col w:w="11420"/>
          </w:cols>
          <w:pgMar w:left="240" w:top="459" w:right="239" w:bottom="0" w:gutter="0" w:footer="0" w:header="0"/>
        </w:sectPr>
      </w:pPr>
    </w:p>
    <w:bookmarkStart w:id="29" w:name="page30"/>
    <w:bookmarkEnd w:id="29"/>
    <w:p>
      <w:pPr>
        <w:spacing w:after="0" w:line="268" w:lineRule="auto"/>
        <w:rPr>
          <w:sz w:val="20"/>
          <w:szCs w:val="20"/>
          <w:color w:val="auto"/>
        </w:rPr>
      </w:pPr>
      <w:r>
        <w:rPr>
          <w:rFonts w:ascii="Arial" w:cs="Arial" w:eastAsia="Arial" w:hAnsi="Arial"/>
          <w:sz w:val="18"/>
          <w:szCs w:val="18"/>
          <w:color w:val="auto"/>
        </w:rPr>
        <w:t>revenues. Gross profit as a percentage of revenues however decreased from 36.9% for the three months ended June 30, 2006 to 33.0% for the three months ended June 30, 2007.</w:t>
      </w:r>
    </w:p>
    <w:p>
      <w:pPr>
        <w:spacing w:after="0" w:line="132"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b w:val="1"/>
          <w:bCs w:val="1"/>
          <w:i w:val="1"/>
          <w:iCs w:val="1"/>
          <w:color w:val="auto"/>
        </w:rPr>
        <w:t>Selling General &amp; Administrative (SG&amp;A) Expenses</w:t>
      </w:r>
      <w:r>
        <w:rPr>
          <w:rFonts w:ascii="Arial" w:cs="Arial" w:eastAsia="Arial" w:hAnsi="Arial"/>
          <w:sz w:val="18"/>
          <w:szCs w:val="18"/>
          <w:color w:val="auto"/>
        </w:rPr>
        <w:t>. SG&amp;A expenses increased 104.7% from $4.3 million for the three months ended June 30, 2006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w:t>
      </w:r>
    </w:p>
    <w:p>
      <w:pPr>
        <w:sectPr>
          <w:pgSz w:w="11900" w:h="16838" w:orient="portrait"/>
          <w:cols w:equalWidth="0" w:num="1">
            <w:col w:w="11360"/>
          </w:cols>
          <w:pgMar w:left="240" w:top="131" w:right="299" w:bottom="1440" w:gutter="0" w:footer="0" w:header="0"/>
        </w:sectPr>
      </w:pPr>
    </w:p>
    <w:bookmarkStart w:id="30" w:name="page31"/>
    <w:bookmarkEnd w:id="30"/>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$8.8 million for the three months ended June 30, 2007. General and administrative expenses increased 88.9% from $3.6 million for the three months ended June 30, 2006 to $6.8 million for the three months ended June 30, 2007 and selling and marketing expenses increased 185.7% from $0.7 million for the three months ended June 30, 2006 to $2.0 million for the three months ended June 30, 2007. These increases were primarily due to the addition of corporate and sales and marketing staff in the United States, appreciation of the Indian rupee against the U.S. dollar, as well as an increase in audit and other professional fees incurred as a result of becoming a public company. The increase in SG&amp;A expenses is also attributed to the addition of $1.9 million in expenses incurred by Inductis. Salary and personnel expenses increased from $2.6 million for the three months ended June 30, 2006 to $4.2 million for the three months ended June 30, 2007. Salaries and personnel expense included $0.7 million in expenses as a result of the Inductis Acquisition. SG&amp;A expenses include $0.8 million and</w:t>
      </w:r>
    </w:p>
    <w:p>
      <w:pPr>
        <w:ind w:right="40"/>
        <w:spacing w:after="0" w:line="254" w:lineRule="auto"/>
        <w:rPr>
          <w:sz w:val="20"/>
          <w:szCs w:val="20"/>
          <w:color w:val="auto"/>
        </w:rPr>
      </w:pPr>
      <w:r>
        <w:rPr>
          <w:rFonts w:ascii="Arial" w:cs="Arial" w:eastAsia="Arial" w:hAnsi="Arial"/>
          <w:sz w:val="18"/>
          <w:szCs w:val="18"/>
          <w:color w:val="auto"/>
        </w:rPr>
        <w:t>$0.2 million for the three months ended June 30, 2007 and the three months ended June 30, 2006,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17.1% for the three months ended June 30, 2006 to 20.5% for the three months ended June 30, 2007.</w:t>
      </w:r>
    </w:p>
    <w:p>
      <w:pPr>
        <w:spacing w:after="0" w:line="14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increased 47.4% from $1.9 million for the three months ended June 30, 2006 to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June 30, 2007. The increase was primarily due to the amortization of intangibles acquired from Inductis, impact of change in exchange rates on the depreciation related to foreign subsidiaries and expansion of our infrastructure. We have opened a new operations facility in Noida, having a total capacity of 1,200 workstations. As we add facilities, we also expect that depreciation expense will increase, reflecting additional investment in equipment and facilities necessary to meet service requirements.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decreased 16.1% from $3.1 million for the three months ended June 30, 2006 to $2.6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2007. Operating margin decreased period-to-period due to an increase in SG&amp;A expenses and depreciation and amortization as well as due to changes in exchange rates. For the three months ended June 30, 2007 our margins were negatively impacted by 1.4% due to exchange rate changes. As a percentage of revenues, income from operations decreased from 12.3% for the three months ended June 30, 2006 to 6.1% for the three months ended June 30, 2007.</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b w:val="1"/>
          <w:bCs w:val="1"/>
          <w:i w:val="1"/>
          <w:iCs w:val="1"/>
          <w:color w:val="auto"/>
        </w:rPr>
        <w:t>Other Income (Expense)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income (expense) is comprised of foreign exchange gains and losses, interest income and expense and interest expense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redeemable preferred stock. Other income increased from expense of $0.8 million for the three months ended June 30, 2006 to income of $3.3 million for the three months ended June 30, 2007. The increase is due to an increase in interest income on the net proceeds from our October 2006 initial public offering, foreign exchange gains on forward contracts and a reduction in interest expense due to the repayment of our preferred stock in October and November 2006.</w:t>
      </w:r>
    </w:p>
    <w:p>
      <w:pPr>
        <w:spacing w:after="0" w:line="9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decreased from a charge of $0.7 million for the three months ended June 30, 2006 to a charge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$0.3 million for the three months ended June 30, 2007 and the corresponding effective tax rate has decreased from 30% for the three month ended June 30, 2006 to a rate of 5% for the three months ended June 30, 2007. This is primarily due to a change effective April 1, 2007 in our internal transfer pricing agreement between India and U.S entities to exclude the impact of unrealized foreign exchange gains from the transfer pricing computation. See Note 12, “Income Taxes”, in the notes to our unaudited consolidated financial statements for the three months ended June 30, 2007.</w:t>
      </w:r>
    </w:p>
    <w:p>
      <w:pPr>
        <w:spacing w:after="0" w:line="11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Dividends and Accretion on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accretion on preferred stock were $0 for the three months ended June 30, 2007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$0.2 million for the three months ended June 30, 2006, reflecting the repayment of our preferred stock in October and November 2006.</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300.0% from $1.4 million for the three months ended June 30,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$5.6 million for the three months ended June 30, 2007. Net income margin increased period-to-period due to the increased revenue, favorable exchange rates and better capacity utilization. The significant increase in net income to common stockholders does not represent a trend in our results of operations and will vary as we build capacity for future ramps ups and exchange rates fluctuate. As a percentage of revenues, net income increased from 5.6% for the three months ended June 30, 2006 to 13.0 % for the three months ended June 30,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2007 Compared to Six Months Ended June 30, 2006</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a result of the Inductis Acquisition, our results of operations for the six months ended June 30, 2007 are not comparable to the six months ended June 30, 2006. Our results of operations for the six months ended June 30, 2007 are favorably impacted by an increase in revenues attributable to the Inductis Acquisition, increase in BPO and advisory revenues. This is offset by impact of exchange rates. As we increase the amount of physical infrastructure available to perform our operations, we expect that utilization will decrease, which will have a negative impact on our operating margin. Also, exchange rates fluctuations will have a positive or a negative impact on our net income depending on the direction of fluctuation.</w:t>
      </w:r>
    </w:p>
    <w:p>
      <w:pPr>
        <w:spacing w:after="0" w:line="11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increased 77.1% from $46.8 million for the six months ended June 30, 2006 (including $1.9 million of reimbursable expenses) to $82.9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 months ended June 30, 2007 (including $4.0 million of reimbursable expenses). We recognized revenues from 64 clients (including 17 clients acquired in the Inductis Acquisition), including clients for our research and analytics services and our advisory services, during the six months ended June 30, 2007 compared to 39 clients during the six months ended June 30, 2006. Revenues attributable to 24 new clients obtained during six months ended June 30, 2007 was $2.5 million. Revenue increases from existing clients were attributable to faster than expected volume increases within existing processes and the addition of new processes. The increase in revenue was also attributable to the strengthening in the U.K pound sterling with respect to the U.S dollar exchange rates during the period.</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78.3% from $29.9 million for the six months ended June 30, 2006 to $53.3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2007. Cost of revenues for the six months ended June 30, 2007 includes $7.3 million related to the Inductis business, which was not included in cost of revenues for the six months ended June 30, 2006. Salaries and personnel expenses increased from $19.7 million in the six months ended June 30, 2006 to $37.4 million in the six months ended June 30, 2007 as a result of an increase in headcount and salary levels. Cost of revenues also increased due to an increase in reimbursable expenses, primarily as a result of significant additional costs associated with training activities on client premises. Facilities operating costs increased from $3.8 million for the six months ended June 30, 2006 to $4.8 million for the six months ended June 30, 2007, primarily reflecting our increased workforce and increased operating capacity. Cost of revenues includes $0.5 million and $0 for the six months ended June 30, 2007 and June 30, 2006, respectively, for amortization of stock compensation expense relating to our issuance of stock options to employees directly involved in providing services to our clients. As a percentage of revenues, cost of revenues increased marginally from 63.9% for the six months ended June 30, 2006 to 64.3% for the six months ended June 30, 2007.</w:t>
      </w:r>
    </w:p>
    <w:p>
      <w:pPr>
        <w:spacing w:after="0" w:line="12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75.1% from $16.9 million for the six months ended June 30, 2006 to $29.6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including $0.9 million for the six months ended June 30, 2007 from Inductis. The increase in gross profit is primarily the result of increased revenue. The increase in gross profit does not represent a trend in our results of operations. As a result, gross profit as a percentage of revenues decreased marginally from 36.1% for the six months ended June 30, 2006 to 35.7% for the six months ended June 30, 2007.</w:t>
      </w:r>
    </w:p>
    <w:p>
      <w:pPr>
        <w:sectPr>
          <w:pgSz w:w="11900" w:h="16844" w:orient="portrait"/>
          <w:cols w:equalWidth="0" w:num="1">
            <w:col w:w="11420"/>
          </w:cols>
          <w:pgMar w:left="240" w:top="459" w:right="239" w:bottom="0" w:gutter="0" w:footer="0" w:header="0"/>
        </w:sectPr>
      </w:pPr>
    </w:p>
    <w:bookmarkStart w:id="31" w:name="page32"/>
    <w:bookmarkEnd w:id="31"/>
    <w:p>
      <w:pPr>
        <w:ind w:firstLine="456"/>
        <w:spacing w:after="0" w:line="28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90.9% from $8.8 million for the six months ended June 30, 2006 to $16.8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2007. General and administrative expenses increased 75.3% from $7.3 million for the six months ended June 30, 2006 to $12.8 million for the six months ended June 30, 2007 and selling and marketing expenses increased 166.7% from $1.5 million for the six months ended June 30, 2006 to $4.0 million for the six months ended June 30, 2007. These increases were primarily due to the addition of corporate and sales and marketing staff in the United States, as well as an increase in audit and other professional fees incurred as a result of becoming a public company. The increase in SG&amp;A expenses is also attributed to the addition of $3.7 million in expenses incurred by Inductis. Salary and personnel expenses increased from $5.3 million for the six months ended June 30, 2006 to $8.1 million for the six months ended June 30, 2007. SG&amp;A expenses include $1.4 million and $0.4 million for the six months ended June 30, 2007 and the six months ended June 30, 2006, respectively, on account of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18.8% for the six months ended June 30, 2006 to 20.3% for the six months ended June 30, 2007.</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31" w:right="319" w:bottom="1440" w:gutter="0" w:footer="0" w:header="0"/>
        </w:sectPr>
      </w:pPr>
    </w:p>
    <w:bookmarkStart w:id="32" w:name="page33"/>
    <w:bookmarkEnd w:id="3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increased 44.4% from $3.6 million for the six months ended June 30, 2006 to $5.2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2007. The increase was primarily due to the amortization of intangibles acquired from Inductis. We have constructed a new operations facility in Noida, having a total capacity of 1,200 workstations out of which approximately 400 workstations became operational in April 2007 and the remaining in July 2007. As we add facilities, we also expect that depreciation expense will increase, reflecting additional investment in equipment and facilities necessary to meet service requirements.</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68.9% from $4.5 million for the six months ended June 30, 2006 to $7.6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2007. Operating margin increased due to a significant increase in revenue from BPO and advisory services partly caused by seasonal factors, a higher than expected demand, favorable exchange rates and better capacity utilization rate. This was partly offset by a loss of $2.9 million at Inductis due to lower demand caused primarily by lower discretionary spending among its largest customers. As a percentage of revenues, income from operations decreased from 9.6% for the six months ended June 30, 2006 to 9.1% for the six months ended June 30, 2007. The decrease in income from operations does not represent a trend in our results of operations and we expect a decrease in our operating margin in 2007 as compared to previous quarters as we make key investments in our infrastructure and support functions.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Other Income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income (expense) is comprised of foreign exchange gains and losses, interest income and interest expense. Other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significantly from an expense of $0.3 million for the six months ended June 30, 2006 to an income of $4.9 million for the six months ended June 30, 2007 as a result of interest income on the net proceeds from our October 2006 initial public offering, increase in foreign exchange gains and reduction in interest expense due to the repayment of our preferred stock in October and November 2006.</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increased from a charge of $0.5 million for the six months ended June 30, 2006 to an expense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$1.4 million for the six months ended June 30, 2007 and the corresponding effective rate of taxes has decreased marginally from a provision of 12% for the six month ended June 30, 2006 to a provision of 11% for the six months ended June 30, 2007. The increase in provision for income tax is primarily because of an increase in U.S. income, which is subject to tax, resulting in an increase in current taxes to $2.1 million for the six months ended June 30, 2007 from 1.3 million for the six months ended June 30, 2006. This was partly offset by the recognition of a deferred tax asset of $0.7 million for the six months ended June 30, 2007 compared to a benefit of $0.8 million for the six months ended June 30, 2006 and a change in our internal transfer pricing agreement effective April 1, 2007. See Note 12, “Income Taxes,” in the notes to our unaudited consolidated financial statements for the six months ended June 30, 2007</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b w:val="1"/>
          <w:bCs w:val="1"/>
          <w:i w:val="1"/>
          <w:iCs w:val="1"/>
          <w:color w:val="auto"/>
        </w:rPr>
        <w:t>Dividends and Accretion on Preferred 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accretion on preferred stock were $0 for the six months ended June 30, 2007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$0.3 million for the six months ended June 30, 2006, reflecting the repayment of our preferred stock in October and November 2006.</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223.5% from $3.4 million for the six months ended June 30, 2006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$11.0 million for the six months ended June 30, 2007. Net income margin increased period-to-period due to the increased revenue, impact due to changes in exchange rates after considering hedge gains and better capacity utilization. The significant increase in net income to common stockholders does not represent a trend in our results of operations and will vary as we build capacity for future ramps ups and exchange rates fluctuate. As a percentage of revenues, net income increased from 7.3% for the six months ended June 30, 2006 to 13.3% for the six months ended June 30,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2007, we had $82.6 million in cash and cash equivalents on hand.</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2006, we consummated an initial public offering of our common stock. In the offering, we issued and sold 5,750,000 shares of our common stock at an initial offering price of $13.50 per share, resulting in gross proceeds of $77.6 million and net proceeds of approximately $69.8 million after deducting underwriting discounts and commissions of approximately $5.4 million and related offering expenses of approximately $2.4 million. We used approximately $6.7 million of the net proceeds from the initial public offering to repurchase all of our outstanding shares of preferred stock and approximately $5.8 million to repay all outstanding senior promissory notes payable to certain stockholders.</w:t>
      </w:r>
    </w:p>
    <w:p>
      <w:pPr>
        <w:spacing w:after="0" w:line="11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Cash flows from operating activities decreased from $2.7 million in the six months ended June 30, 2006 to $1.1 million in the six months ended June 30, 2007.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decrease in cash flows from operations is predominantly due to a payment of taxes, timing of payments to vendors and decreases in other assets. This was offset by a decrease in other current assets. Net income increased in the six months ended June 30, 2007 by $6.4 million compared to the six months ended June 30, 2006 due to the continued growth in our business.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used in investing activities increased to $4.9 million in the six months ended June 30, 2007 from $2.3 million in the six months ended June 30, 2006.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is a result of the purchase of fixed assets for the new facility in Noida, India which has a total capacity of approximately 1,200 seats.</w:t>
      </w:r>
    </w:p>
    <w:p>
      <w:pPr>
        <w:spacing w:after="0" w:line="18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Cash flows from financing activities increased from an outflow of $0.1 million in the six months ended June 30, 2006 to an inflow of $0.9 million in the six months ended June 30, 2007, primarily because of proceeds from exercise of stock options in the six months ended June 30, 2007.</w:t>
      </w:r>
    </w:p>
    <w:p>
      <w:pPr>
        <w:spacing w:after="0" w:line="8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buildout facilities, telecommunications equipment, and computer hardware and software we purchase in connection with managing client operations. We incurred $10.4 million of capital expenditures in 2006. We expect to incur approximately $11.0 million to $15.0 million of capital expenditures in 2007 primarily to meet the growth requirements of our clients, including expanding our facilities, as well as to improve our internal technology. We have constructed a new operations facility in Noida, India, having a total capacity of 1,200 workstations, all of which became operational by July 2007, at a total cost of approximately $8.3 million.</w:t>
      </w:r>
    </w:p>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we are contractually committed to one of our clients to establish and maintain a viable offshore BPO operation outside of India by September 2008,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no other individually large outstanding commitments for capital expenditures. The timing and volume of such capital expenditures in the future will be affected by new contracts we may enter into or the expansion of our existing contracts. Therefore, we cannot reasonably predict our capital expenditures beyond 2007.</w:t>
      </w:r>
    </w:p>
    <w:p>
      <w:pPr>
        <w:sectPr>
          <w:pgSz w:w="11900" w:h="16870" w:orient="portrait"/>
          <w:cols w:equalWidth="0" w:num="1">
            <w:col w:w="11420"/>
          </w:cols>
          <w:pgMar w:left="240" w:top="459" w:right="239" w:bottom="0" w:gutter="0" w:footer="0" w:header="0"/>
        </w:sectPr>
      </w:pPr>
    </w:p>
    <w:bookmarkStart w:id="33" w:name="page34"/>
    <w:bookmarkEnd w:id="33"/>
    <w:p>
      <w:pPr>
        <w:ind w:firstLine="456"/>
        <w:spacing w:after="0" w:line="268" w:lineRule="auto"/>
        <w:rPr>
          <w:sz w:val="20"/>
          <w:szCs w:val="20"/>
          <w:color w:val="auto"/>
        </w:rPr>
      </w:pPr>
      <w:r>
        <w:rPr>
          <w:rFonts w:ascii="Arial" w:cs="Arial" w:eastAsia="Arial" w:hAnsi="Arial"/>
          <w:sz w:val="18"/>
          <w:szCs w:val="18"/>
          <w:color w:val="auto"/>
        </w:rPr>
        <w:t>In addition, in connection with the tax assessment orders issued against EXL India and Exl Inc we may be required to make additional deposits in the near future pursuant to these assessments or future related assessments.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13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the Inductis Acquisition, we paid a $0.4 million bonus to former Inductis shareholders in January 2007.</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Depending on Inductis profit adjusted earnout revenue for 2007 and 2006, no more than an aggregate of 778,764 shares of our common stock is to be issued to the former holders of Inductis common stock and restricted stock under the earn out provisions. We issued 257,273 shares of common stock as earn out consideration for performance related to the period ended December 31, 2006. We may also need to make certain additional contingent payments to former holders of Inductis securities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would range from $0.6 million to $6.5 million however based on the current and expected performance of Inductis in 2007 it is unlikely that any such contingent payments will be required.</w:t>
      </w:r>
    </w:p>
    <w:p>
      <w:pPr>
        <w:spacing w:after="0" w:line="11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intend to use the remaining net proceeds from our October 2006 initial public offering for working capital and general corporate purposes. We anticipate that we will continue to rely upon cash from operating activities and remaining proceeds from our October 2006 initial public offering to finance our capital expenditures and working capital needs. We believe that cash flow from operations and the remaining net proceeds from our October 2006 initial public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2007, we had no off-balance sheet arrangements or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There have been no material changes to our contractual obligations during the period covered by this Quarterly Report on Form 10-Q from the statements set forth in our 2006 Form 10-K under “Management’s Discussion and Analysis of Financial Condition and Results of Operations—Contractual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1, 2007, the Company adopted FIN 48, which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 FIN 48 contains a two-step approach to recognizing and measuring uncertain tax positions accounted for in accordance with SFAS No. 109. The first step is to evaluate the tax position for recognition by determining if the weight of available evidence indicated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implementation of FIN 48 did not have any impact on the Company’s consolidated financial statements.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federal tax filings of ExlService Holdings and its U.S. subsidiaries for tax years since 2003 are subject to examination by federal tax authorities, and the 2004 tax year is being examined by the U.S. Internal Revenue Service. In addition, the 2005 tax year for Inductis is being examined by the U.S. Internal Revenue Service. All state tax filings of ExlService Holdings for tax years from 2003 to 2005 are being examined by New York State tax authorities. All tax filings of the Company’s subsidiaries in India are subject to examination by Indian taxing authorities for tax years since 2001-02. All income tax filings for Company’s subsidiaries in the U.K. are subject to examination by U.K. taxing authorities for tax years since 2004. Management believes that the outcome of these examinations will not have a material impact on the Company’s consolidated financial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5" w:name="page36"/>
    <w:bookmarkEnd w:id="35"/>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exchange rates between the U.K. pound sterling, the U.S. dollar and the Indian rupee;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risks could cause actual results to differ materially from those implied by forward-looking statements in this document.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You should keep in mind that any forward-looking statement made by us in this Quarterly Report on Form 10-Q, or elsewhere, is current as of the date on which we make it. New risks and uncertainties come up from time to time, and it is impossible for us to predict these events or how they may affect us. We have no obligation to update any forward-looking statements in this Quarterly Report on Form 10-Q after the date of this Quarterly Report on Form 10-Q, except as required by federal securities laws.</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ESSPL is the Indian rupee. The functional currency of Exl UK is the pound sterling. The functional currency of Inductis (Singapore) Pte Limited is the Singapore dollar.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the exchange rates prevailing on the last business day of each month. Resulting translation adjustments are included in the “accumulated other comprehensive income/(loss)” in the balance sheet.</w:t>
      </w:r>
    </w:p>
    <w:p>
      <w:pPr>
        <w:spacing w:after="0" w:line="12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Our exposure to market risk arises principally from exchange rate risk. Although substantially all of our revenues are denominated in U.S. dollars and U.K. pound sterling (45.8% and 54.0%, respectively, for the three months ended June 30, 2007 and 46.9% and 52.9%, respectively, for the six months ended June 30,</w:t>
      </w:r>
    </w:p>
    <w:p>
      <w:pPr>
        <w:sectPr>
          <w:pgSz w:w="11900" w:h="16854" w:orient="portrait"/>
          <w:cols w:equalWidth="0" w:num="1">
            <w:col w:w="11400"/>
          </w:cols>
          <w:pgMar w:left="240" w:top="459" w:right="259" w:bottom="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2007), most of our expenses (69.1% in the three months ended June 30, 2007 and 65.7% in the six months ended June 30, 2007) are incurred and paid in Indian rupees. The exchange rates among the Indian rupee, U.K. pound sterling and U.S. dollar have changed substantially in recent years and may fluctuate substantially in the future.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131" w:right="439" w:bottom="1440" w:gutter="0" w:footer="0" w:header="0"/>
        </w:sectPr>
      </w:pPr>
    </w:p>
    <w:bookmarkStart w:id="37" w:name="page38"/>
    <w:bookmarkEnd w:id="37"/>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receivables. Based upon our level of operations during the three months ended June 30, 2007 and excluding any hedging arrangements that we had in place during that period, a 5.0% appreciation/depreciation in the U.K. pound sterling against the U.S. dollar would have increased/decreased revenues in the three months ended June 30, 2007 by approximately $1.2 million. Similarly, a 5.0% appreciation/depreciation in the Indian rupee against the U.S. dollar would have increased/decreased our expenses incurred and paid in Indian rupees in the three months ended June 30, 2007 by approximately $1.3 million.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sought to reduce the effect of Indian rupee and U.K. pound sterling exchange rate fluctuations on our operating results by purchasing forward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contracts to cover a substantial portion of cost incurred in our India operations. Forward exchange contracts with a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$33.5 million and GBP22.0 million were outstanding at June 30, 2007 and of $33.0 million and GBP21.7 million were outstanding at December 31, 2006.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forward foreign exchange contracts typically mature within nine months, must be settled on the day of maturity and may be cancelled subject to the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gains or losses in the difference between the contract exchange rate and the market exchange rate on the date of cancellation. We use these instruments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hedges and not for speculative purposes. We may not purchase contracts adequate to insulate ourselves from Indian rupee and U.K. pound sterling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currency risks. In addition, any such contracts may not perform adequately as a hedging mechanism. We may, in the future, adopt more active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hedging policies, and have done so in the past.</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Interest Rate Sensitivity. </w:t>
      </w:r>
      <w:r>
        <w:rPr>
          <w:rFonts w:ascii="Arial" w:cs="Arial" w:eastAsia="Arial" w:hAnsi="Arial"/>
          <w:sz w:val="18"/>
          <w:szCs w:val="18"/>
          <w:color w:val="auto"/>
        </w:rPr>
        <w:t>We had cash and cash equivalents totaling $82.6 million at June 30, 2007. These amounts were invested primarily in a short-term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portfolio primarily comprised of investment grade commercial paper.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 decrease in short term rates would reduce our interest income for the three months ended June 30, 2007 by approximately $0.2 million and by $0.4 million for the six months ended June 30, 2007.</w:t>
      </w:r>
    </w:p>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June 30, 2007. Based upon that evaluation, the CEO and CFO have concluded that, as of June 30, 2007, our disclosure controls and procedures were not effective to provide reasonable assurance that the information required to be disclosed by us in reports filed under the Securities Exchange Act of 1934 were (i) recorded, processed, summarized and reported within the time periods specified in the SEC’s rules and forms and (ii) accumulated and communicated to our management, to allow timely decisions regarding disclosure.</w:t>
      </w:r>
    </w:p>
    <w:p>
      <w:pPr>
        <w:spacing w:after="0" w:line="120"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We have identified specific instances where our disclosure controls and procedures in the accounting and financial reporting areas were not effective. In these instances, the results of our evaluation indicate that our disclosure controls and procedures were adversely impacted by a number of events that occurred in the first and second quarters of 2007, some of which were one-time events that are being addressed and are in the process of being remediated, including</w:t>
      </w:r>
    </w:p>
    <w:p>
      <w:pPr>
        <w:spacing w:after="0" w:line="1" w:lineRule="exact"/>
        <w:rPr>
          <w:sz w:val="20"/>
          <w:szCs w:val="20"/>
          <w:color w:val="auto"/>
        </w:rPr>
      </w:pPr>
    </w:p>
    <w:p>
      <w:pPr>
        <w:ind w:right="160" w:firstLine="8"/>
        <w:spacing w:after="0" w:line="255" w:lineRule="auto"/>
        <w:tabs>
          <w:tab w:leader="none" w:pos="2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staffing levels and capabilities in the accounting and financial reporting departments, (ii) insufficient automation of the accounting and financial reporting processes, (iii) the complexity and time sensitivity of our new financial reporting requirements, and (iv) the complexity of the continued integration of the financial reporting processes of Inductis with those of our historic service units.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undertaken the following action plan to address and remediate the issues identified in our disclosure controls and procedures: (i) the appointment of a new CFO on March 30, 2007, (ii) commitment to hiring additional experienced personnel in the accounting and financial reporting departments and recruiting for these positions as well as other open positions in these departments, (iii) continued review of all financial reporting processes, practices and policies for the purpose of implementing changes to strengthen the effectiveness of the financial reporting process, (iv) organizational changes to reflect a more effective span of control, (v) review of compensation structures in order to better attract and retain the necessary capabilities in the accounting and financial reporting departments and (vi) initiation of a program to reengineer and automate key financial processes and controls.</w:t>
      </w:r>
    </w:p>
    <w:p>
      <w:pPr>
        <w:spacing w:after="0" w:line="12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expect that these measures will enable us to address and remediate the specific instances where our disclosure controls and procedures were not effective.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June 30, 2007 that has materially affected, or is reasonably likely to materially affect, our internal control over financial reporting.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disclosed under the heading “Business–Legal Proceedings” in our 2006 Form 10-K filed with the SEC on March 30, 2007, certain proceedings which may materially affect our business, financial condition or results of operations. You should carefully consider the disclosures set forth in 2006 Form 10-K and the other information set forth elsewhere in this Quarterly Report on Form 10-Q.</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previously disclosed in our 2006 Form 10-K, we are currently involved in disputes with Indian tax authorities over the application of some of our transfer pricing policies. The Indian tax authorities have recently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An assessment issued with respect to EXL Inc. alleges that it has a permanent establishment in India and demands the payment of certain additional taxes based on such allegation.</w:t>
      </w:r>
    </w:p>
    <w:p>
      <w:pPr>
        <w:spacing w:after="0" w:line="1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first assessment order issued by the Indian taxing authorities regarding transfer pricing relates to their audit of EXL India’s 2003-04 tax year. Indian transfer pricing regulations require that any international transaction involving related corporations be at an arms’ length price. The assessment order alleges that the transfer price we applied to transactions between EXL India and EXL Inc. in the 2003-04 tax year was not appropriate and disallows certain expenses claimed</w:t>
      </w:r>
    </w:p>
    <w:p>
      <w:pPr>
        <w:sectPr>
          <w:pgSz w:w="11900" w:h="16950" w:orient="portrait"/>
          <w:cols w:equalWidth="0" w:num="1">
            <w:col w:w="11420"/>
          </w:cols>
          <w:pgMar w:left="240" w:top="459" w:right="239" w:bottom="0" w:gutter="0" w:footer="0" w:header="0"/>
        </w:sectPr>
      </w:pPr>
    </w:p>
    <w:bookmarkStart w:id="38" w:name="page39"/>
    <w:bookmarkEnd w:id="38"/>
    <w:p>
      <w:pPr>
        <w:spacing w:after="0" w:line="306" w:lineRule="auto"/>
        <w:rPr>
          <w:sz w:val="20"/>
          <w:szCs w:val="20"/>
          <w:color w:val="auto"/>
        </w:rPr>
      </w:pPr>
      <w:r>
        <w:rPr>
          <w:rFonts w:ascii="Arial" w:cs="Arial" w:eastAsia="Arial" w:hAnsi="Arial"/>
          <w:sz w:val="16"/>
          <w:szCs w:val="16"/>
          <w:color w:val="auto"/>
        </w:rPr>
        <w:t>as tax deductible by EXL India. Transactions among our subsidiaries and us may be considered such transactions. This assessment demands that EXL India pay additional taxes in the amount of $2.4 million. We have paid approximately $0.8 million to the Indian tax authorities as a deposit in respect of this assessment and may have to deposit additional amounts in the future while we are contesting the above order before the appellate authorities.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second assessment order issued by the Indian taxing authorities regarding transfer pricing relates to their audit of EXL India’s 2004-05 tax year. The assessment order alleges that the transfer price we applied to transactions between EXL India and EXL Inc. for the 2004-05 tax year was not appropriate and demands that EXL India pay additional taxes in the amount of $4.0 million. We have already paid approximately $1.7 million to the Indian tax authorities as a deposit in respect of this assessment.</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third assessment order issued by the Indian taxing authorities, which was issued against EXL Inc., relates to EXL Inc.’s 2003-04 tax year. The assessment order alleges that EXL Inc. has a permanent establishment in India and demands that it pay additional taxes of $3.6 million. Out of the $3.6 million demanded, we have already paid $1.7 million as a deposit in respect of this assessment and may have to deposit additional amounts in the future while we are contesting the above order before the appellate authorities. If EXL Inc. were found to have a permanent establishment in India, it would be required to pay Indian taxes on the income deemed attributed to such permanent establishment not only for the 2003-04 tax year but for subsequent years as well.</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contesting all of these assessments and have filed appeals with the appropriate Indian tax authorities. Based on advice from our Indian tax advisors, the facts underlying our position and our experience with these types of assessments, we believe that the probability of loss is remote and have not accrued any amount with respect to these matters in our unaudited consolidated financial statements. Any amount paid by us as deposits will be refunded to us with interest if we succeed in our appeals. We cannot assure you that our appeals will be successful or that these appeals will be finally resolved in the near future. Amounts paid as deposits in respect of the assessments described above, totaling $4.2 million as of June 30, 2007, are included in “Other Assets” in our June 30, 2007 consolidated balance sheet.</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is a possibility that we might receive similar orders for subsequent years until these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disclosed under the heading “Risk Factors” in our 2006 Form 10-K filed with the SEC on March 30, 2007, the risk factors which materially affect our business, financial condition or results of operations. You should carefully consider the “Risk Factors” set forth in the 2006 Form 10-K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completed our initial public offering of our common stock under a Registration Statement on Form S-1 (File No. 333-121001), which became effective on October 19, 2006 and a Registration Statement on Form S-1 (File No. 333-138104), which became effective on October 20, 2006. The aggregate offering price of the common stock sold (including the exercise by the managing underwriters of their over-allotment option) resulted in net proceeds of approximately $69.8 million to us. We used approximately $6.7 million of the net proceeds from our initial public offering to repurchase all of our outstanding shares of Series A Preferred Stock and $5.8 million to repay all our outstanding senior promissory notes payable to certain of our stockholders in 2006. The remainder of the net proceeds, approximately $57.3 million, is being used for fixed asset acquisitions and general corporate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Company held its 2007 Annual Meeting of Stockholders on June 13, 2007 at its offices in New York, New York. Of the 28,460,500 shares of common stock entitled to vote at the meeting, 25,671,376 shares were represented at the meeting in person or by proxy, constituting a quorum. The voting results were as follows:</w:t>
      </w:r>
    </w:p>
    <w:p>
      <w:pPr>
        <w:spacing w:after="0" w:line="59" w:lineRule="exact"/>
        <w:rPr>
          <w:sz w:val="20"/>
          <w:szCs w:val="20"/>
          <w:color w:val="auto"/>
        </w:rPr>
      </w:pPr>
    </w:p>
    <w:p>
      <w:pPr>
        <w:ind w:right="4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stockholders elected the following Directors to serve until the Company’s 2010 Annual Meeting of Stockholders and until their successors are duly elected and qualified. The votes were as follows:</w:t>
      </w:r>
    </w:p>
    <w:p>
      <w:pPr>
        <w:spacing w:after="0" w:line="155" w:lineRule="exact"/>
        <w:rPr>
          <w:sz w:val="20"/>
          <w:szCs w:val="20"/>
          <w:color w:val="auto"/>
        </w:rPr>
      </w:pPr>
    </w:p>
    <w:tbl>
      <w:tblPr>
        <w:tblLayout w:type="fixed"/>
        <w:tblInd w:w="3260" w:type="dxa"/>
        <w:tblCellMar>
          <w:top w:w="0" w:type="dxa"/>
          <w:left w:w="0" w:type="dxa"/>
          <w:bottom w:w="0" w:type="dxa"/>
          <w:right w:w="0" w:type="dxa"/>
        </w:tblCellMar>
      </w:tblPr>
      <w:tr>
        <w:trPr>
          <w:trHeight w:val="161"/>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38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Vote in Favor</w:t>
            </w: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Votes 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1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25,436,592</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234,784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1960" w:type="dxa"/>
            <w:vAlign w:val="bottom"/>
            <w:gridSpan w:val="3"/>
          </w:tcPr>
          <w:p>
            <w:pPr>
              <w:ind w:left="380"/>
              <w:spacing w:after="0"/>
              <w:rPr>
                <w:sz w:val="20"/>
                <w:szCs w:val="20"/>
                <w:color w:val="auto"/>
              </w:rPr>
            </w:pPr>
            <w:r>
              <w:rPr>
                <w:rFonts w:ascii="Arial" w:cs="Arial" w:eastAsia="Arial" w:hAnsi="Arial"/>
                <w:sz w:val="18"/>
                <w:szCs w:val="18"/>
                <w:color w:val="auto"/>
              </w:rPr>
              <w:t>25,437,092</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234,284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20" w:firstLine="464"/>
        <w:spacing w:after="0" w:line="268"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stockholders ratified the selection of Ernst &amp; Young LLP as the independent registered public account firm of the Company for fiscal year 2007. The votes were as follows:</w:t>
      </w:r>
    </w:p>
    <w:p>
      <w:pPr>
        <w:spacing w:after="0" w:line="168" w:lineRule="exact"/>
        <w:rPr>
          <w:sz w:val="20"/>
          <w:szCs w:val="20"/>
          <w:color w:val="auto"/>
        </w:rPr>
      </w:pPr>
    </w:p>
    <w:p>
      <w:pPr>
        <w:ind w:left="3940"/>
        <w:spacing w:after="0"/>
        <w:tabs>
          <w:tab w:leader="none" w:pos="5380" w:val="left"/>
          <w:tab w:leader="none" w:pos="6980" w:val="left"/>
        </w:tabs>
        <w:rPr>
          <w:sz w:val="20"/>
          <w:szCs w:val="20"/>
          <w:color w:val="auto"/>
        </w:rPr>
      </w:pPr>
      <w:r>
        <w:rPr>
          <w:rFonts w:ascii="Arial" w:cs="Arial" w:eastAsia="Arial" w:hAnsi="Arial"/>
          <w:sz w:val="14"/>
          <w:szCs w:val="14"/>
          <w:b w:val="1"/>
          <w:bCs w:val="1"/>
          <w:u w:val="single" w:color="auto"/>
          <w:color w:val="auto"/>
        </w:rPr>
        <w:t>Votes For</w:t>
      </w:r>
      <w:r>
        <w:rPr>
          <w:sz w:val="20"/>
          <w:szCs w:val="20"/>
          <w:color w:val="auto"/>
        </w:rPr>
        <w:tab/>
      </w:r>
      <w:r>
        <w:rPr>
          <w:rFonts w:ascii="Arial" w:cs="Arial" w:eastAsia="Arial" w:hAnsi="Arial"/>
          <w:sz w:val="14"/>
          <w:szCs w:val="14"/>
          <w:b w:val="1"/>
          <w:bCs w:val="1"/>
          <w:u w:val="single" w:color="auto"/>
          <w:color w:val="auto"/>
        </w:rPr>
        <w:t>Votes Against</w:t>
      </w:r>
      <w:r>
        <w:rPr>
          <w:sz w:val="20"/>
          <w:szCs w:val="20"/>
          <w:color w:val="auto"/>
        </w:rPr>
        <w:tab/>
      </w:r>
      <w:r>
        <w:rPr>
          <w:rFonts w:ascii="Arial" w:cs="Arial" w:eastAsia="Arial" w:hAnsi="Arial"/>
          <w:sz w:val="11"/>
          <w:szCs w:val="11"/>
          <w:b w:val="1"/>
          <w:bCs w:val="1"/>
          <w:u w:val="single" w:color="auto"/>
          <w:color w:val="auto"/>
        </w:rPr>
        <w:t>Abstained</w:t>
      </w:r>
    </w:p>
    <w:p>
      <w:pPr>
        <w:spacing w:after="0" w:line="6" w:lineRule="exact"/>
        <w:rPr>
          <w:sz w:val="20"/>
          <w:szCs w:val="20"/>
          <w:color w:val="auto"/>
        </w:rPr>
      </w:pPr>
    </w:p>
    <w:p>
      <w:pPr>
        <w:ind w:left="3820"/>
        <w:spacing w:after="0"/>
        <w:tabs>
          <w:tab w:leader="none" w:pos="5580" w:val="left"/>
          <w:tab w:leader="none" w:pos="7040" w:val="left"/>
        </w:tabs>
        <w:rPr>
          <w:sz w:val="20"/>
          <w:szCs w:val="20"/>
          <w:color w:val="auto"/>
        </w:rPr>
      </w:pPr>
      <w:r>
        <w:rPr>
          <w:rFonts w:ascii="Arial" w:cs="Arial" w:eastAsia="Arial" w:hAnsi="Arial"/>
          <w:sz w:val="18"/>
          <w:szCs w:val="18"/>
          <w:color w:val="auto"/>
        </w:rPr>
        <w:t>25,648,036</w:t>
      </w:r>
      <w:r>
        <w:rPr>
          <w:sz w:val="20"/>
          <w:szCs w:val="20"/>
          <w:color w:val="auto"/>
        </w:rPr>
        <w:tab/>
      </w:r>
      <w:r>
        <w:rPr>
          <w:rFonts w:ascii="Arial" w:cs="Arial" w:eastAsia="Arial" w:hAnsi="Arial"/>
          <w:sz w:val="18"/>
          <w:szCs w:val="18"/>
          <w:color w:val="auto"/>
        </w:rPr>
        <w:t>2,486</w:t>
      </w:r>
      <w:r>
        <w:rPr>
          <w:sz w:val="20"/>
          <w:szCs w:val="20"/>
          <w:color w:val="auto"/>
        </w:rPr>
        <w:tab/>
      </w:r>
      <w:r>
        <w:rPr>
          <w:rFonts w:ascii="Arial" w:cs="Arial" w:eastAsia="Arial" w:hAnsi="Arial"/>
          <w:sz w:val="15"/>
          <w:szCs w:val="15"/>
          <w:color w:val="auto"/>
        </w:rPr>
        <w:t>20,854</w:t>
      </w:r>
    </w:p>
    <w:p>
      <w:pPr>
        <w:sectPr>
          <w:pgSz w:w="11900" w:h="16838" w:orient="portrait"/>
          <w:cols w:equalWidth="0" w:num="1">
            <w:col w:w="11400"/>
          </w:cols>
          <w:pgMar w:left="240" w:top="459" w:right="259" w:bottom="751"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751"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Letter Agreement dated as of July 1, 2007 between Norwich Union and the Company.</w:t>
      </w:r>
    </w:p>
    <w:p>
      <w:pPr>
        <w:spacing w:after="0" w:line="117"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President and Chief Operating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right="56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60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Certification of the President and Chief Operating Officer pursuant to Rule 13a-14(b) of the Exchange Act and 18 U.S.C. Section 1350, as adopted pursuant to Section 906 of the Sarbanes-Oxley Act of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August 14, 2007</w:t>
      </w:r>
      <w:r>
        <w:rPr>
          <w:sz w:val="20"/>
          <w:szCs w:val="20"/>
          <w:color w:val="auto"/>
        </w:rPr>
        <w:tab/>
      </w:r>
      <w:r>
        <w:rPr>
          <w:rFonts w:ascii="Arial" w:cs="Arial" w:eastAsia="Arial" w:hAnsi="Arial"/>
          <w:sz w:val="16"/>
          <w:szCs w:val="16"/>
          <w:color w:val="auto"/>
        </w:rPr>
        <w:t>By: /s/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Matthew Appel</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(Duly Authorized Signatory, Principal Financial and Accounting</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240" w:top="459" w:right="5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AVIVA GLOBAL SERVICES SINGAPORE PTE LTD </w:t>
      </w:r>
      <w:r>
        <w:rPr>
          <w:rFonts w:ascii="Arial" w:cs="Arial" w:eastAsia="Arial" w:hAnsi="Arial"/>
          <w:sz w:val="18"/>
          <w:szCs w:val="18"/>
          <w:color w:val="auto"/>
        </w:rPr>
        <w:t>(“AGSS”)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EXLSERVICE HOLDINGS, INC </w:t>
      </w:r>
      <w:r>
        <w:rPr>
          <w:rFonts w:ascii="Arial" w:cs="Arial" w:eastAsia="Arial" w:hAnsi="Arial"/>
          <w:sz w:val="18"/>
          <w:szCs w:val="18"/>
          <w:color w:val="auto"/>
        </w:rPr>
        <w:t>(“EXL”)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EXL SERVICE.COM (INDIA) PRIVATE LIMITED </w:t>
      </w:r>
      <w:r>
        <w:rPr>
          <w:rFonts w:ascii="Arial" w:cs="Arial" w:eastAsia="Arial" w:hAnsi="Arial"/>
          <w:sz w:val="18"/>
          <w:szCs w:val="18"/>
          <w:color w:val="auto"/>
        </w:rPr>
        <w:t>(“EXL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NOIDA CUSTOMER OPERATIONS PRIVATE LIMITED </w:t>
      </w:r>
      <w:r>
        <w:rPr>
          <w:rFonts w:ascii="Arial" w:cs="Arial" w:eastAsia="Arial" w:hAnsi="Arial"/>
          <w:sz w:val="18"/>
          <w:szCs w:val="18"/>
          <w:color w:val="auto"/>
        </w:rPr>
        <w:t>(“NCOP”)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July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2007 (“Effective Date”)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LETTER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refer to various agreements between Aviva Global Services Singapore Pte Ltd (“AGSS”) and certain companies affiliated with ExlService Holdings, Inc.</w:t>
      </w:r>
    </w:p>
    <w:p>
      <w:pPr>
        <w:spacing w:after="0" w:line="46"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dated August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2004 relating to the establishing of a company named Noida Customer Operations Private Limited (“NCOP”) to be used to provide services to AGSS and the notice provisions relating to the exercise of an option (the “Call Option”) by AGSS to acquire the shares in NCOP (including, without limitation, the letter agreements dated July 17, 2006 and February 26, 2007). We also refer to the letter with an effective date of July 1, 2007 relating to the exercise of the Call Option (the “July 1, 2007 Letter”).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as follows:</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AGSS hereby revokes the July 1, 2007 Letter.</w:t>
      </w:r>
    </w:p>
    <w:p>
      <w:pPr>
        <w:spacing w:after="0" w:line="211" w:lineRule="exact"/>
        <w:rPr>
          <w:rFonts w:ascii="Arial" w:cs="Arial" w:eastAsia="Arial" w:hAnsi="Arial"/>
          <w:sz w:val="18"/>
          <w:szCs w:val="18"/>
          <w:color w:val="auto"/>
        </w:rPr>
      </w:pPr>
    </w:p>
    <w:p>
      <w:pPr>
        <w:ind w:left="460" w:right="1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if AGSS elects to exercise the Call Option, pursuant to clause 10.2 of the Virtual Shareholders Agreement (“VSA”) such exercise will commence no earlier than October 1, 2007 and that AGSS will not serve an Call Option notice that is effective prior to such date. If AGSS elects to exercise the Call Option, it will deliver a notice substantially similar to the July 1, 2007 Letter.</w:t>
      </w:r>
    </w:p>
    <w:p>
      <w:pPr>
        <w:spacing w:after="0" w:line="18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Call Option Period is reduced to 3 months where AGSS elects to exercise the Call Option Notice. Accordingly, such Call Option shall take effect no earlier than effect 1 January 2008</w:t>
      </w:r>
    </w:p>
    <w:p>
      <w:pPr>
        <w:spacing w:after="0" w:line="145" w:lineRule="exact"/>
        <w:rPr>
          <w:rFonts w:ascii="Arial" w:cs="Arial" w:eastAsia="Arial" w:hAnsi="Arial"/>
          <w:sz w:val="18"/>
          <w:szCs w:val="18"/>
          <w:color w:val="auto"/>
        </w:rPr>
      </w:pPr>
    </w:p>
    <w:p>
      <w:pPr>
        <w:ind w:left="460" w:right="180" w:hanging="452"/>
        <w:spacing w:after="0" w:line="251"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Without prejudice to (a), (b) and (c) above, all other provisions of the parties’ agreements relating to the Call Option (in particular the VSA and the Insurance Services Framework Agreement (“ISFA”) dated August 26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2004) shall upon notification from AGSS take effect at any time after the date hereof including, without limitation,(i) for NCOP to carry out an employee review (Clause 12.7 of the VSA); (ii) the ability to second a Finance Manager (clause 12.8 of the VSA); (iii) the ability for AGSS to assume control of payments in and out of the relevant</w:t>
      </w:r>
    </w:p>
    <w:p>
      <w:pPr>
        <w:sectPr>
          <w:pgSz w:w="11900" w:h="16838" w:orient="portrait"/>
          <w:cols w:equalWidth="0" w:num="1">
            <w:col w:w="11420"/>
          </w:cols>
          <w:pgMar w:left="240" w:top="125" w:right="239" w:bottom="1440" w:gutter="0" w:footer="0" w:header="0"/>
        </w:sectPr>
      </w:pPr>
    </w:p>
    <w:bookmarkStart w:id="43" w:name="page44"/>
    <w:bookmarkEnd w:id="43"/>
    <w:p>
      <w:pPr>
        <w:ind w:left="460"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account of NCOP (Clause 12.11 of the ISFA); (iv) exercise upon Rights Upon Transfer (Schedule 3, Part E of the ISFA); and (v) provision of information set out in Schedule 6 of the VSA (Clause 12.6 of the VSA).</w:t>
      </w:r>
    </w:p>
    <w:p>
      <w:pPr>
        <w:spacing w:after="0" w:line="172" w:lineRule="exact"/>
        <w:rPr>
          <w:sz w:val="20"/>
          <w:szCs w:val="20"/>
          <w:color w:val="auto"/>
        </w:rPr>
      </w:pPr>
    </w:p>
    <w:p>
      <w:pPr>
        <w:jc w:val="both"/>
        <w:ind w:left="460" w:right="520" w:hanging="452"/>
        <w:spacing w:after="0" w:line="22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without prejudice to (a), (b) and (c) above, AGSS will at any time after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 be entitled to commence due diligence activities relating to the acquisition of NCOP. EXL, shall ensure that its director, employees and professional advisers shall fully cooperate with such due diligence activities performed by AGSS or its professional advisers.</w:t>
      </w:r>
    </w:p>
    <w:p>
      <w:pPr>
        <w:spacing w:after="0" w:line="185"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without prejudice to (a), (b) and (c) above, AGSS will be entitled to notify and discuss with relevant employees at an appropriate time selected by AGSS the possibility of serving the Call Option Notice, purchasing the shares in NCOP and the transferring of the relevant employees to Aviva.</w:t>
      </w:r>
    </w:p>
    <w:p>
      <w:pPr>
        <w:spacing w:after="0" w:line="12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provisions of the parties’ agreements will continue to remain in effect.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that day to day operational management of NCOP shall no longer transfer to AGSS as provided in the letter agreement dated July 17, 2006.</w:t>
      </w:r>
    </w:p>
    <w:p>
      <w:pPr>
        <w:spacing w:after="0" w:line="234" w:lineRule="exact"/>
        <w:rPr>
          <w:rFonts w:ascii="Arial" w:cs="Arial" w:eastAsia="Arial" w:hAnsi="Arial"/>
          <w:sz w:val="16"/>
          <w:szCs w:val="16"/>
          <w:color w:val="auto"/>
        </w:rPr>
      </w:pPr>
    </w:p>
    <w:p>
      <w:pPr>
        <w:ind w:left="460" w:hanging="452"/>
        <w:spacing w:after="0" w:line="249"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more than 5 Business Days after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October 2007, EXL shall deliver to AGSS the Provisional Consideration based upon the accounts finalised as at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September 2007. On Completion, AGSS shall pay the Provisional Consideration as calculated above to the bank account nominated by EXL Holdings (US) for this purpose. If AGSS disagrees with such written estimate the parties will meet to resolve any differences of views within 15 Business Days following the receipt of notification of disagreement, EXL shall provide all such information to AGSS as AGSS requires in order to understand the written estimate provided by EXL. If the parties are unable to agree upon the amount of Provisional Consideration calculation within 5 Business Days of meeting, then the issues shall be referred to Independent Accountants for determination in accordance with the terms of the SSPA.</w:t>
      </w:r>
    </w:p>
    <w:p>
      <w:pPr>
        <w:spacing w:after="0" w:line="177" w:lineRule="exact"/>
        <w:rPr>
          <w:rFonts w:ascii="Arial" w:cs="Arial" w:eastAsia="Arial" w:hAnsi="Arial"/>
          <w:sz w:val="16"/>
          <w:szCs w:val="16"/>
          <w:color w:val="auto"/>
        </w:rPr>
      </w:pPr>
    </w:p>
    <w:p>
      <w:pPr>
        <w:jc w:val="both"/>
        <w:ind w:left="460" w:right="34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within 5 Days of receipt of this Amendment Letter. EXL will appoint a “Transfer Manager”, who shall support, manage and take responsibility for the possible transfer of NCOP to AGSS. Such Transfer Manager shall be fully empowered to make decisions on behalf of EXL. EXL shall notify AGSS in writing of the identity of the Transfer Manager. The Transfer Manager shall provide a fortnightly progress report to the AGSS Finance Director.</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This letter may be executed in any number of counterparts, each of which, when executed and delivered, will be an original, and all the counterparts together will constitute one and the same instrument. The parties agree to accept delivery of an executed counterpart by facsimile transmission.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Kindly confirm your agreement to the terms of this Amendment Letter by countersigning the enclosed copy and returning it to me.</w:t>
      </w:r>
    </w:p>
    <w:p>
      <w:pPr>
        <w:sectPr>
          <w:pgSz w:w="11900" w:h="16838" w:orient="portrait"/>
          <w:cols w:equalWidth="0" w:num="1">
            <w:col w:w="11400"/>
          </w:cols>
          <w:pgMar w:left="240" w:top="28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Yours faithfully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AVIVA GLOBAL SERVICES SINGAPORE PRIVATE 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 PRIVATE LIMITED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 PRIVATE LIMITED</w:t>
      </w:r>
    </w:p>
    <w:p>
      <w:pPr>
        <w:sectPr>
          <w:pgSz w:w="11900" w:h="16838" w:orient="portrait"/>
          <w:cols w:equalWidth="0" w:num="1">
            <w:col w:w="10219"/>
          </w:cols>
          <w:pgMar w:left="240" w:top="28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90"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240" w:right="160" w:hanging="4"/>
        <w:spacing w:after="0" w:line="259" w:lineRule="auto"/>
        <w:tabs>
          <w:tab w:leader="none" w:pos="4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240" w:right="60" w:hanging="4"/>
        <w:spacing w:after="0" w:line="268" w:lineRule="auto"/>
        <w:tabs>
          <w:tab w:leader="none" w:pos="4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left="240" w:right="20" w:hanging="4"/>
        <w:spacing w:after="0" w:line="332" w:lineRule="auto"/>
        <w:tabs>
          <w:tab w:leader="none" w:pos="479"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240" w:right="260" w:hanging="4"/>
        <w:spacing w:after="0" w:line="268" w:lineRule="auto"/>
        <w:tabs>
          <w:tab w:leader="none" w:pos="4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240" w:right="500" w:hanging="4"/>
        <w:spacing w:after="0" w:line="268" w:lineRule="auto"/>
        <w:tabs>
          <w:tab w:leader="none" w:pos="4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2007</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6985</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90"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240" w:right="160" w:hanging="4"/>
        <w:spacing w:after="0" w:line="259" w:lineRule="auto"/>
        <w:tabs>
          <w:tab w:leader="none" w:pos="4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240" w:right="60" w:hanging="4"/>
        <w:spacing w:after="0" w:line="268" w:lineRule="auto"/>
        <w:tabs>
          <w:tab w:leader="none" w:pos="4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left="240" w:right="20" w:hanging="4"/>
        <w:spacing w:after="0" w:line="332" w:lineRule="auto"/>
        <w:tabs>
          <w:tab w:leader="none" w:pos="479"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240" w:right="260" w:hanging="4"/>
        <w:spacing w:after="0" w:line="268" w:lineRule="auto"/>
        <w:tabs>
          <w:tab w:leader="none" w:pos="4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240" w:right="500" w:hanging="4"/>
        <w:spacing w:after="0" w:line="268" w:lineRule="auto"/>
        <w:tabs>
          <w:tab w:leader="none" w:pos="4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2007</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6985</wp:posOffset>
            </wp:positionV>
            <wp:extent cx="3258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90"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jc w:val="both"/>
        <w:ind w:left="240" w:right="160" w:hanging="4"/>
        <w:spacing w:after="0" w:line="259" w:lineRule="auto"/>
        <w:tabs>
          <w:tab w:leader="none" w:pos="4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240" w:right="60" w:hanging="4"/>
        <w:spacing w:after="0" w:line="268" w:lineRule="auto"/>
        <w:tabs>
          <w:tab w:leader="none" w:pos="4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8"/>
          <w:szCs w:val="18"/>
          <w:color w:val="auto"/>
        </w:rPr>
      </w:pPr>
    </w:p>
    <w:p>
      <w:pPr>
        <w:ind w:left="240" w:right="20" w:hanging="4"/>
        <w:spacing w:after="0" w:line="332" w:lineRule="auto"/>
        <w:tabs>
          <w:tab w:leader="none" w:pos="479"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72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240" w:right="260" w:hanging="4"/>
        <w:spacing w:after="0" w:line="268" w:lineRule="auto"/>
        <w:tabs>
          <w:tab w:leader="none" w:pos="4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240" w:right="500" w:hanging="4"/>
        <w:spacing w:after="0" w:line="268" w:lineRule="auto"/>
        <w:tabs>
          <w:tab w:leader="none" w:pos="4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2007</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6985</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2007 as filed with the Securities and Exchange Commission on the date hereof (the “Report”), I, Vikram Talwar,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August 14, 2007</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2007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Appel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August 14, 2007</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2007 as filed with the Securities and Exchange Commission on the date hereof (the “Report”), I, Rohit Kapoor, President and Chief Operating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Rohit Kapoor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August 14,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6"/>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Roman"/>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4"/>
    </w:lvl>
  </w:abstractNum>
  <w:abstractNum w:abstractNumId="17">
    <w:nsid w:val="436C6125"/>
    <w:multiLevelType w:val="hybridMultilevel"/>
    <w:lvl w:ilvl="0">
      <w:lvlJc w:val="left"/>
      <w:lvlText w:val="%1."/>
      <w:numFmt w:val="decimal"/>
      <w:start w:val="1"/>
    </w:lvl>
    <w:lvl w:ilvl="1">
      <w:lvlJc w:val="left"/>
      <w:lvlText w:val="(%2)"/>
      <w:numFmt w:val="lowerLetter"/>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2019-12-15T10:57:43Z</dcterms:created>
  <dcterms:modified xsi:type="dcterms:W3CDTF">2019-12-15T10:57:43Z</dcterms:modified>
</cp:coreProperties>
</file>