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r>
        <w:rPr>
          <w:rFonts w:ascii="Arial" w:cs="Arial" w:eastAsia="Arial" w:hAnsi="Arial"/>
          <w:sz w:val="11"/>
          <w:szCs w:val="11"/>
          <w:b w:val="1"/>
          <w:bCs w:val="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302081104</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90" w:lineRule="exact"/>
        <w:rPr>
          <w:rFonts w:ascii="MS PGothic" w:cs="MS PGothic" w:eastAsia="MS PGothic" w:hAnsi="MS PGothic"/>
          <w:sz w:val="18"/>
          <w:szCs w:val="18"/>
          <w:color w:val="auto"/>
        </w:rPr>
      </w:pPr>
    </w:p>
    <w:p>
      <w:pPr>
        <w:ind w:left="460" w:right="140" w:hanging="446"/>
        <w:spacing w:after="0" w:line="268" w:lineRule="auto"/>
        <w:rPr>
          <w:rFonts w:ascii="MS PGothic" w:cs="MS PGothic" w:eastAsia="MS PGothic" w:hAnsi="MS PGothic"/>
          <w:sz w:val="18"/>
          <w:szCs w:val="18"/>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2"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u w:val="single" w:color="auto"/>
          <w:color w:val="auto"/>
        </w:rPr>
        <w:t>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54875" cy="5188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188585"/>
                    </a:xfrm>
                    <a:prstGeom prst="rect">
                      <a:avLst/>
                    </a:prstGeom>
                    <a:noFill/>
                  </pic:spPr>
                </pic:pic>
              </a:graphicData>
            </a:graphic>
          </wp:anchor>
        </w:drawing>
      </w:r>
    </w:p>
    <w:p>
      <w:pPr>
        <w:spacing w:after="0" w:line="84" w:lineRule="exact"/>
        <w:rPr>
          <w:sz w:val="20"/>
          <w:szCs w:val="20"/>
          <w:color w:val="auto"/>
        </w:rPr>
      </w:pPr>
    </w:p>
    <w:p>
      <w:pPr>
        <w:ind w:left="22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Names of Reporting Persons</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I.R.S. Identification Nos. of Above Persons (Entities Only)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0" w:type="dxa"/>
            <w:vAlign w:val="bottom"/>
            <w:gridSpan w:val="4"/>
          </w:tcPr>
          <w:p>
            <w:pPr>
              <w:ind w:left="80"/>
              <w:spacing w:after="0"/>
              <w:rPr>
                <w:sz w:val="20"/>
                <w:szCs w:val="20"/>
                <w:color w:val="auto"/>
              </w:rPr>
            </w:pPr>
            <w:r>
              <w:rPr>
                <w:rFonts w:ascii="Arial" w:cs="Arial" w:eastAsia="Arial" w:hAnsi="Arial"/>
                <w:sz w:val="22"/>
                <w:szCs w:val="22"/>
                <w:color w:val="auto"/>
              </w:rPr>
              <w:t>TimesSquare Capital Management, LLC</w:t>
            </w:r>
          </w:p>
        </w:tc>
        <w:tc>
          <w:tcPr>
            <w:tcW w:w="0" w:type="dxa"/>
            <w:vAlign w:val="bottom"/>
          </w:tcPr>
          <w:p>
            <w:pPr>
              <w:spacing w:after="0"/>
              <w:rPr>
                <w:sz w:val="1"/>
                <w:szCs w:val="1"/>
                <w:color w:val="auto"/>
              </w:rPr>
            </w:pPr>
          </w:p>
        </w:tc>
      </w:tr>
      <w:tr>
        <w:trPr>
          <w:trHeight w:val="276"/>
        </w:trPr>
        <w:tc>
          <w:tcPr>
            <w:tcW w:w="360" w:type="dxa"/>
            <w:vAlign w:val="bottom"/>
            <w:tcBorders>
              <w:bottom w:val="single" w:sz="8" w:color="auto"/>
            </w:tcBorders>
          </w:tcPr>
          <w:p>
            <w:pPr>
              <w:spacing w:after="0"/>
              <w:rPr>
                <w:sz w:val="24"/>
                <w:szCs w:val="24"/>
                <w:color w:val="auto"/>
              </w:rPr>
            </w:pPr>
          </w:p>
        </w:tc>
        <w:tc>
          <w:tcPr>
            <w:tcW w:w="11080" w:type="dxa"/>
            <w:vAlign w:val="bottom"/>
            <w:tcBorders>
              <w:bottom w:val="single" w:sz="8" w:color="auto"/>
            </w:tcBorders>
            <w:gridSpan w:val="5"/>
          </w:tcPr>
          <w:p>
            <w:pPr>
              <w:ind w:left="160"/>
              <w:spacing w:after="0"/>
              <w:rPr>
                <w:sz w:val="20"/>
                <w:szCs w:val="20"/>
                <w:color w:val="auto"/>
              </w:rPr>
            </w:pPr>
            <w:r>
              <w:rPr>
                <w:rFonts w:ascii="Arial" w:cs="Arial" w:eastAsia="Arial" w:hAnsi="Arial"/>
                <w:sz w:val="22"/>
                <w:szCs w:val="22"/>
                <w:color w:val="auto"/>
              </w:rPr>
              <w:t>20-1665304</w:t>
            </w:r>
          </w:p>
        </w:tc>
        <w:tc>
          <w:tcPr>
            <w:tcW w:w="0" w:type="dxa"/>
            <w:vAlign w:val="bottom"/>
          </w:tcPr>
          <w:p>
            <w:pPr>
              <w:spacing w:after="0"/>
              <w:rPr>
                <w:sz w:val="1"/>
                <w:szCs w:val="1"/>
                <w:color w:val="auto"/>
              </w:rPr>
            </w:pPr>
          </w:p>
        </w:tc>
      </w:tr>
      <w:tr>
        <w:trPr>
          <w:trHeight w:val="170"/>
        </w:trPr>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1000" w:type="dxa"/>
            <w:vAlign w:val="bottom"/>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0"/>
              </w:rPr>
              <w:t>(b)</w:t>
            </w:r>
          </w:p>
        </w:tc>
        <w:tc>
          <w:tcPr>
            <w:tcW w:w="99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0"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0" w:type="dxa"/>
            <w:vAlign w:val="bottom"/>
            <w:tcBorders>
              <w:bottom w:val="single" w:sz="8" w:color="auto"/>
            </w:tcBorders>
            <w:gridSpan w:val="4"/>
          </w:tcPr>
          <w:p>
            <w:pPr>
              <w:ind w:left="30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0"/>
              </w:rPr>
              <w:t>Number of</w:t>
            </w: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1,519,123</w:t>
            </w: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74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4"/>
              </w:rPr>
              <w:t>Shares</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4"/>
              </w:rPr>
              <w:t>Beneficially</w:t>
            </w: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restart"/>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1"/>
              </w:rPr>
              <w:t>Owned By</w:t>
            </w:r>
          </w:p>
        </w:tc>
        <w:tc>
          <w:tcPr>
            <w:tcW w:w="3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right w:val="single" w:sz="8" w:color="auto"/>
            </w:tcBorders>
          </w:tcPr>
          <w:p>
            <w:pPr>
              <w:jc w:val="center"/>
              <w:ind w:right="225"/>
              <w:spacing w:after="0" w:line="190" w:lineRule="exact"/>
              <w:rPr>
                <w:sz w:val="20"/>
                <w:szCs w:val="20"/>
                <w:color w:val="auto"/>
              </w:rPr>
            </w:pPr>
            <w:r>
              <w:rPr>
                <w:rFonts w:ascii="Arial" w:cs="Arial" w:eastAsia="Arial" w:hAnsi="Arial"/>
                <w:sz w:val="18"/>
                <w:szCs w:val="18"/>
                <w:color w:val="auto"/>
                <w:w w:val="82"/>
              </w:rPr>
              <w:t>Each</w:t>
            </w:r>
          </w:p>
        </w:tc>
        <w:tc>
          <w:tcPr>
            <w:tcW w:w="36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6"/>
                <w:szCs w:val="16"/>
                <w:color w:val="auto"/>
              </w:rPr>
            </w:pPr>
          </w:p>
        </w:tc>
        <w:tc>
          <w:tcPr>
            <w:tcW w:w="9900" w:type="dxa"/>
            <w:vAlign w:val="bottom"/>
          </w:tcPr>
          <w:p>
            <w:pPr>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restart"/>
          </w:tcPr>
          <w:p>
            <w:pPr>
              <w:ind w:left="220"/>
              <w:spacing w:after="0"/>
              <w:rPr>
                <w:sz w:val="20"/>
                <w:szCs w:val="20"/>
                <w:color w:val="auto"/>
              </w:rPr>
            </w:pPr>
            <w:r>
              <w:rPr>
                <w:rFonts w:ascii="Arial" w:cs="Arial" w:eastAsia="Arial" w:hAnsi="Arial"/>
                <w:sz w:val="22"/>
                <w:szCs w:val="22"/>
                <w:color w:val="auto"/>
              </w:rPr>
              <w:t>1,610,293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4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4"/>
              </w:rPr>
              <w:t>Person</w:t>
            </w:r>
          </w:p>
        </w:tc>
        <w:tc>
          <w:tcPr>
            <w:tcW w:w="3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right w:val="single" w:sz="8" w:color="auto"/>
            </w:tcBorders>
            <w:vMerge w:val="restart"/>
          </w:tcPr>
          <w:p>
            <w:pPr>
              <w:jc w:val="center"/>
              <w:ind w:right="225"/>
              <w:spacing w:after="0"/>
              <w:rPr>
                <w:sz w:val="20"/>
                <w:szCs w:val="20"/>
                <w:color w:val="auto"/>
              </w:rPr>
            </w:pPr>
            <w:r>
              <w:rPr>
                <w:rFonts w:ascii="Arial" w:cs="Arial" w:eastAsia="Arial" w:hAnsi="Arial"/>
                <w:sz w:val="18"/>
                <w:szCs w:val="18"/>
                <w:color w:val="auto"/>
                <w:w w:val="94"/>
              </w:rPr>
              <w:t>With</w:t>
            </w:r>
          </w:p>
        </w:tc>
        <w:tc>
          <w:tcPr>
            <w:tcW w:w="3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right w:val="single" w:sz="8" w:color="auto"/>
            </w:tcBorders>
            <w:vMerge w:val="continue"/>
          </w:tcPr>
          <w:p>
            <w:pPr>
              <w:spacing w:after="0"/>
              <w:rPr>
                <w:sz w:val="18"/>
                <w:szCs w:val="18"/>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98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000" w:type="dxa"/>
            <w:vAlign w:val="bottom"/>
            <w:tcBorders>
              <w:bottom w:val="single" w:sz="8" w:color="auto"/>
            </w:tcBorders>
            <w:gridSpan w:val="4"/>
          </w:tcPr>
          <w:p>
            <w:pPr>
              <w:ind w:left="300"/>
              <w:spacing w:after="0"/>
              <w:rPr>
                <w:sz w:val="20"/>
                <w:szCs w:val="20"/>
                <w:color w:val="auto"/>
              </w:rPr>
            </w:pPr>
            <w:r>
              <w:rPr>
                <w:rFonts w:ascii="Arial" w:cs="Arial" w:eastAsia="Arial" w:hAnsi="Arial"/>
                <w:sz w:val="22"/>
                <w:szCs w:val="22"/>
                <w:color w:val="auto"/>
              </w:rPr>
              <w:t>1,610,293</w:t>
            </w:r>
          </w:p>
        </w:tc>
        <w:tc>
          <w:tcPr>
            <w:tcW w:w="0" w:type="dxa"/>
            <w:vAlign w:val="bottom"/>
          </w:tcPr>
          <w:p>
            <w:pPr>
              <w:spacing w:after="0"/>
              <w:rPr>
                <w:sz w:val="1"/>
                <w:szCs w:val="1"/>
                <w:color w:val="auto"/>
              </w:rPr>
            </w:pPr>
          </w:p>
        </w:tc>
      </w:tr>
      <w:tr>
        <w:trPr>
          <w:trHeight w:val="270"/>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3"/>
                <w:szCs w:val="23"/>
                <w:color w:val="auto"/>
              </w:rPr>
            </w:pPr>
          </w:p>
        </w:tc>
        <w:tc>
          <w:tcPr>
            <w:tcW w:w="1100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40" w:type="dxa"/>
            <w:vAlign w:val="bottom"/>
            <w:tcBorders>
              <w:bottom w:val="single" w:sz="8" w:color="auto"/>
              <w:right w:val="single" w:sz="8" w:color="auto"/>
            </w:tcBorders>
            <w:gridSpan w:val="2"/>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98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5.0%</w:t>
            </w: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8"/>
                <w:szCs w:val="18"/>
                <w:color w:val="auto"/>
              </w:rPr>
            </w:pPr>
          </w:p>
        </w:tc>
        <w:tc>
          <w:tcPr>
            <w:tcW w:w="1100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IA</w:t>
            </w: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6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4480" w:type="dxa"/>
            <w:vAlign w:val="bottom"/>
          </w:tcPr>
          <w:p>
            <w:pPr>
              <w:ind w:left="260"/>
              <w:spacing w:after="0"/>
              <w:rPr>
                <w:sz w:val="20"/>
                <w:szCs w:val="20"/>
                <w:color w:val="auto"/>
              </w:rPr>
            </w:pPr>
            <w:r>
              <w:rPr>
                <w:rFonts w:ascii="Arial" w:cs="Arial" w:eastAsia="Arial" w:hAnsi="Arial"/>
                <w:sz w:val="18"/>
                <w:szCs w:val="18"/>
                <w:color w:val="auto"/>
              </w:rPr>
              <w:t>Name of Issuer:</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ind w:left="260"/>
              <w:spacing w:after="0"/>
              <w:rPr>
                <w:sz w:val="20"/>
                <w:szCs w:val="20"/>
                <w:color w:val="auto"/>
              </w:rPr>
            </w:pPr>
            <w:r>
              <w:rPr>
                <w:rFonts w:ascii="Arial" w:cs="Arial" w:eastAsia="Arial" w:hAnsi="Arial"/>
                <w:sz w:val="18"/>
                <w:szCs w:val="18"/>
                <w:color w:val="auto"/>
              </w:rPr>
              <w:t>Exlservice Holdings, Inc.</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6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4480" w:type="dxa"/>
            <w:vAlign w:val="bottom"/>
          </w:tcPr>
          <w:p>
            <w:pPr>
              <w:ind w:left="260"/>
              <w:spacing w:after="0"/>
              <w:rPr>
                <w:sz w:val="20"/>
                <w:szCs w:val="20"/>
                <w:color w:val="auto"/>
              </w:rPr>
            </w:pPr>
            <w:r>
              <w:rPr>
                <w:rFonts w:ascii="Arial" w:cs="Arial" w:eastAsia="Arial" w:hAnsi="Arial"/>
                <w:sz w:val="18"/>
                <w:szCs w:val="18"/>
                <w:color w:val="auto"/>
              </w:rPr>
              <w:t>Address of Issuer’s Principal Executive Offices:</w:t>
            </w:r>
          </w:p>
        </w:tc>
      </w:tr>
      <w:tr>
        <w:trPr>
          <w:trHeight w:val="318"/>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ind w:left="260"/>
              <w:spacing w:after="0"/>
              <w:rPr>
                <w:sz w:val="20"/>
                <w:szCs w:val="20"/>
                <w:color w:val="auto"/>
              </w:rPr>
            </w:pPr>
            <w:r>
              <w:rPr>
                <w:rFonts w:ascii="Arial" w:cs="Arial" w:eastAsia="Arial" w:hAnsi="Arial"/>
                <w:sz w:val="18"/>
                <w:szCs w:val="18"/>
                <w:color w:val="auto"/>
              </w:rPr>
              <w:t>280 Park Avenue, 38</w:t>
            </w:r>
            <w:r>
              <w:rPr>
                <w:rFonts w:ascii="Arial" w:cs="Arial" w:eastAsia="Arial" w:hAnsi="Arial"/>
                <w:sz w:val="11"/>
                <w:szCs w:val="11"/>
                <w:color w:val="auto"/>
              </w:rPr>
              <w:t>TH</w:t>
            </w:r>
            <w:r>
              <w:rPr>
                <w:rFonts w:ascii="Arial" w:cs="Arial" w:eastAsia="Arial" w:hAnsi="Arial"/>
                <w:sz w:val="18"/>
                <w:szCs w:val="18"/>
                <w:color w:val="auto"/>
              </w:rPr>
              <w:t xml:space="preserve"> Floor</w:t>
            </w:r>
          </w:p>
        </w:tc>
      </w:tr>
      <w:tr>
        <w:trPr>
          <w:trHeight w:val="222"/>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80" w:type="dxa"/>
            <w:vAlign w:val="bottom"/>
          </w:tcPr>
          <w:p>
            <w:pPr>
              <w:ind w:left="260"/>
              <w:spacing w:after="0"/>
              <w:rPr>
                <w:sz w:val="20"/>
                <w:szCs w:val="20"/>
                <w:color w:val="auto"/>
              </w:rPr>
            </w:pPr>
            <w:r>
              <w:rPr>
                <w:rFonts w:ascii="Arial" w:cs="Arial" w:eastAsia="Arial" w:hAnsi="Arial"/>
                <w:sz w:val="18"/>
                <w:szCs w:val="18"/>
                <w:color w:val="auto"/>
              </w:rPr>
              <w:t>New York, NY 10017</w:t>
            </w: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0" w:type="dxa"/>
            <w:vAlign w:val="bottom"/>
          </w:tcPr>
          <w:p>
            <w:pPr>
              <w:ind w:left="120"/>
              <w:spacing w:after="0"/>
              <w:rPr>
                <w:sz w:val="20"/>
                <w:szCs w:val="20"/>
                <w:color w:val="auto"/>
              </w:rPr>
            </w:pPr>
            <w:r>
              <w:rPr>
                <w:rFonts w:ascii="Arial" w:cs="Arial" w:eastAsia="Arial" w:hAnsi="Arial"/>
                <w:sz w:val="18"/>
                <w:szCs w:val="18"/>
                <w:b w:val="1"/>
                <w:bCs w:val="1"/>
                <w:color w:val="auto"/>
              </w:rPr>
              <w:t>(a)</w:t>
            </w:r>
          </w:p>
        </w:tc>
        <w:tc>
          <w:tcPr>
            <w:tcW w:w="4480" w:type="dxa"/>
            <w:vAlign w:val="bottom"/>
          </w:tcPr>
          <w:p>
            <w:pPr>
              <w:ind w:left="260"/>
              <w:spacing w:after="0"/>
              <w:rPr>
                <w:sz w:val="20"/>
                <w:szCs w:val="20"/>
                <w:color w:val="auto"/>
              </w:rPr>
            </w:pPr>
            <w:r>
              <w:rPr>
                <w:rFonts w:ascii="Arial" w:cs="Arial" w:eastAsia="Arial" w:hAnsi="Arial"/>
                <w:sz w:val="18"/>
                <w:szCs w:val="18"/>
                <w:color w:val="auto"/>
              </w:rPr>
              <w:t>Name of Persons Filing:</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ind w:left="260"/>
              <w:spacing w:after="0"/>
              <w:rPr>
                <w:sz w:val="20"/>
                <w:szCs w:val="20"/>
                <w:color w:val="auto"/>
              </w:rPr>
            </w:pPr>
            <w:r>
              <w:rPr>
                <w:rFonts w:ascii="Arial" w:cs="Arial" w:eastAsia="Arial" w:hAnsi="Arial"/>
                <w:sz w:val="18"/>
                <w:szCs w:val="18"/>
                <w:color w:val="auto"/>
                <w:w w:val="91"/>
              </w:rPr>
              <w:t>TimesSquare Capital Management, LLC (“TimesSquare”)</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0" w:type="dxa"/>
            <w:vAlign w:val="bottom"/>
          </w:tcPr>
          <w:p>
            <w:pPr>
              <w:ind w:left="120"/>
              <w:spacing w:after="0"/>
              <w:rPr>
                <w:sz w:val="20"/>
                <w:szCs w:val="20"/>
                <w:color w:val="auto"/>
              </w:rPr>
            </w:pPr>
            <w:r>
              <w:rPr>
                <w:rFonts w:ascii="Arial" w:cs="Arial" w:eastAsia="Arial" w:hAnsi="Arial"/>
                <w:sz w:val="18"/>
                <w:szCs w:val="18"/>
                <w:b w:val="1"/>
                <w:bCs w:val="1"/>
                <w:color w:val="auto"/>
              </w:rPr>
              <w:t>(b)</w:t>
            </w:r>
          </w:p>
        </w:tc>
        <w:tc>
          <w:tcPr>
            <w:tcW w:w="4480" w:type="dxa"/>
            <w:vAlign w:val="bottom"/>
          </w:tcPr>
          <w:p>
            <w:pPr>
              <w:ind w:left="260"/>
              <w:spacing w:after="0"/>
              <w:rPr>
                <w:sz w:val="20"/>
                <w:szCs w:val="20"/>
                <w:color w:val="auto"/>
              </w:rPr>
            </w:pPr>
            <w:r>
              <w:rPr>
                <w:rFonts w:ascii="Arial" w:cs="Arial" w:eastAsia="Arial" w:hAnsi="Arial"/>
                <w:sz w:val="18"/>
                <w:szCs w:val="18"/>
                <w:color w:val="auto"/>
                <w:w w:val="88"/>
              </w:rPr>
              <w:t>Address of Principal Business Office or, if none, Residence:</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ind w:left="260"/>
              <w:spacing w:after="0"/>
              <w:rPr>
                <w:sz w:val="20"/>
                <w:szCs w:val="20"/>
                <w:color w:val="auto"/>
              </w:rPr>
            </w:pPr>
            <w:r>
              <w:rPr>
                <w:rFonts w:ascii="Arial" w:cs="Arial" w:eastAsia="Arial" w:hAnsi="Arial"/>
                <w:sz w:val="18"/>
                <w:szCs w:val="18"/>
                <w:color w:val="auto"/>
              </w:rPr>
              <w:t>TimesSquare:</w:t>
            </w:r>
          </w:p>
        </w:tc>
      </w:tr>
      <w:tr>
        <w:trPr>
          <w:trHeight w:val="318"/>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ind w:left="260"/>
              <w:spacing w:after="0"/>
              <w:rPr>
                <w:sz w:val="20"/>
                <w:szCs w:val="20"/>
                <w:color w:val="auto"/>
              </w:rPr>
            </w:pPr>
            <w:r>
              <w:rPr>
                <w:rFonts w:ascii="Arial" w:cs="Arial" w:eastAsia="Arial" w:hAnsi="Arial"/>
                <w:sz w:val="18"/>
                <w:szCs w:val="18"/>
                <w:color w:val="auto"/>
              </w:rPr>
              <w:t>1177 Avenue of the Americas, 39</w:t>
            </w:r>
            <w:r>
              <w:rPr>
                <w:rFonts w:ascii="Arial" w:cs="Arial" w:eastAsia="Arial" w:hAnsi="Arial"/>
                <w:sz w:val="11"/>
                <w:szCs w:val="11"/>
                <w:color w:val="auto"/>
              </w:rPr>
              <w:t>th</w:t>
            </w:r>
            <w:r>
              <w:rPr>
                <w:rFonts w:ascii="Arial" w:cs="Arial" w:eastAsia="Arial" w:hAnsi="Arial"/>
                <w:sz w:val="18"/>
                <w:szCs w:val="18"/>
                <w:color w:val="auto"/>
              </w:rPr>
              <w:t xml:space="preserve"> Floor</w:t>
            </w:r>
          </w:p>
        </w:tc>
      </w:tr>
      <w:tr>
        <w:trPr>
          <w:trHeight w:val="222"/>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80" w:type="dxa"/>
            <w:vAlign w:val="bottom"/>
          </w:tcPr>
          <w:p>
            <w:pPr>
              <w:ind w:left="260"/>
              <w:spacing w:after="0"/>
              <w:rPr>
                <w:sz w:val="20"/>
                <w:szCs w:val="20"/>
                <w:color w:val="auto"/>
              </w:rPr>
            </w:pPr>
            <w:r>
              <w:rPr>
                <w:rFonts w:ascii="Arial" w:cs="Arial" w:eastAsia="Arial" w:hAnsi="Arial"/>
                <w:sz w:val="18"/>
                <w:szCs w:val="18"/>
                <w:color w:val="auto"/>
              </w:rPr>
              <w:t>New York, NY 10036</w:t>
            </w:r>
          </w:p>
        </w:tc>
      </w:tr>
      <w:tr>
        <w:trPr>
          <w:trHeight w:val="338"/>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0" w:type="dxa"/>
            <w:vAlign w:val="bottom"/>
          </w:tcPr>
          <w:p>
            <w:pPr>
              <w:ind w:left="120"/>
              <w:spacing w:after="0"/>
              <w:rPr>
                <w:sz w:val="20"/>
                <w:szCs w:val="20"/>
                <w:color w:val="auto"/>
              </w:rPr>
            </w:pPr>
            <w:r>
              <w:rPr>
                <w:rFonts w:ascii="Arial" w:cs="Arial" w:eastAsia="Arial" w:hAnsi="Arial"/>
                <w:sz w:val="18"/>
                <w:szCs w:val="18"/>
                <w:b w:val="1"/>
                <w:bCs w:val="1"/>
                <w:color w:val="auto"/>
              </w:rPr>
              <w:t>(c)</w:t>
            </w:r>
          </w:p>
        </w:tc>
        <w:tc>
          <w:tcPr>
            <w:tcW w:w="4480" w:type="dxa"/>
            <w:vAlign w:val="bottom"/>
          </w:tcPr>
          <w:p>
            <w:pPr>
              <w:ind w:left="260"/>
              <w:spacing w:after="0"/>
              <w:rPr>
                <w:sz w:val="20"/>
                <w:szCs w:val="20"/>
                <w:color w:val="auto"/>
              </w:rPr>
            </w:pPr>
            <w:r>
              <w:rPr>
                <w:rFonts w:ascii="Arial" w:cs="Arial" w:eastAsia="Arial" w:hAnsi="Arial"/>
                <w:sz w:val="18"/>
                <w:szCs w:val="18"/>
                <w:color w:val="auto"/>
              </w:rPr>
              <w:t>Citizenship:</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ind w:left="260"/>
              <w:spacing w:after="0"/>
              <w:rPr>
                <w:sz w:val="20"/>
                <w:szCs w:val="20"/>
                <w:color w:val="auto"/>
              </w:rPr>
            </w:pPr>
            <w:r>
              <w:rPr>
                <w:rFonts w:ascii="Arial" w:cs="Arial" w:eastAsia="Arial" w:hAnsi="Arial"/>
                <w:sz w:val="18"/>
                <w:szCs w:val="18"/>
                <w:color w:val="auto"/>
                <w:w w:val="99"/>
              </w:rPr>
              <w:t>TimesSquare is a Delaware limited liability company.</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0" w:type="dxa"/>
            <w:vAlign w:val="bottom"/>
          </w:tcPr>
          <w:p>
            <w:pPr>
              <w:ind w:left="120"/>
              <w:spacing w:after="0"/>
              <w:rPr>
                <w:sz w:val="20"/>
                <w:szCs w:val="20"/>
                <w:color w:val="auto"/>
              </w:rPr>
            </w:pPr>
            <w:r>
              <w:rPr>
                <w:rFonts w:ascii="Arial" w:cs="Arial" w:eastAsia="Arial" w:hAnsi="Arial"/>
                <w:sz w:val="18"/>
                <w:szCs w:val="18"/>
                <w:b w:val="1"/>
                <w:bCs w:val="1"/>
                <w:color w:val="auto"/>
              </w:rPr>
              <w:t>(d)</w:t>
            </w:r>
          </w:p>
        </w:tc>
        <w:tc>
          <w:tcPr>
            <w:tcW w:w="4480" w:type="dxa"/>
            <w:vAlign w:val="bottom"/>
          </w:tcPr>
          <w:p>
            <w:pPr>
              <w:ind w:left="260"/>
              <w:spacing w:after="0"/>
              <w:rPr>
                <w:sz w:val="20"/>
                <w:szCs w:val="20"/>
                <w:color w:val="auto"/>
              </w:rPr>
            </w:pPr>
            <w:r>
              <w:rPr>
                <w:rFonts w:ascii="Arial" w:cs="Arial" w:eastAsia="Arial" w:hAnsi="Arial"/>
                <w:sz w:val="18"/>
                <w:szCs w:val="18"/>
                <w:color w:val="auto"/>
              </w:rPr>
              <w:t>Title of Class of Securities:</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ind w:left="260"/>
              <w:spacing w:after="0"/>
              <w:rPr>
                <w:sz w:val="20"/>
                <w:szCs w:val="20"/>
                <w:color w:val="auto"/>
              </w:rPr>
            </w:pPr>
            <w:r>
              <w:rPr>
                <w:rFonts w:ascii="Arial" w:cs="Arial" w:eastAsia="Arial" w:hAnsi="Arial"/>
                <w:sz w:val="18"/>
                <w:szCs w:val="18"/>
                <w:color w:val="auto"/>
              </w:rPr>
              <w:t>Common Stock, $0.001 par value</w:t>
            </w:r>
          </w:p>
        </w:tc>
      </w:tr>
      <w:tr>
        <w:trPr>
          <w:trHeight w:val="324"/>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0" w:type="dxa"/>
            <w:vAlign w:val="bottom"/>
          </w:tcPr>
          <w:p>
            <w:pPr>
              <w:ind w:left="120"/>
              <w:spacing w:after="0"/>
              <w:rPr>
                <w:sz w:val="20"/>
                <w:szCs w:val="20"/>
                <w:color w:val="auto"/>
              </w:rPr>
            </w:pPr>
            <w:r>
              <w:rPr>
                <w:rFonts w:ascii="Arial" w:cs="Arial" w:eastAsia="Arial" w:hAnsi="Arial"/>
                <w:sz w:val="18"/>
                <w:szCs w:val="18"/>
                <w:b w:val="1"/>
                <w:bCs w:val="1"/>
                <w:color w:val="auto"/>
              </w:rPr>
              <w:t>(e)</w:t>
            </w:r>
          </w:p>
        </w:tc>
        <w:tc>
          <w:tcPr>
            <w:tcW w:w="4480" w:type="dxa"/>
            <w:vAlign w:val="bottom"/>
          </w:tcPr>
          <w:p>
            <w:pPr>
              <w:ind w:left="260"/>
              <w:spacing w:after="0"/>
              <w:rPr>
                <w:sz w:val="20"/>
                <w:szCs w:val="20"/>
                <w:color w:val="auto"/>
              </w:rPr>
            </w:pPr>
            <w:r>
              <w:rPr>
                <w:rFonts w:ascii="Arial" w:cs="Arial" w:eastAsia="Arial" w:hAnsi="Arial"/>
                <w:sz w:val="18"/>
                <w:szCs w:val="18"/>
                <w:color w:val="auto"/>
              </w:rPr>
              <w:t>CUSIP Number:</w:t>
            </w:r>
          </w:p>
        </w:tc>
      </w:tr>
      <w:tr>
        <w:trPr>
          <w:trHeight w:val="32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ind w:left="260"/>
              <w:spacing w:after="0"/>
              <w:rPr>
                <w:sz w:val="20"/>
                <w:szCs w:val="20"/>
                <w:color w:val="auto"/>
              </w:rPr>
            </w:pPr>
            <w:r>
              <w:rPr>
                <w:rFonts w:ascii="Arial" w:cs="Arial" w:eastAsia="Arial" w:hAnsi="Arial"/>
                <w:sz w:val="18"/>
                <w:szCs w:val="18"/>
                <w:color w:val="auto"/>
              </w:rPr>
              <w:t>302081104</w:t>
            </w:r>
          </w:p>
        </w:tc>
      </w:tr>
    </w:tbl>
    <w:p>
      <w:pPr>
        <w:spacing w:after="0" w:line="96" w:lineRule="exact"/>
        <w:rPr>
          <w:sz w:val="20"/>
          <w:szCs w:val="20"/>
          <w:color w:val="auto"/>
        </w:rPr>
      </w:pPr>
    </w:p>
    <w:p>
      <w:pPr>
        <w:ind w:left="720" w:right="619" w:hanging="701"/>
        <w:spacing w:after="0" w:line="268" w:lineRule="auto"/>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color w:val="auto"/>
        </w:rPr>
        <w:t>This statement is filed by TimesSquare pursuant to §§240.13d-1(b), or 240.13d-2(b) or (c), on the basis that TimesSquare is an investment adviser in accordance with §240.13d-1(b)(1)(ii)(E).</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color w:val="auto"/>
        </w:rPr>
        <w:t>Ownership.</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ownership information is as of December 31, 2012.</w:t>
      </w:r>
    </w:p>
    <w:p>
      <w:pPr>
        <w:spacing w:after="0" w:line="117" w:lineRule="exact"/>
        <w:rPr>
          <w:sz w:val="20"/>
          <w:szCs w:val="20"/>
          <w:color w:val="auto"/>
        </w:rPr>
      </w:pPr>
    </w:p>
    <w:p>
      <w:pPr>
        <w:ind w:left="1000" w:right="7139" w:hanging="303"/>
        <w:spacing w:after="0" w:line="375"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1,610,293</w:t>
      </w:r>
    </w:p>
    <w:p>
      <w:pPr>
        <w:spacing w:after="0" w:line="1" w:lineRule="exact"/>
        <w:rPr>
          <w:rFonts w:ascii="Arial" w:cs="Arial" w:eastAsia="Arial" w:hAnsi="Arial"/>
          <w:sz w:val="18"/>
          <w:szCs w:val="18"/>
          <w:color w:val="auto"/>
        </w:rPr>
      </w:pPr>
    </w:p>
    <w:p>
      <w:pPr>
        <w:ind w:left="1000" w:hanging="30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5.0%</w:t>
      </w:r>
    </w:p>
    <w:p>
      <w:pPr>
        <w:spacing w:after="0" w:line="117" w:lineRule="exact"/>
        <w:rPr>
          <w:rFonts w:ascii="Arial" w:cs="Arial" w:eastAsia="Arial" w:hAnsi="Arial"/>
          <w:sz w:val="18"/>
          <w:szCs w:val="18"/>
          <w:color w:val="auto"/>
        </w:rPr>
      </w:pPr>
    </w:p>
    <w:p>
      <w:pPr>
        <w:ind w:left="1000" w:right="299"/>
        <w:spacing w:after="0" w:line="268" w:lineRule="auto"/>
        <w:rPr>
          <w:rFonts w:ascii="Arial" w:cs="Arial" w:eastAsia="Arial" w:hAnsi="Arial"/>
          <w:sz w:val="18"/>
          <w:szCs w:val="18"/>
          <w:color w:val="auto"/>
        </w:rPr>
      </w:pPr>
      <w:r>
        <w:rPr>
          <w:rFonts w:ascii="Arial" w:cs="Arial" w:eastAsia="Arial" w:hAnsi="Arial"/>
          <w:sz w:val="18"/>
          <w:szCs w:val="18"/>
          <w:color w:val="auto"/>
        </w:rPr>
        <w:t>Percent of class is based on 32,146,000 shares of Common Stock outstanding as of December 31, 2012 as reported to us by FT Interactive Data Corporation.</w:t>
      </w:r>
    </w:p>
    <w:p>
      <w:pPr>
        <w:spacing w:after="0" w:line="77" w:lineRule="exact"/>
        <w:rPr>
          <w:rFonts w:ascii="Arial" w:cs="Arial" w:eastAsia="Arial" w:hAnsi="Arial"/>
          <w:sz w:val="18"/>
          <w:szCs w:val="18"/>
          <w:color w:val="auto"/>
        </w:rPr>
      </w:pPr>
    </w:p>
    <w:p>
      <w:pPr>
        <w:ind w:left="1000" w:hanging="30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380" w:right="6139" w:hanging="373"/>
        <w:spacing w:after="0" w:line="375" w:lineRule="auto"/>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1,519,123*</w:t>
      </w:r>
    </w:p>
    <w:p>
      <w:pPr>
        <w:spacing w:after="0" w:line="1" w:lineRule="exact"/>
        <w:rPr>
          <w:rFonts w:ascii="Arial" w:cs="Arial" w:eastAsia="Arial" w:hAnsi="Arial"/>
          <w:sz w:val="18"/>
          <w:szCs w:val="18"/>
          <w:color w:val="auto"/>
        </w:rPr>
      </w:pPr>
    </w:p>
    <w:p>
      <w:pPr>
        <w:ind w:left="1380" w:right="5959" w:hanging="373"/>
        <w:spacing w:after="0" w:line="375" w:lineRule="auto"/>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 w:lineRule="exact"/>
        <w:rPr>
          <w:rFonts w:ascii="Arial" w:cs="Arial" w:eastAsia="Arial" w:hAnsi="Arial"/>
          <w:sz w:val="18"/>
          <w:szCs w:val="18"/>
          <w:color w:val="auto"/>
        </w:rPr>
      </w:pPr>
    </w:p>
    <w:p>
      <w:pPr>
        <w:ind w:left="1380" w:right="5259" w:hanging="373"/>
        <w:spacing w:after="0" w:line="375" w:lineRule="auto"/>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1,610,293*</w:t>
      </w:r>
    </w:p>
    <w:p>
      <w:pPr>
        <w:spacing w:after="0" w:line="1" w:lineRule="exact"/>
        <w:rPr>
          <w:rFonts w:ascii="Arial" w:cs="Arial" w:eastAsia="Arial" w:hAnsi="Arial"/>
          <w:sz w:val="18"/>
          <w:szCs w:val="18"/>
          <w:color w:val="auto"/>
        </w:rPr>
      </w:pPr>
    </w:p>
    <w:p>
      <w:pPr>
        <w:ind w:left="1380" w:right="5079" w:hanging="373"/>
        <w:spacing w:after="0" w:line="375" w:lineRule="auto"/>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 w:lineRule="exact"/>
        <w:rPr>
          <w:sz w:val="20"/>
          <w:szCs w:val="20"/>
          <w:color w:val="auto"/>
        </w:rPr>
      </w:pPr>
    </w:p>
    <w:p>
      <w:pPr>
        <w:ind w:left="1380" w:right="579" w:hanging="373"/>
        <w:spacing w:after="0" w:line="332"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of the shares reported on in this statement are owned by investment advisory clients of TimesSquare. In its role as investment adviser, TimesSquare has voting and dispositive power with respect to these shares.</w:t>
      </w:r>
    </w:p>
    <w:p>
      <w:pPr>
        <w:spacing w:after="0" w:line="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23" w:lineRule="exact"/>
        <w:rPr>
          <w:sz w:val="20"/>
          <w:szCs w:val="20"/>
          <w:color w:val="auto"/>
        </w:rPr>
      </w:pPr>
    </w:p>
    <w:p>
      <w:pPr>
        <w:ind w:right="419"/>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23" w:lineRule="exact"/>
        <w:rPr>
          <w:sz w:val="20"/>
          <w:szCs w:val="20"/>
          <w:color w:val="auto"/>
        </w:rPr>
      </w:pPr>
    </w:p>
    <w:p>
      <w:pPr>
        <w:ind w:right="379"/>
        <w:spacing w:after="0" w:line="259" w:lineRule="auto"/>
        <w:rPr>
          <w:sz w:val="20"/>
          <w:szCs w:val="20"/>
          <w:color w:val="auto"/>
        </w:rPr>
      </w:pPr>
      <w:r>
        <w:rPr>
          <w:rFonts w:ascii="Arial" w:cs="Arial" w:eastAsia="Arial" w:hAnsi="Arial"/>
          <w:sz w:val="18"/>
          <w:szCs w:val="18"/>
          <w:color w:val="auto"/>
        </w:rPr>
        <w:t>The shares of Common Stock reported on in this statement are owned by investment advisory clients of TimesSquare, and such clients have the right to receive dividends from and proceeds from the sale of such shares. To TimesSquare’s knowledge, the interest of no one of these clients relates to more than 5% of the class.</w:t>
      </w:r>
    </w:p>
    <w:p>
      <w:pPr>
        <w:spacing w:after="0" w:line="80" w:lineRule="exact"/>
        <w:rPr>
          <w:sz w:val="20"/>
          <w:szCs w:val="20"/>
          <w:color w:val="auto"/>
        </w:rPr>
      </w:pPr>
    </w:p>
    <w:p>
      <w:pPr>
        <w:ind w:left="700" w:right="19" w:hanging="688"/>
        <w:spacing w:after="0" w:line="268" w:lineRule="auto"/>
        <w:tabs>
          <w:tab w:leader="none" w:pos="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color w:val="auto"/>
        </w:rPr>
        <w:t>Notice of Dissolution of Group.</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right="259"/>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274"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TIMESSQUARE CAPITAL MANAGEMENT,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J. Aaron</w:t>
            </w: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Name/Title:</w:t>
            </w:r>
          </w:p>
        </w:tc>
        <w:tc>
          <w:tcPr>
            <w:tcW w:w="3420" w:type="dxa"/>
            <w:vAlign w:val="bottom"/>
          </w:tcPr>
          <w:p>
            <w:pPr>
              <w:spacing w:after="0"/>
              <w:rPr>
                <w:sz w:val="20"/>
                <w:szCs w:val="20"/>
                <w:color w:val="auto"/>
              </w:rPr>
            </w:pPr>
            <w:r>
              <w:rPr>
                <w:rFonts w:ascii="Arial" w:cs="Arial" w:eastAsia="Arial" w:hAnsi="Arial"/>
                <w:sz w:val="18"/>
                <w:szCs w:val="18"/>
                <w:color w:val="auto"/>
              </w:rPr>
              <w:t>Mark J. Aaron</w:t>
            </w: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Chief Operating Officer and Chief Compliance</w:t>
            </w:r>
          </w:p>
        </w:tc>
      </w:tr>
      <w:tr>
        <w:trPr>
          <w:trHeight w:val="222"/>
        </w:trPr>
        <w:tc>
          <w:tcPr>
            <w:tcW w:w="116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0780"/>
      </w:cols>
      <w:pgMar w:left="240" w:top="27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lvl w:ilvl="1">
      <w:lvlJc w:val="left"/>
      <w:lvlText w:val="☐"/>
      <w:numFmt w:val="bullet"/>
      <w:start w:val="1"/>
    </w:lvl>
  </w:abstractNum>
  <w:abstractNum w:abstractNumId="2">
    <w:nsid w:val="2AE8944A"/>
    <w:multiLevelType w:val="hybridMultilevel"/>
    <w:lvl w:ilvl="0">
      <w:lvlJc w:val="left"/>
      <w:lvlText w:val="(%1)"/>
      <w:numFmt w:val="lowerLetter"/>
      <w:start w:val="1"/>
    </w:lvl>
    <w:lvl w:ilvl="1">
      <w:lvlJc w:val="left"/>
      <w:lvlText w:val="(%2)"/>
      <w:numFmt w:val="lowerRoman"/>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2019-12-07T08:43:53Z</dcterms:created>
  <dcterms:modified xsi:type="dcterms:W3CDTF">2019-12-07T08:43:53Z</dcterms:modified>
</cp:coreProperties>
</file>