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6592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65924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AYYAPPAN AJAY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320 PARK AVENUE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7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ExlService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01/26/2026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05"/>
        <w:spacing w:after="0"/>
        <w:rPr>
          <w:sz w:val="20"/>
          <w:szCs w:val="20"/>
          <w:color w:val="auto"/>
        </w:rPr>
      </w:pPr>
      <w:r>
        <w:rPr>
          <w:rFonts w:ascii="Times New Roman" w:cs="Times New Roman" w:eastAsia="Times New Roman" w:hAnsi="Times New Roman"/>
          <w:sz w:val="17"/>
          <w:szCs w:val="17"/>
          <w:color w:val="0000FF"/>
        </w:rPr>
        <w:t>EVP &amp; Gen Counsel/Corp. Sec'y.</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10022</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gridSpan w:val="2"/>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4"/>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80" w:type="dxa"/>
            <w:vAlign w:val="bottom"/>
          </w:tcPr>
          <w:p>
            <w:pPr>
              <w:spacing w:after="0"/>
              <w:rPr>
                <w:sz w:val="15"/>
                <w:szCs w:val="15"/>
                <w:color w:val="auto"/>
              </w:rPr>
            </w:pPr>
          </w:p>
        </w:tc>
        <w:tc>
          <w:tcPr>
            <w:tcW w:w="1500" w:type="dxa"/>
            <w:vAlign w:val="bottom"/>
            <w:gridSpan w:val="3"/>
          </w:tcPr>
          <w:p>
            <w:pPr>
              <w:ind w:left="4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00" w:type="dxa"/>
            <w:vAlign w:val="bottom"/>
            <w:gridSpan w:val="3"/>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80" w:type="dxa"/>
            <w:vAlign w:val="bottom"/>
            <w:tcBorders>
              <w:bottom w:val="single" w:sz="8" w:color="2C2C2C"/>
            </w:tcBorders>
            <w:gridSpan w:val="6"/>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500" w:type="dxa"/>
            <w:vAlign w:val="bottom"/>
            <w:gridSpan w:val="3"/>
            <w:vMerge w:val="restart"/>
          </w:tcPr>
          <w:p>
            <w:pPr>
              <w:jc w:val="right"/>
              <w:ind w:right="118"/>
              <w:spacing w:after="0"/>
              <w:rPr>
                <w:sz w:val="20"/>
                <w:szCs w:val="20"/>
                <w:color w:val="auto"/>
              </w:rPr>
            </w:pPr>
            <w:r>
              <w:rPr>
                <w:rFonts w:ascii="Times New Roman" w:cs="Times New Roman" w:eastAsia="Times New Roman" w:hAnsi="Times New Roman"/>
                <w:sz w:val="17"/>
                <w:szCs w:val="17"/>
                <w:color w:val="0000FF"/>
              </w:rPr>
              <w:t>01/26/2026</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6,957</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center"/>
              <w:ind w:left="288"/>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59,570</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00" w:type="dxa"/>
            <w:vAlign w:val="bottom"/>
            <w:gridSpan w:val="3"/>
            <w:vMerge w:val="continue"/>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80" w:type="dxa"/>
            <w:vAlign w:val="bottom"/>
            <w:tcBorders>
              <w:bottom w:val="single" w:sz="8" w:color="2C2C2C"/>
            </w:tcBorders>
            <w:gridSpan w:val="6"/>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500" w:type="dxa"/>
            <w:vAlign w:val="bottom"/>
            <w:gridSpan w:val="3"/>
            <w:vMerge w:val="restart"/>
          </w:tcPr>
          <w:p>
            <w:pPr>
              <w:jc w:val="right"/>
              <w:ind w:right="118"/>
              <w:spacing w:after="0"/>
              <w:rPr>
                <w:sz w:val="20"/>
                <w:szCs w:val="20"/>
                <w:color w:val="auto"/>
              </w:rPr>
            </w:pPr>
            <w:r>
              <w:rPr>
                <w:rFonts w:ascii="Times New Roman" w:cs="Times New Roman" w:eastAsia="Times New Roman" w:hAnsi="Times New Roman"/>
                <w:sz w:val="17"/>
                <w:szCs w:val="17"/>
                <w:color w:val="0000FF"/>
              </w:rPr>
              <w:t>01/26/2026</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3,848</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jc w:val="center"/>
              <w:ind w:left="8"/>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42.64</w:t>
            </w:r>
            <w:r>
              <w:rPr>
                <w:rFonts w:ascii="Times New Roman" w:cs="Times New Roman" w:eastAsia="Times New Roman" w:hAnsi="Times New Roman"/>
                <w:sz w:val="22"/>
                <w:szCs w:val="22"/>
                <w:color w:val="008000"/>
                <w:w w:val="95"/>
                <w:vertAlign w:val="superscript"/>
              </w:rPr>
              <w:t>(2)</w:t>
            </w: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55,722</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80" w:type="dxa"/>
            <w:vAlign w:val="bottom"/>
            <w:tcBorders>
              <w:bottom w:val="single" w:sz="8" w:color="2C2C2C"/>
            </w:tcBorders>
            <w:gridSpan w:val="6"/>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500" w:type="dxa"/>
            <w:vAlign w:val="bottom"/>
            <w:gridSpan w:val="3"/>
            <w:vMerge w:val="restart"/>
          </w:tcPr>
          <w:p>
            <w:pPr>
              <w:jc w:val="right"/>
              <w:ind w:right="118"/>
              <w:spacing w:after="0"/>
              <w:rPr>
                <w:sz w:val="20"/>
                <w:szCs w:val="20"/>
                <w:color w:val="auto"/>
              </w:rPr>
            </w:pPr>
            <w:r>
              <w:rPr>
                <w:rFonts w:ascii="Times New Roman" w:cs="Times New Roman" w:eastAsia="Times New Roman" w:hAnsi="Times New Roman"/>
                <w:sz w:val="17"/>
                <w:szCs w:val="17"/>
                <w:color w:val="0000FF"/>
              </w:rPr>
              <w:t>01/26/2026</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13,216</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center"/>
              <w:ind w:left="288"/>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68,938</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00" w:type="dxa"/>
            <w:vAlign w:val="bottom"/>
            <w:gridSpan w:val="3"/>
            <w:vMerge w:val="continue"/>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80" w:type="dxa"/>
            <w:vAlign w:val="bottom"/>
            <w:tcBorders>
              <w:bottom w:val="single" w:sz="8" w:color="2C2C2C"/>
            </w:tcBorders>
            <w:gridSpan w:val="6"/>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500" w:type="dxa"/>
            <w:vAlign w:val="bottom"/>
            <w:gridSpan w:val="3"/>
            <w:vMerge w:val="restart"/>
          </w:tcPr>
          <w:p>
            <w:pPr>
              <w:jc w:val="right"/>
              <w:ind w:right="118"/>
              <w:spacing w:after="0"/>
              <w:rPr>
                <w:sz w:val="20"/>
                <w:szCs w:val="20"/>
                <w:color w:val="auto"/>
              </w:rPr>
            </w:pPr>
            <w:r>
              <w:rPr>
                <w:rFonts w:ascii="Times New Roman" w:cs="Times New Roman" w:eastAsia="Times New Roman" w:hAnsi="Times New Roman"/>
                <w:sz w:val="17"/>
                <w:szCs w:val="17"/>
                <w:color w:val="0000FF"/>
              </w:rPr>
              <w:t>01/26/2026</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7,309</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jc w:val="center"/>
              <w:ind w:left="8"/>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42.64</w:t>
            </w:r>
            <w:r>
              <w:rPr>
                <w:rFonts w:ascii="Times New Roman" w:cs="Times New Roman" w:eastAsia="Times New Roman" w:hAnsi="Times New Roman"/>
                <w:sz w:val="22"/>
                <w:szCs w:val="22"/>
                <w:color w:val="008000"/>
                <w:w w:val="95"/>
                <w:vertAlign w:val="superscript"/>
              </w:rPr>
              <w:t>(2)</w:t>
            </w: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61,629</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80" w:type="dxa"/>
            <w:vAlign w:val="bottom"/>
            <w:tcBorders>
              <w:bottom w:val="single" w:sz="8" w:color="2C2C2C"/>
            </w:tcBorders>
            <w:gridSpan w:val="6"/>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500" w:type="dxa"/>
            <w:vAlign w:val="bottom"/>
            <w:gridSpan w:val="3"/>
            <w:vMerge w:val="restart"/>
          </w:tcPr>
          <w:p>
            <w:pPr>
              <w:jc w:val="right"/>
              <w:ind w:right="118"/>
              <w:spacing w:after="0"/>
              <w:rPr>
                <w:sz w:val="20"/>
                <w:szCs w:val="20"/>
                <w:color w:val="auto"/>
              </w:rPr>
            </w:pPr>
            <w:r>
              <w:rPr>
                <w:rFonts w:ascii="Times New Roman" w:cs="Times New Roman" w:eastAsia="Times New Roman" w:hAnsi="Times New Roman"/>
                <w:sz w:val="17"/>
                <w:szCs w:val="17"/>
                <w:color w:val="0000FF"/>
              </w:rPr>
              <w:t>01/27/2026</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5,316</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jc w:val="center"/>
              <w:ind w:left="8"/>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42.53</w:t>
            </w:r>
            <w:r>
              <w:rPr>
                <w:rFonts w:ascii="Times New Roman" w:cs="Times New Roman" w:eastAsia="Times New Roman" w:hAnsi="Times New Roman"/>
                <w:sz w:val="22"/>
                <w:szCs w:val="22"/>
                <w:color w:val="008000"/>
                <w:w w:val="95"/>
                <w:vertAlign w:val="superscript"/>
              </w:rPr>
              <w:t>(3)</w:t>
            </w: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56,313</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80" w:type="dxa"/>
            <w:vAlign w:val="bottom"/>
            <w:tcBorders>
              <w:bottom w:val="single" w:sz="8" w:color="2C2C2C"/>
            </w:tcBorders>
            <w:gridSpan w:val="6"/>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500" w:type="dxa"/>
            <w:vAlign w:val="bottom"/>
            <w:gridSpan w:val="3"/>
            <w:vMerge w:val="restart"/>
          </w:tcPr>
          <w:p>
            <w:pPr>
              <w:jc w:val="right"/>
              <w:ind w:right="118"/>
              <w:spacing w:after="0"/>
              <w:rPr>
                <w:sz w:val="20"/>
                <w:szCs w:val="20"/>
                <w:color w:val="auto"/>
              </w:rPr>
            </w:pPr>
            <w:r>
              <w:rPr>
                <w:rFonts w:ascii="Times New Roman" w:cs="Times New Roman" w:eastAsia="Times New Roman" w:hAnsi="Times New Roman"/>
                <w:sz w:val="17"/>
                <w:szCs w:val="17"/>
                <w:color w:val="0000FF"/>
              </w:rPr>
              <w:t>01/27/2026</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2,798</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jc w:val="center"/>
              <w:ind w:left="8"/>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42.53</w:t>
            </w:r>
            <w:r>
              <w:rPr>
                <w:rFonts w:ascii="Times New Roman" w:cs="Times New Roman" w:eastAsia="Times New Roman" w:hAnsi="Times New Roman"/>
                <w:sz w:val="22"/>
                <w:szCs w:val="22"/>
                <w:color w:val="008000"/>
                <w:w w:val="95"/>
                <w:vertAlign w:val="superscript"/>
              </w:rPr>
              <w:t>(3)</w:t>
            </w: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53,515</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40" w:type="dxa"/>
            <w:vAlign w:val="bottom"/>
            <w:gridSpan w:val="10"/>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280" w:type="dxa"/>
            <w:vAlign w:val="bottom"/>
          </w:tcPr>
          <w:p>
            <w:pPr>
              <w:spacing w:after="0"/>
              <w:rPr>
                <w:sz w:val="15"/>
                <w:szCs w:val="15"/>
                <w:color w:val="auto"/>
              </w:rPr>
            </w:pPr>
          </w:p>
        </w:tc>
        <w:tc>
          <w:tcPr>
            <w:tcW w:w="106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280" w:type="dxa"/>
            <w:vAlign w:val="bottom"/>
          </w:tcPr>
          <w:p>
            <w:pPr>
              <w:spacing w:after="0"/>
              <w:rPr>
                <w:sz w:val="11"/>
                <w:szCs w:val="11"/>
                <w:color w:val="auto"/>
              </w:rPr>
            </w:pPr>
          </w:p>
        </w:tc>
        <w:tc>
          <w:tcPr>
            <w:tcW w:w="10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shares of common stock, par value $0.001 per share (the "Common Stock") reported in this report were earned pursuant to the performance restricted stock units ("PRSUs") of ExlService Holdings, Inc. (the "Company") granted on February 15, 2023. Such shares of Common Stock were deemed earned on January 26, 2026, based on the Compensation and Talent Management Committee of the Board of Directors administering the award certifying the achievement of performance targets applicable to the PRSUs for the performance period ending on December 31, 2025.</w:t>
      </w:r>
    </w:p>
    <w:p>
      <w:pPr>
        <w:spacing w:after="0" w:line="2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sale was made pursuant to a 10b5-1 plan previously entered into by the reporting person on August 11, 2025.</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Ajay Ayyappan</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01/28/2026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62098"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2026-01-28T16:42:31Z</dcterms:created>
  <dcterms:modified xsi:type="dcterms:W3CDTF">2026-01-28T16:42:31Z</dcterms:modified>
</cp:coreProperties>
</file>