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EVP &amp; Head of Outsourcing</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12,450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21,829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52"/>
              <w:spacing w:after="0"/>
              <w:rPr>
                <w:sz w:val="20"/>
                <w:szCs w:val="20"/>
                <w:color w:val="auto"/>
              </w:rPr>
            </w:pPr>
            <w:r>
              <w:rPr>
                <w:rFonts w:ascii="Arial" w:cs="Arial" w:eastAsia="Arial" w:hAnsi="Arial"/>
                <w:sz w:val="17"/>
                <w:szCs w:val="17"/>
                <w:color w:val="0000FF"/>
              </w:rPr>
              <w:t>5,322</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170.01</w:t>
            </w:r>
            <w:r>
              <w:rPr>
                <w:rFonts w:ascii="Arial" w:cs="Arial" w:eastAsia="Arial" w:hAnsi="Arial"/>
                <w:sz w:val="22"/>
                <w:szCs w:val="22"/>
                <w:color w:val="008000"/>
                <w:w w:val="98"/>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16,507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2023-02-01T16:28:18Z</dcterms:created>
  <dcterms:modified xsi:type="dcterms:W3CDTF">2023-02-01T16:28:18Z</dcterms:modified>
</cp:coreProperties>
</file>