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Miglani Nalin Kumar</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01/31/2022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45"/>
        <w:spacing w:after="0"/>
        <w:rPr>
          <w:sz w:val="20"/>
          <w:szCs w:val="20"/>
          <w:color w:val="auto"/>
        </w:rPr>
      </w:pPr>
      <w:r>
        <w:rPr>
          <w:rFonts w:ascii="Arial" w:cs="Arial" w:eastAsia="Arial" w:hAnsi="Arial"/>
          <w:sz w:val="17"/>
          <w:szCs w:val="17"/>
          <w:color w:val="0000FF"/>
        </w:rPr>
        <w:t>EVP and Chief HR Officer</w:t>
      </w:r>
    </w:p>
    <w:p>
      <w:pPr>
        <w:spacing w:after="0" w:line="32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6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ind w:left="38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7"/>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6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par value $0.001 per</w:t>
            </w:r>
          </w:p>
        </w:tc>
        <w:tc>
          <w:tcPr>
            <w:tcW w:w="1460" w:type="dxa"/>
            <w:vAlign w:val="bottom"/>
            <w:gridSpan w:val="2"/>
            <w:vMerge w:val="restart"/>
          </w:tcPr>
          <w:p>
            <w:pPr>
              <w:ind w:left="480"/>
              <w:spacing w:after="0"/>
              <w:rPr>
                <w:sz w:val="20"/>
                <w:szCs w:val="20"/>
                <w:color w:val="auto"/>
              </w:rPr>
            </w:pPr>
            <w:r>
              <w:rPr>
                <w:rFonts w:ascii="Arial" w:cs="Arial" w:eastAsia="Arial" w:hAnsi="Arial"/>
                <w:sz w:val="17"/>
                <w:szCs w:val="17"/>
                <w:color w:val="0000FF"/>
              </w:rPr>
              <w:t>01/31/2022</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vMerge w:val="restart"/>
          </w:tcPr>
          <w:p>
            <w:pPr>
              <w:ind w:left="120"/>
              <w:spacing w:after="0"/>
              <w:rPr>
                <w:sz w:val="20"/>
                <w:szCs w:val="20"/>
                <w:color w:val="auto"/>
              </w:rPr>
            </w:pPr>
            <w:r>
              <w:rPr>
                <w:rFonts w:ascii="Arial" w:cs="Arial" w:eastAsia="Arial" w:hAnsi="Arial"/>
                <w:sz w:val="13"/>
                <w:szCs w:val="13"/>
                <w:color w:val="0000FF"/>
              </w:rPr>
              <w:t>M</w:t>
            </w:r>
          </w:p>
        </w:tc>
        <w:tc>
          <w:tcPr>
            <w:tcW w:w="760" w:type="dxa"/>
            <w:vAlign w:val="bottom"/>
            <w:vMerge w:val="restart"/>
          </w:tcPr>
          <w:p>
            <w:pPr>
              <w:jc w:val="right"/>
              <w:ind w:right="132"/>
              <w:spacing w:after="0"/>
              <w:rPr>
                <w:sz w:val="20"/>
                <w:szCs w:val="20"/>
                <w:color w:val="auto"/>
              </w:rPr>
            </w:pPr>
            <w:r>
              <w:rPr>
                <w:rFonts w:ascii="Arial" w:cs="Arial" w:eastAsia="Arial" w:hAnsi="Arial"/>
                <w:sz w:val="17"/>
                <w:szCs w:val="17"/>
                <w:color w:val="0000FF"/>
              </w:rPr>
              <w:t>8,228</w:t>
            </w:r>
          </w:p>
        </w:tc>
        <w:tc>
          <w:tcPr>
            <w:tcW w:w="440" w:type="dxa"/>
            <w:vAlign w:val="bottom"/>
            <w:vMerge w:val="restart"/>
          </w:tcPr>
          <w:p>
            <w:pPr>
              <w:ind w:left="160"/>
              <w:spacing w:after="0"/>
              <w:rPr>
                <w:sz w:val="20"/>
                <w:szCs w:val="20"/>
                <w:color w:val="auto"/>
              </w:rPr>
            </w:pPr>
            <w:r>
              <w:rPr>
                <w:rFonts w:ascii="Arial" w:cs="Arial" w:eastAsia="Arial" w:hAnsi="Arial"/>
                <w:sz w:val="17"/>
                <w:szCs w:val="17"/>
                <w:color w:val="0000FF"/>
              </w:rPr>
              <w:t>A</w:t>
            </w:r>
          </w:p>
        </w:tc>
        <w:tc>
          <w:tcPr>
            <w:tcW w:w="660" w:type="dxa"/>
            <w:vAlign w:val="bottom"/>
            <w:gridSpan w:val="2"/>
            <w:vMerge w:val="restart"/>
          </w:tcPr>
          <w:p>
            <w:pPr>
              <w:jc w:val="center"/>
              <w:ind w:right="40"/>
              <w:spacing w:after="0"/>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(1)</w:t>
            </w:r>
          </w:p>
        </w:tc>
        <w:tc>
          <w:tcPr>
            <w:tcW w:w="1400" w:type="dxa"/>
            <w:vAlign w:val="bottom"/>
            <w:gridSpan w:val="3"/>
            <w:vMerge w:val="restart"/>
          </w:tcPr>
          <w:p>
            <w:pPr>
              <w:jc w:val="right"/>
              <w:ind w:right="317"/>
              <w:spacing w:after="0"/>
              <w:rPr>
                <w:sz w:val="20"/>
                <w:szCs w:val="20"/>
                <w:color w:val="auto"/>
              </w:rPr>
            </w:pPr>
            <w:r>
              <w:rPr>
                <w:rFonts w:ascii="Arial" w:cs="Arial" w:eastAsia="Arial" w:hAnsi="Arial"/>
                <w:sz w:val="17"/>
                <w:szCs w:val="17"/>
                <w:color w:val="0000FF"/>
              </w:rPr>
              <w:t>12,107</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par value $0.001 per</w:t>
            </w:r>
          </w:p>
        </w:tc>
        <w:tc>
          <w:tcPr>
            <w:tcW w:w="1460" w:type="dxa"/>
            <w:vAlign w:val="bottom"/>
            <w:gridSpan w:val="2"/>
            <w:vMerge w:val="restart"/>
          </w:tcPr>
          <w:p>
            <w:pPr>
              <w:ind w:left="480"/>
              <w:spacing w:after="0"/>
              <w:rPr>
                <w:sz w:val="20"/>
                <w:szCs w:val="20"/>
                <w:color w:val="auto"/>
              </w:rPr>
            </w:pPr>
            <w:r>
              <w:rPr>
                <w:rFonts w:ascii="Arial" w:cs="Arial" w:eastAsia="Arial" w:hAnsi="Arial"/>
                <w:sz w:val="17"/>
                <w:szCs w:val="17"/>
                <w:color w:val="0000FF"/>
              </w:rPr>
              <w:t>01/31/2022</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vMerge w:val="restart"/>
          </w:tcPr>
          <w:p>
            <w:pPr>
              <w:ind w:left="140"/>
              <w:spacing w:after="0"/>
              <w:rPr>
                <w:sz w:val="20"/>
                <w:szCs w:val="20"/>
                <w:color w:val="auto"/>
              </w:rPr>
            </w:pPr>
            <w:r>
              <w:rPr>
                <w:rFonts w:ascii="Arial" w:cs="Arial" w:eastAsia="Arial" w:hAnsi="Arial"/>
                <w:sz w:val="13"/>
                <w:szCs w:val="13"/>
                <w:color w:val="0000FF"/>
              </w:rPr>
              <w:t>F</w:t>
            </w:r>
          </w:p>
        </w:tc>
        <w:tc>
          <w:tcPr>
            <w:tcW w:w="760" w:type="dxa"/>
            <w:vAlign w:val="bottom"/>
            <w:vMerge w:val="restart"/>
          </w:tcPr>
          <w:p>
            <w:pPr>
              <w:jc w:val="right"/>
              <w:ind w:right="132"/>
              <w:spacing w:after="0"/>
              <w:rPr>
                <w:sz w:val="20"/>
                <w:szCs w:val="20"/>
                <w:color w:val="auto"/>
              </w:rPr>
            </w:pPr>
            <w:r>
              <w:rPr>
                <w:rFonts w:ascii="Arial" w:cs="Arial" w:eastAsia="Arial" w:hAnsi="Arial"/>
                <w:sz w:val="17"/>
                <w:szCs w:val="17"/>
                <w:color w:val="0000FF"/>
              </w:rPr>
              <w:t>3,362</w:t>
            </w:r>
          </w:p>
        </w:tc>
        <w:tc>
          <w:tcPr>
            <w:tcW w:w="44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118.09</w:t>
            </w:r>
            <w:r>
              <w:rPr>
                <w:rFonts w:ascii="Arial" w:cs="Arial" w:eastAsia="Arial" w:hAnsi="Arial"/>
                <w:sz w:val="22"/>
                <w:szCs w:val="22"/>
                <w:color w:val="008000"/>
                <w:w w:val="98"/>
                <w:vertAlign w:val="superscript"/>
              </w:rPr>
              <w:t>(2)</w:t>
            </w:r>
          </w:p>
        </w:tc>
        <w:tc>
          <w:tcPr>
            <w:tcW w:w="380" w:type="dxa"/>
            <w:vAlign w:val="bottom"/>
          </w:tcPr>
          <w:p>
            <w:pPr>
              <w:spacing w:after="0"/>
              <w:rPr>
                <w:sz w:val="22"/>
                <w:szCs w:val="22"/>
                <w:color w:val="auto"/>
              </w:rPr>
            </w:pPr>
          </w:p>
        </w:tc>
        <w:tc>
          <w:tcPr>
            <w:tcW w:w="820" w:type="dxa"/>
            <w:vAlign w:val="bottom"/>
            <w:vMerge w:val="restart"/>
          </w:tcPr>
          <w:p>
            <w:pPr>
              <w:jc w:val="right"/>
              <w:ind w:right="377"/>
              <w:spacing w:after="0"/>
              <w:rPr>
                <w:sz w:val="20"/>
                <w:szCs w:val="20"/>
                <w:color w:val="auto"/>
              </w:rPr>
            </w:pPr>
            <w:r>
              <w:rPr>
                <w:rFonts w:ascii="Arial" w:cs="Arial" w:eastAsia="Arial" w:hAnsi="Arial"/>
                <w:sz w:val="17"/>
                <w:szCs w:val="17"/>
                <w:color w:val="0000FF"/>
                <w:w w:val="84"/>
              </w:rPr>
              <w:t>8,745</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10"/>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shares of common stock, par value $0.001 per share (the "Common Stock") reported in this report were earned pursuant to the performance restricted stock units ("PRSUs") of ExlService Holdings, Inc. (the "Company") granted on February 20, 2019. Such shares of Common Stock were deemed earned on January 31, 2022 based on the Compensation Committee of the Board of Directors administering the award certifying the achievement of performance targets applicable to the PRSUs for the performance period ending on December 31, 2021.</w:t>
      </w:r>
    </w:p>
    <w:p>
      <w:pPr>
        <w:spacing w:after="0" w:line="8" w:lineRule="exact"/>
        <w:rPr>
          <w:rFonts w:ascii="Arial" w:cs="Arial" w:eastAsia="Arial" w:hAnsi="Arial"/>
          <w:sz w:val="12"/>
          <w:szCs w:val="12"/>
          <w:color w:val="008000"/>
        </w:rPr>
      </w:pPr>
    </w:p>
    <w:p>
      <w:pPr>
        <w:ind w:left="40" w:right="3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ExlService Holdings, Inc. 2018 Omnibus Incentive Plan, pursuant to which such PRSUs were granted, the closing price of the Common Stock on the Nasdaq Global Select Market on the preceding day is used for purposes of computing tax reporting and withholding.</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580"/>
        <w:spacing w:after="0" w:line="186"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02/02/2022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2701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2022-02-02T16:28:31Z</dcterms:created>
  <dcterms:modified xsi:type="dcterms:W3CDTF">2022-02-02T16:28:31Z</dcterms:modified>
</cp:coreProperties>
</file>