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4"/>
              </w:rPr>
              <w:t>1,111</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80"/>
              <w:spacing w:after="0"/>
              <w:rPr>
                <w:sz w:val="20"/>
                <w:szCs w:val="20"/>
                <w:color w:val="auto"/>
              </w:rPr>
            </w:pPr>
            <w:r>
              <w:rPr>
                <w:rFonts w:ascii="Arial" w:cs="Arial" w:eastAsia="Arial" w:hAnsi="Arial"/>
                <w:sz w:val="18"/>
                <w:szCs w:val="18"/>
                <w:color w:val="0000FF"/>
              </w:rPr>
              <w:t>1,661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1,317</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2,000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3,317</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618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2,699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1,111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1,111</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5,199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7,000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1,111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2012, ExlService Holdings, Inc. (the "Company") issued 2,000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1,111 shares of restricted stock vested on February 3, 2012; an additional 1,537 shares of restricted stock will vest on February 3, 2013; another 1,962 shares of restricted stock will vest on February 3, 2014; and the remaining 1,700 shares of restricted stock will vest on February 3, 2015.</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2,000 shares of restricted stock vested on February 4, 2012; an additional 3,000 shares of restricted stock will vest on February 4, 2013; and the remaining 4,000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2019-12-16T15:19:45Z</dcterms:created>
  <dcterms:modified xsi:type="dcterms:W3CDTF">2019-12-16T15:19:45Z</dcterms:modified>
</cp:coreProperties>
</file>