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2140585</wp:posOffset>
            </wp:positionH>
            <wp:positionV relativeFrom="paragraph">
              <wp:posOffset>142875</wp:posOffset>
            </wp:positionV>
            <wp:extent cx="29756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2140585</wp:posOffset>
            </wp:positionH>
            <wp:positionV relativeFrom="paragraph">
              <wp:posOffset>160020</wp:posOffset>
            </wp:positionV>
            <wp:extent cx="29756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Sections 13 or 15(d) of the Securities Exchange Act of 1934</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February 27,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2140585</wp:posOffset>
            </wp:positionH>
            <wp:positionV relativeFrom="paragraph">
              <wp:posOffset>152400</wp:posOffset>
            </wp:positionV>
            <wp:extent cx="29756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EXLSERVICE HOLDINGS,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2140585</wp:posOffset>
            </wp:positionH>
            <wp:positionV relativeFrom="paragraph">
              <wp:posOffset>142240</wp:posOffset>
            </wp:positionV>
            <wp:extent cx="29756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0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380"/>
        <w:spacing w:after="0"/>
        <w:rPr>
          <w:sz w:val="20"/>
          <w:szCs w:val="20"/>
          <w:color w:val="auto"/>
        </w:rPr>
      </w:pPr>
      <w:r>
        <w:rPr>
          <w:rFonts w:ascii="Arial" w:cs="Arial" w:eastAsia="Arial" w:hAnsi="Arial"/>
          <w:sz w:val="18"/>
          <w:szCs w:val="18"/>
          <w:b w:val="1"/>
          <w:bCs w:val="1"/>
          <w:color w:val="auto"/>
        </w:rPr>
        <w:t>001-33089</w:t>
      </w:r>
    </w:p>
    <w:p>
      <w:pPr>
        <w:spacing w:after="0" w:line="27" w:lineRule="exact"/>
        <w:rPr>
          <w:sz w:val="24"/>
          <w:szCs w:val="24"/>
          <w:color w:val="auto"/>
        </w:rPr>
      </w:pPr>
    </w:p>
    <w:p>
      <w:pPr>
        <w:jc w:val="center"/>
        <w:ind w:right="13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82-0572194</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60" w:space="720"/>
            <w:col w:w="3380" w:space="720"/>
            <w:col w:w="2540"/>
          </w:cols>
          <w:pgMar w:left="240" w:top="729" w:right="2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280 Park Avenue, 38th Floor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420"/>
          </w:cols>
          <w:pgMar w:left="240" w:top="729" w:right="239" w:bottom="1440" w:gutter="0" w:footer="0" w:header="0"/>
          <w:type w:val="continuous"/>
        </w:sectPr>
      </w:pPr>
    </w:p>
    <w:p>
      <w:pPr>
        <w:spacing w:after="0" w:line="234" w:lineRule="exact"/>
        <w:rPr>
          <w:sz w:val="24"/>
          <w:szCs w:val="24"/>
          <w:color w:val="auto"/>
        </w:rPr>
      </w:pPr>
    </w:p>
    <w:p>
      <w:pPr>
        <w:ind w:left="3240"/>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(212) 277-7100</w:t>
      </w:r>
    </w:p>
    <w:p>
      <w:pPr>
        <w:spacing w:after="0" w:line="204" w:lineRule="exact"/>
        <w:rPr>
          <w:sz w:val="24"/>
          <w:szCs w:val="24"/>
          <w:color w:val="auto"/>
        </w:rPr>
      </w:pPr>
    </w:p>
    <w:p>
      <w:pPr>
        <w:sectPr>
          <w:pgSz w:w="11900" w:h="16838" w:orient="portrait"/>
          <w:cols w:equalWidth="0" w:num="2">
            <w:col w:w="6980" w:space="80"/>
            <w:col w:w="4360"/>
          </w:cols>
          <w:pgMar w:left="240" w:top="729" w:right="239" w:bottom="1440" w:gutter="0" w:footer="0" w:header="0"/>
          <w:type w:val="continuous"/>
        </w:sectPr>
      </w:pP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2140585</wp:posOffset>
            </wp:positionH>
            <wp:positionV relativeFrom="paragraph">
              <wp:posOffset>157480</wp:posOffset>
            </wp:positionV>
            <wp:extent cx="29756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type w:val="continuous"/>
        </w:sectPr>
      </w:pPr>
    </w:p>
    <w:p>
      <w:pPr>
        <w:spacing w:after="0" w:line="200" w:lineRule="exact"/>
        <w:rPr>
          <w:sz w:val="24"/>
          <w:szCs w:val="24"/>
          <w:color w:val="auto"/>
        </w:rPr>
      </w:pPr>
    </w:p>
    <w:p>
      <w:pPr>
        <w:spacing w:after="0" w:line="29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or Rule 12b-2 of the Securities Exchange Act of 1934 (§240.12b-2 of this chapter)</w:t>
      </w:r>
    </w:p>
    <w:p>
      <w:pPr>
        <w:spacing w:after="0" w:line="211"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Emerging growth company</w:t>
      </w:r>
    </w:p>
    <w:p>
      <w:pPr>
        <w:spacing w:after="0" w:line="252"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4.01</w:t>
      </w:r>
      <w:r>
        <w:rPr>
          <w:sz w:val="20"/>
          <w:szCs w:val="20"/>
          <w:color w:val="auto"/>
        </w:rPr>
        <w:tab/>
      </w:r>
      <w:r>
        <w:rPr>
          <w:rFonts w:ascii="Arial" w:cs="Arial" w:eastAsia="Arial" w:hAnsi="Arial"/>
          <w:sz w:val="16"/>
          <w:szCs w:val="16"/>
          <w:b w:val="1"/>
          <w:bCs w:val="1"/>
          <w:color w:val="auto"/>
        </w:rPr>
        <w:t>Changes in Registrant’s Certifying Accountant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previously disclosed on February 5, 2018, following a competitive process, the Audit Committee of the Board of Directors of ExlService Holdings, Inc. (the “Company”) determined to dismiss Ernst &amp; Young LLP (“EY”) and appoint Deloitte &amp; Touche LLP (“Deloitte”) as the Company’s independent registered public accounting firm for the Company’s fiscal year ending December 31, 2018. On February 27, 2018, in connection with EY’s conclusion of its audit of the Company’s consolidated financial statements as of and for the fiscal year ended December 31, 2017, EY has been dismissed as the Company’s independent registered public accounting firm, and as of February 28, 2018, the Company entered into an engagement letter with Deloitte to serve as the Company’s independent registered public accounting firm.</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EY’s reports on the Company’s consolidated financial statements as of and for the fiscal years ended December 31, 2016 and 2017 did not contain an adverse opinion or disclaimer of opinion, nor were they qualified or modified as to uncertainty, audit scope, or accounting principles. During the fiscal years ended December 31, 2016 and 2017, and the subsequent interim periods through February 27, 2018, there were: (i) no disagreements within the meaning of Item 304(a)(1)(iv) of Regulation S-K and the related instructions between the Company and EY on any matters of accounting principles or practices, financial statement disclosure, or auditing scope or procedure which, if not resolved to EY’s satisfaction, would have caused EY to make reference thereto in their reports; and (ii) no “reportable events” within the meaning of Item 304(a)(1)(v) of Regulation S-K.</w:t>
      </w:r>
    </w:p>
    <w:p>
      <w:pPr>
        <w:spacing w:after="0" w:line="178"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The Company has requested that EY furnish a letter addressed to the Securities and Exchange Commission stating whether or not it agrees with the statements in the immediately preceding paragraph. A copy of EY’s letter, dated March 1, 2018, is filed as Exhibit 16.1 to this Form 8-K.</w:t>
      </w:r>
    </w:p>
    <w:p>
      <w:pPr>
        <w:spacing w:after="0" w:line="1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the fiscal years ended December 31, 2016 and 2017 and the subsequent interim periods through February 28, 2018, neither the Company nor anyone on its behalf has consulted with Deloitte regarding: (i) the application of accounting principles to a specific transaction, either completed or proposed, or the type of audit opinion that might be rendered on the Company's financial statements, and neither a written report nor oral advice was provided to the Company that Deloitte concluded was an important factor considered by the Company in reaching a decision as to any accounting, auditing, or financial reporting issue; (ii) any matter that was the subject of a disagreement within the meaning of Item 304(a)(1)(iv) of Regulation S-K and the related instructions; or (iii) any reportable event within the meaning of Item 304(a)(1)(v) of Regulation S-K.</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43"/>
        </w:trPr>
        <w:tc>
          <w:tcPr>
            <w:tcW w:w="1100" w:type="dxa"/>
            <w:vAlign w:val="bottom"/>
            <w:tcBorders>
              <w:top w:val="single" w:sz="8" w:color="auto"/>
            </w:tcBorders>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16.</w:t>
              </w:r>
              <w:r>
                <w:rPr>
                  <w:rFonts w:ascii="Arial" w:cs="Arial" w:eastAsia="Arial" w:hAnsi="Arial"/>
                  <w:sz w:val="18"/>
                  <w:szCs w:val="18"/>
                  <w:u w:val="single" w:color="auto"/>
                  <w:color w:val="0000EE"/>
                </w:rPr>
                <w:t>1</w:t>
              </w:r>
            </w:hyperlink>
          </w:p>
        </w:tc>
        <w:tc>
          <w:tcPr>
            <w:tcW w:w="200" w:type="dxa"/>
            <w:vAlign w:val="bottom"/>
          </w:tcPr>
          <w:p>
            <w:pPr>
              <w:spacing w:after="0"/>
              <w:rPr>
                <w:sz w:val="21"/>
                <w:szCs w:val="21"/>
                <w:color w:val="auto"/>
              </w:rPr>
            </w:pPr>
          </w:p>
        </w:tc>
        <w:tc>
          <w:tcPr>
            <w:tcW w:w="10120" w:type="dxa"/>
            <w:vAlign w:val="bottom"/>
            <w:tcBorders>
              <w:top w:val="single" w:sz="8" w:color="auto"/>
            </w:tcBorders>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Letter from Ernst &amp; Young LLP</w:t>
              </w:r>
            </w:hyperlink>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00" w:type="dxa"/>
            <w:vAlign w:val="bottom"/>
            <w:tcBorders>
              <w:top w:val="single" w:sz="8" w:color="0000EE"/>
              <w:bottom w:val="single" w:sz="8" w:color="auto"/>
            </w:tcBorders>
          </w:tcPr>
          <w:p>
            <w:pPr>
              <w:spacing w:after="0"/>
              <w:rPr>
                <w:sz w:val="24"/>
                <w:szCs w:val="24"/>
                <w:color w:val="auto"/>
              </w:rPr>
            </w:pPr>
          </w:p>
        </w:tc>
        <w:tc>
          <w:tcPr>
            <w:tcW w:w="7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920" w:type="dxa"/>
            <w:vAlign w:val="bottom"/>
            <w:gridSpan w:val="2"/>
          </w:tcPr>
          <w:p>
            <w:pPr>
              <w:ind w:left="2020"/>
              <w:spacing w:after="0"/>
              <w:rPr>
                <w:sz w:val="20"/>
                <w:szCs w:val="20"/>
                <w:color w:val="auto"/>
              </w:rPr>
            </w:pPr>
            <w:r>
              <w:rPr>
                <w:rFonts w:ascii="Arial" w:cs="Arial" w:eastAsia="Arial" w:hAnsi="Arial"/>
                <w:sz w:val="18"/>
                <w:szCs w:val="18"/>
                <w:b w:val="1"/>
                <w:bCs w:val="1"/>
                <w:color w:val="auto"/>
              </w:rPr>
              <w:t>EXLSERVICE HOLDINGS, INC.</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March 1, 2018</w:t>
            </w:r>
          </w:p>
        </w:tc>
        <w:tc>
          <w:tcPr>
            <w:tcW w:w="2600" w:type="dxa"/>
            <w:vAlign w:val="bottom"/>
          </w:tcPr>
          <w:p>
            <w:pPr>
              <w:ind w:left="2020"/>
              <w:spacing w:after="0"/>
              <w:rPr>
                <w:sz w:val="20"/>
                <w:szCs w:val="20"/>
                <w:color w:val="auto"/>
              </w:rPr>
            </w:pPr>
            <w:r>
              <w:rPr>
                <w:rFonts w:ascii="Arial" w:cs="Arial" w:eastAsia="Arial" w:hAnsi="Arial"/>
                <w:sz w:val="18"/>
                <w:szCs w:val="18"/>
                <w:color w:val="auto"/>
              </w:rPr>
              <w:t>By:</w:t>
            </w: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NANCY SALTZMAN</w:t>
            </w:r>
          </w:p>
        </w:tc>
      </w:tr>
      <w:tr>
        <w:trPr>
          <w:trHeight w:val="195"/>
        </w:trPr>
        <w:tc>
          <w:tcPr>
            <w:tcW w:w="3500" w:type="dxa"/>
            <w:vAlign w:val="bottom"/>
          </w:tcPr>
          <w:p>
            <w:pPr>
              <w:spacing w:after="0"/>
              <w:rPr>
                <w:sz w:val="16"/>
                <w:szCs w:val="16"/>
                <w:color w:val="auto"/>
              </w:rPr>
            </w:pPr>
          </w:p>
        </w:tc>
        <w:tc>
          <w:tcPr>
            <w:tcW w:w="2600" w:type="dxa"/>
            <w:vAlign w:val="bottom"/>
          </w:tcPr>
          <w:p>
            <w:pPr>
              <w:ind w:left="2020"/>
              <w:spacing w:after="0" w:line="195" w:lineRule="exact"/>
              <w:rPr>
                <w:sz w:val="20"/>
                <w:szCs w:val="20"/>
                <w:color w:val="auto"/>
              </w:rPr>
            </w:pPr>
            <w:r>
              <w:rPr>
                <w:rFonts w:ascii="Arial" w:cs="Arial" w:eastAsia="Arial" w:hAnsi="Arial"/>
                <w:sz w:val="18"/>
                <w:szCs w:val="18"/>
                <w:color w:val="auto"/>
              </w:rPr>
              <w:t>Name:</w:t>
            </w:r>
          </w:p>
        </w:tc>
        <w:tc>
          <w:tcPr>
            <w:tcW w:w="5320" w:type="dxa"/>
            <w:vAlign w:val="bottom"/>
          </w:tcPr>
          <w:p>
            <w:pPr>
              <w:spacing w:after="0" w:line="195" w:lineRule="exact"/>
              <w:rPr>
                <w:sz w:val="20"/>
                <w:szCs w:val="20"/>
                <w:color w:val="auto"/>
              </w:rPr>
            </w:pPr>
            <w:r>
              <w:rPr>
                <w:rFonts w:ascii="Arial" w:cs="Arial" w:eastAsia="Arial" w:hAnsi="Arial"/>
                <w:sz w:val="18"/>
                <w:szCs w:val="18"/>
                <w:color w:val="auto"/>
              </w:rPr>
              <w:t>Nancy Saltzman</w:t>
            </w:r>
          </w:p>
        </w:tc>
      </w:tr>
      <w:tr>
        <w:trPr>
          <w:trHeight w:val="230"/>
        </w:trPr>
        <w:tc>
          <w:tcPr>
            <w:tcW w:w="3500" w:type="dxa"/>
            <w:vAlign w:val="bottom"/>
          </w:tcPr>
          <w:p>
            <w:pPr>
              <w:spacing w:after="0"/>
              <w:rPr>
                <w:sz w:val="20"/>
                <w:szCs w:val="20"/>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Title:</w:t>
            </w:r>
          </w:p>
        </w:tc>
        <w:tc>
          <w:tcPr>
            <w:tcW w:w="532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r>
        <w:trPr>
          <w:trHeight w:val="675"/>
        </w:trPr>
        <w:tc>
          <w:tcPr>
            <w:tcW w:w="35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43"/>
        </w:trPr>
        <w:tc>
          <w:tcPr>
            <w:tcW w:w="1100" w:type="dxa"/>
            <w:vAlign w:val="bottom"/>
            <w:tcBorders>
              <w:top w:val="single" w:sz="8" w:color="auto"/>
            </w:tcBorders>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16.</w:t>
              </w:r>
              <w:r>
                <w:rPr>
                  <w:rFonts w:ascii="Arial" w:cs="Arial" w:eastAsia="Arial" w:hAnsi="Arial"/>
                  <w:sz w:val="18"/>
                  <w:szCs w:val="18"/>
                  <w:u w:val="single" w:color="auto"/>
                  <w:color w:val="0000EE"/>
                </w:rPr>
                <w:t>1</w:t>
              </w:r>
            </w:hyperlink>
          </w:p>
        </w:tc>
        <w:tc>
          <w:tcPr>
            <w:tcW w:w="200" w:type="dxa"/>
            <w:vAlign w:val="bottom"/>
          </w:tcPr>
          <w:p>
            <w:pPr>
              <w:spacing w:after="0"/>
              <w:rPr>
                <w:sz w:val="21"/>
                <w:szCs w:val="21"/>
                <w:color w:val="auto"/>
              </w:rPr>
            </w:pPr>
          </w:p>
        </w:tc>
        <w:tc>
          <w:tcPr>
            <w:tcW w:w="10120" w:type="dxa"/>
            <w:vAlign w:val="bottom"/>
            <w:tcBorders>
              <w:top w:val="single" w:sz="8" w:color="auto"/>
            </w:tcBorders>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Letter from Ernst &amp; Young LLP</w:t>
              </w:r>
            </w:hyperlink>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00" w:type="dxa"/>
            <w:vAlign w:val="bottom"/>
            <w:tcBorders>
              <w:top w:val="single" w:sz="8" w:color="0000EE"/>
              <w:bottom w:val="single" w:sz="8" w:color="auto"/>
            </w:tcBorders>
          </w:tcPr>
          <w:p>
            <w:pPr>
              <w:spacing w:after="0"/>
              <w:rPr>
                <w:sz w:val="24"/>
                <w:szCs w:val="24"/>
                <w:color w:val="auto"/>
              </w:rPr>
            </w:pPr>
          </w:p>
        </w:tc>
        <w:tc>
          <w:tcPr>
            <w:tcW w:w="7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16.1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20549-7561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&amp; Gentlemen:</w:t>
      </w:r>
    </w:p>
    <w:p>
      <w:pPr>
        <w:spacing w:after="0" w:line="22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Please refer to our letter to you dated February 5, 2018 included as an exhibit in ExlService Holdings, Inc. Form 8-K filed on February 6, 2018. We have read Item 4.01 of the Current Report on Form 8-K of ExlService Holdings, Inc. to be filed on March 1, 2018 and are in agreement with the statements contained in paragraph 2 therein. We have no basis on which to agree or disagree with other statements of the registrant contained therein.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2019-12-28T23:55:53Z</dcterms:created>
  <dcterms:modified xsi:type="dcterms:W3CDTF">2019-12-28T23:55:53Z</dcterms:modified>
</cp:coreProperties>
</file>