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327" w:lineRule="exact"/>
        <w:rPr>
          <w:sz w:val="24"/>
          <w:szCs w:val="24"/>
          <w:color w:val="auto"/>
        </w:rPr>
      </w:pPr>
    </w:p>
    <w:p>
      <w:pPr>
        <w:ind w:left="1740"/>
        <w:spacing w:after="0"/>
        <w:rPr>
          <w:sz w:val="20"/>
          <w:szCs w:val="20"/>
          <w:color w:val="auto"/>
        </w:rPr>
      </w:pPr>
      <w:r>
        <w:rPr>
          <w:rFonts w:ascii="Arial" w:cs="Arial" w:eastAsia="Arial" w:hAnsi="Arial"/>
          <w:sz w:val="15"/>
          <w:szCs w:val="15"/>
          <w:color w:val="auto"/>
        </w:rPr>
        <w:t>Date of Report (Date of earliest event reported): January 16, 2008</w:t>
      </w:r>
    </w:p>
    <w:p>
      <w:pPr>
        <w:spacing w:after="0" w:line="34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3"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030"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001-33089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82-0572194</w:t>
      </w:r>
    </w:p>
    <w:p>
      <w:pPr>
        <w:spacing w:after="0" w:line="21" w:lineRule="exact"/>
        <w:rPr>
          <w:sz w:val="24"/>
          <w:szCs w:val="24"/>
          <w:color w:val="auto"/>
        </w:rPr>
      </w:pPr>
    </w:p>
    <w:p>
      <w:pPr>
        <w:ind w:left="1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2620" w:space="720"/>
            <w:col w:w="2200" w:space="720"/>
            <w:col w:w="3959"/>
          </w:cols>
          <w:pgMar w:left="240" w:top="1030" w:right="1440" w:bottom="1440" w:gutter="0" w:footer="0" w:header="0"/>
          <w:type w:val="continuous"/>
        </w:sectPr>
      </w:pPr>
    </w:p>
    <w:p>
      <w:pPr>
        <w:spacing w:after="0" w:line="28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ind w:left="288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0219"/>
          </w:cols>
          <w:pgMar w:left="240" w:top="1030" w:right="1440"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2119" w:firstLine="324"/>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7" w:lineRule="exact"/>
        <w:rPr>
          <w:rFonts w:ascii="Arial" w:cs="Arial" w:eastAsia="Arial" w:hAnsi="Arial"/>
          <w:sz w:val="22"/>
          <w:szCs w:val="22"/>
          <w:color w:val="auto"/>
        </w:rPr>
      </w:pPr>
    </w:p>
    <w:p>
      <w:pPr>
        <w:ind w:left="740" w:right="2119" w:hanging="408"/>
        <w:spacing w:after="0" w:line="228" w:lineRule="auto"/>
        <w:tabs>
          <w:tab w:leader="none" w:pos="817"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Arial" w:cs="Arial" w:eastAsia="Arial" w:hAnsi="Arial"/>
          <w:sz w:val="22"/>
          <w:szCs w:val="22"/>
          <w:color w:val="auto"/>
        </w:rPr>
      </w:pPr>
    </w:p>
    <w:p>
      <w:pPr>
        <w:ind w:left="740" w:right="2099" w:hanging="408"/>
        <w:spacing w:after="0" w:line="228" w:lineRule="auto"/>
        <w:tabs>
          <w:tab w:leader="none" w:pos="821"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840740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0"/>
          <w:szCs w:val="20"/>
          <w:color w:val="auto"/>
        </w:rPr>
      </w:pPr>
    </w:p>
    <w:p>
      <w:pPr>
        <w:ind w:right="2419"/>
        <w:spacing w:after="0" w:line="294" w:lineRule="auto"/>
        <w:rPr>
          <w:sz w:val="20"/>
          <w:szCs w:val="20"/>
          <w:color w:val="auto"/>
        </w:rPr>
      </w:pPr>
      <w:r>
        <w:rPr>
          <w:rFonts w:ascii="Arial" w:cs="Arial" w:eastAsia="Arial" w:hAnsi="Arial"/>
          <w:sz w:val="16"/>
          <w:szCs w:val="16"/>
          <w:color w:val="auto"/>
        </w:rPr>
        <w:t>ExlService Holdings, Inc. (Nasdaq: EXLS) (the “Company”), a recognized provider of offshore solutions, including business process outsourcing, research and analytics and advisory services, announced that one of its clients, IndyMac Bancorp, Inc. (“IndyMac”), announced a strategic restructuring as a result of which it would reduce its global workforce. As part of the current restructuring, IndyMac expects to reduce its staff with its outsourced and temporary vendors, mainly in India, by 27%.</w:t>
      </w:r>
    </w:p>
    <w:p>
      <w:pPr>
        <w:spacing w:after="0" w:line="197" w:lineRule="exact"/>
        <w:rPr>
          <w:sz w:val="20"/>
          <w:szCs w:val="20"/>
          <w:color w:val="auto"/>
        </w:rPr>
      </w:pPr>
    </w:p>
    <w:p>
      <w:pPr>
        <w:ind w:right="2219"/>
        <w:spacing w:after="0" w:line="298" w:lineRule="auto"/>
        <w:rPr>
          <w:sz w:val="20"/>
          <w:szCs w:val="20"/>
          <w:color w:val="auto"/>
        </w:rPr>
      </w:pPr>
      <w:r>
        <w:rPr>
          <w:rFonts w:ascii="Arial" w:cs="Arial" w:eastAsia="Arial" w:hAnsi="Arial"/>
          <w:sz w:val="16"/>
          <w:szCs w:val="16"/>
          <w:color w:val="auto"/>
        </w:rPr>
        <w:t>The reduction in the volume of services provided to IndyMac is not expected to be material and is not expected to have a material adverse impact on the Company’s operations or financial condition. All Company employees affected by the current restructuring will be absorbed fully into other processes. Outsourcing services provided to IndyMac accounted for approximately 5% of the Company’s revenues for the year ended December 31, 2007.</w:t>
      </w:r>
    </w:p>
    <w:p>
      <w:pPr>
        <w:spacing w:after="0" w:line="194"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i w:val="1"/>
          <w:iCs w:val="1"/>
          <w:color w:val="auto"/>
        </w:rPr>
        <w:t>This Report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2006. These risks could cause actual results to differ materially from those implied by forward-looking statements in this release.</w:t>
      </w:r>
    </w:p>
    <w:p>
      <w:pPr>
        <w:spacing w:after="0" w:line="205" w:lineRule="exact"/>
        <w:rPr>
          <w:sz w:val="20"/>
          <w:szCs w:val="20"/>
          <w:color w:val="auto"/>
        </w:rPr>
      </w:pPr>
    </w:p>
    <w:p>
      <w:pPr>
        <w:ind w:right="2199"/>
        <w:spacing w:after="0" w:line="298"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657860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38"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27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4300" w:type="dxa"/>
            <w:vAlign w:val="bottom"/>
            <w:gridSpan w:val="2"/>
          </w:tcPr>
          <w:p>
            <w:pPr>
              <w:ind w:left="102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680" w:type="dxa"/>
            <w:vAlign w:val="bottom"/>
          </w:tcPr>
          <w:p>
            <w:pPr>
              <w:spacing w:after="0"/>
              <w:rPr>
                <w:sz w:val="19"/>
                <w:szCs w:val="19"/>
                <w:color w:val="auto"/>
              </w:rPr>
            </w:pPr>
          </w:p>
        </w:tc>
        <w:tc>
          <w:tcPr>
            <w:tcW w:w="4300" w:type="dxa"/>
            <w:vAlign w:val="bottom"/>
            <w:gridSpan w:val="2"/>
          </w:tcPr>
          <w:p>
            <w:pPr>
              <w:ind w:left="1240"/>
              <w:spacing w:after="0"/>
              <w:rPr>
                <w:sz w:val="20"/>
                <w:szCs w:val="20"/>
                <w:color w:val="auto"/>
              </w:rPr>
            </w:pPr>
            <w:r>
              <w:rPr>
                <w:rFonts w:ascii="Arial" w:cs="Arial" w:eastAsia="Arial" w:hAnsi="Arial"/>
                <w:sz w:val="18"/>
                <w:szCs w:val="18"/>
                <w:color w:val="auto"/>
              </w:rPr>
              <w:t>(Registrant)</w:t>
            </w:r>
          </w:p>
        </w:tc>
      </w:tr>
      <w:tr>
        <w:trPr>
          <w:trHeight w:val="664"/>
        </w:trPr>
        <w:tc>
          <w:tcPr>
            <w:tcW w:w="2680" w:type="dxa"/>
            <w:vAlign w:val="bottom"/>
          </w:tcPr>
          <w:p>
            <w:pPr>
              <w:spacing w:after="0"/>
              <w:rPr>
                <w:sz w:val="20"/>
                <w:szCs w:val="20"/>
                <w:color w:val="auto"/>
              </w:rPr>
            </w:pPr>
            <w:r>
              <w:rPr>
                <w:rFonts w:ascii="Arial" w:cs="Arial" w:eastAsia="Arial" w:hAnsi="Arial"/>
                <w:sz w:val="18"/>
                <w:szCs w:val="18"/>
                <w:color w:val="auto"/>
              </w:rPr>
              <w:t>Date: January 16, 2008</w:t>
            </w:r>
          </w:p>
        </w:tc>
        <w:tc>
          <w:tcPr>
            <w:tcW w:w="4300" w:type="dxa"/>
            <w:vAlign w:val="bottom"/>
            <w:gridSpan w:val="2"/>
          </w:tcPr>
          <w:p>
            <w:pPr>
              <w:ind w:left="1020"/>
              <w:spacing w:after="0"/>
              <w:rPr>
                <w:sz w:val="20"/>
                <w:szCs w:val="20"/>
                <w:color w:val="auto"/>
              </w:rPr>
            </w:pPr>
            <w:r>
              <w:rPr>
                <w:rFonts w:ascii="Arial" w:cs="Arial" w:eastAsia="Arial" w:hAnsi="Arial"/>
                <w:sz w:val="18"/>
                <w:szCs w:val="18"/>
                <w:color w:val="auto"/>
              </w:rPr>
              <w:t>By: /s/ Matthew Appel</w:t>
            </w:r>
          </w:p>
        </w:tc>
      </w:tr>
      <w:tr>
        <w:trPr>
          <w:trHeight w:val="228"/>
        </w:trPr>
        <w:tc>
          <w:tcPr>
            <w:tcW w:w="2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Matthew Appel</w:t>
            </w:r>
          </w:p>
        </w:tc>
      </w:tr>
      <w:tr>
        <w:trPr>
          <w:trHeight w:val="222"/>
        </w:trPr>
        <w:tc>
          <w:tcPr>
            <w:tcW w:w="2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2019-12-15T10:38:06Z</dcterms:created>
  <dcterms:modified xsi:type="dcterms:W3CDTF">2019-12-15T10:38:06Z</dcterms:modified>
</cp:coreProperties>
</file>