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5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508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Bhalla Vikas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14"/>
        <w:spacing w:after="0"/>
        <w:rPr>
          <w:sz w:val="20"/>
          <w:szCs w:val="20"/>
          <w:color w:val="auto"/>
        </w:rPr>
      </w:pPr>
      <w:r>
        <w:rPr>
          <w:rFonts w:ascii="Arial" w:cs="Arial" w:eastAsia="Arial" w:hAnsi="Arial"/>
          <w:sz w:val="17"/>
          <w:szCs w:val="17"/>
          <w:color w:val="0000FF"/>
        </w:rPr>
        <w:t>EVP &amp; Head of Outsourcing</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02/22/2022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1,664</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17,575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02/22/2022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712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114.02</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16,863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1,664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02/22/2022</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Arial" w:cs="Arial" w:eastAsia="Arial" w:hAnsi="Arial"/>
                <w:sz w:val="13"/>
                <w:szCs w:val="13"/>
                <w:color w:val="0000FF"/>
              </w:rPr>
              <w:t>1,664</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ind w:left="44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5"/>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w w:val="98"/>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22,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4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6,655 restricted stock units, 25 percent of the restricted stock units became vested on February 22, 2019, an additional 25 percent of the restricted stock units became vested February 22, 2020, an additional 25 percent of the restricted stock units became vested on February 22, 2021, and the remaining balance 25 percent of the restricted stock units became vested on February 22,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2022-02-24T16:26:19Z</dcterms:created>
  <dcterms:modified xsi:type="dcterms:W3CDTF">2022-02-24T16:26:19Z</dcterms:modified>
</cp:coreProperties>
</file>