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44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08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4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00"/>
        <w:spacing w:after="0" w:line="252"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MOHAN ANDAVILLI KRISHNA</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VENKATA</w:t>
        </w:r>
      </w:hyperlink>
    </w:p>
    <w:p>
      <w:pPr>
        <w:spacing w:after="0" w:line="298"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0"/>
          <w:szCs w:val="20"/>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0000FF"/>
        </w:rPr>
        <w:t>02/13/2014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04"/>
        <w:spacing w:after="0"/>
        <w:rPr>
          <w:sz w:val="20"/>
          <w:szCs w:val="20"/>
          <w:color w:val="auto"/>
        </w:rPr>
      </w:pPr>
      <w:r>
        <w:rPr>
          <w:rFonts w:ascii="Arial" w:cs="Arial" w:eastAsia="Arial" w:hAnsi="Arial"/>
          <w:sz w:val="17"/>
          <w:szCs w:val="17"/>
          <w:color w:val="0000FF"/>
        </w:rPr>
        <w:t>EVP &amp; Global Head of HR</w:t>
      </w:r>
    </w:p>
    <w:p>
      <w:pPr>
        <w:spacing w:after="0" w:line="465" w:lineRule="exact"/>
        <w:rPr>
          <w:sz w:val="20"/>
          <w:szCs w:val="20"/>
          <w:color w:val="auto"/>
        </w:rPr>
      </w:pPr>
    </w:p>
    <w:p>
      <w:pPr>
        <w:sectPr>
          <w:pgSz w:w="11900" w:h="16838" w:orient="portrait"/>
          <w:cols w:equalWidth="0" w:num="3">
            <w:col w:w="3340" w:space="720"/>
            <w:col w:w="3256" w:space="720"/>
            <w:col w:w="3484"/>
          </w:cols>
          <w:pgMar w:left="240" w:top="225" w:right="139" w:bottom="493" w:gutter="0" w:footer="0" w:header="0"/>
          <w:type w:val="continuous"/>
        </w:sect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2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21" w:lineRule="exact"/>
        <w:rPr>
          <w:sz w:val="20"/>
          <w:szCs w:val="20"/>
          <w:color w:val="auto"/>
        </w:rPr>
      </w:pPr>
    </w:p>
    <w:p>
      <w:pPr>
        <w:sectPr>
          <w:pgSz w:w="11900" w:h="16838" w:orient="portrait"/>
          <w:cols w:equalWidth="0" w:num="2">
            <w:col w:w="3900" w:space="160"/>
            <w:col w:w="7460"/>
          </w:cols>
          <w:pgMar w:left="240" w:top="225" w:right="139" w:bottom="4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right"/>
              <w:ind w:right="458"/>
              <w:spacing w:after="0"/>
              <w:rPr>
                <w:sz w:val="20"/>
                <w:szCs w:val="20"/>
                <w:color w:val="auto"/>
              </w:rPr>
            </w:pPr>
            <w:r>
              <w:rPr>
                <w:rFonts w:ascii="Arial" w:cs="Arial" w:eastAsia="Arial" w:hAnsi="Arial"/>
                <w:sz w:val="17"/>
                <w:szCs w:val="17"/>
                <w:color w:val="0000FF"/>
              </w:rPr>
              <w:t>234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701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6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701</w:t>
            </w:r>
          </w:p>
        </w:tc>
        <w:tc>
          <w:tcPr>
            <w:tcW w:w="3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701</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6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4,000</w:t>
            </w:r>
          </w:p>
        </w:tc>
        <w:tc>
          <w:tcPr>
            <w:tcW w:w="3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8"/>
              <w:spacing w:after="0" w:line="148" w:lineRule="exact"/>
              <w:rPr>
                <w:sz w:val="20"/>
                <w:szCs w:val="20"/>
                <w:color w:val="auto"/>
              </w:rPr>
            </w:pPr>
            <w:r>
              <w:rPr>
                <w:rFonts w:ascii="Arial" w:cs="Arial" w:eastAsia="Arial" w:hAnsi="Arial"/>
                <w:sz w:val="13"/>
                <w:szCs w:val="13"/>
                <w:color w:val="0000FF"/>
                <w:w w:val="92"/>
              </w:rPr>
              <w:t>4,000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w w:val="99"/>
              </w:rPr>
              <w:t>Performance</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0000FF"/>
                <w:w w:val="92"/>
              </w:rPr>
              <w:t>4,000</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98"/>
              <w:spacing w:after="0" w:line="148" w:lineRule="exact"/>
              <w:rPr>
                <w:sz w:val="20"/>
                <w:szCs w:val="20"/>
                <w:color w:val="auto"/>
              </w:rPr>
            </w:pPr>
            <w:r>
              <w:rPr>
                <w:rFonts w:ascii="Arial" w:cs="Arial" w:eastAsia="Arial" w:hAnsi="Arial"/>
                <w:sz w:val="13"/>
                <w:szCs w:val="13"/>
                <w:color w:val="0000FF"/>
                <w:w w:val="92"/>
              </w:rPr>
              <w:t>4,000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60" w:firstLine="7"/>
        <w:spacing w:after="0" w:line="302"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34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restricted stock units will vest on February 13, 2015; an additional 20 percent will vest on February 13, 2016; an additional 30 percent will vest on February 13, 2017; and the remaining 40 percent will vest on February 13, 2018.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22" w:lineRule="exact"/>
        <w:rPr>
          <w:rFonts w:ascii="Arial" w:cs="Arial" w:eastAsia="Arial" w:hAnsi="Arial"/>
          <w:sz w:val="13"/>
          <w:szCs w:val="13"/>
          <w:color w:val="008000"/>
        </w:rPr>
      </w:pPr>
    </w:p>
    <w:p>
      <w:pPr>
        <w:jc w:val="both"/>
        <w:ind w:left="40" w:right="30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performance restricted stock units will vest on December 31, 2016, if applicable performance targets, which are set out in the agreement governing the grant of the performance restricted stock units, are 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7"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1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02/18/2014</w:t>
            </w:r>
          </w:p>
        </w:tc>
        <w:tc>
          <w:tcPr>
            <w:tcW w:w="0" w:type="dxa"/>
            <w:vAlign w:val="bottom"/>
          </w:tcPr>
          <w:p>
            <w:pPr>
              <w:spacing w:after="0"/>
              <w:rPr>
                <w:sz w:val="1"/>
                <w:szCs w:val="1"/>
                <w:color w:val="auto"/>
              </w:rPr>
            </w:pPr>
          </w:p>
        </w:tc>
      </w:tr>
      <w:tr>
        <w:trPr>
          <w:trHeight w:val="92"/>
        </w:trPr>
        <w:tc>
          <w:tcPr>
            <w:tcW w:w="300" w:type="dxa"/>
            <w:vAlign w:val="bottom"/>
            <w:vMerge w:val="restart"/>
          </w:tcPr>
          <w:p>
            <w:pPr>
              <w:spacing w:after="0" w:line="194"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72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2019-12-16T14:03:09Z</dcterms:created>
  <dcterms:modified xsi:type="dcterms:W3CDTF">2019-12-16T14:03:09Z</dcterms:modified>
</cp:coreProperties>
</file>