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10" w:lineRule="exact"/>
        <w:rPr>
          <w:sz w:val="24"/>
          <w:szCs w:val="24"/>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203"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2008</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640" w:right="7679"/>
        <w:spacing w:after="0" w:line="279" w:lineRule="auto"/>
        <w:tabs>
          <w:tab w:leader="none" w:pos="10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81"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10</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302081104</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0" w:lineRule="exact"/>
        <w:rPr>
          <w:sz w:val="24"/>
          <w:szCs w:val="24"/>
          <w:color w:val="auto"/>
        </w:rPr>
      </w:pPr>
    </w:p>
    <w:p>
      <w:pPr>
        <w:sectPr>
          <w:pgSz w:w="11900" w:h="16838" w:orient="portrait"/>
          <w:cols w:equalWidth="0" w:num="3">
            <w:col w:w="960" w:space="200"/>
            <w:col w:w="1500" w:space="720"/>
            <w:col w:w="6839"/>
          </w:cols>
          <w:pgMar w:left="240" w:top="244"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(on behalf of its investment advisory subsidiaries - See Item 7)</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Joint Filing</w:t>
      </w:r>
    </w:p>
    <w:p>
      <w:pPr>
        <w:spacing w:after="0" w:line="218"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SHARES BENEFICALLY OWNED BY EACH REPORTING PERSON WITH</w:t>
      </w:r>
    </w:p>
    <w:p>
      <w:pPr>
        <w:spacing w:after="0" w:line="218"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3,061,440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3,061,440</w:t>
      </w:r>
    </w:p>
    <w:p>
      <w:pPr>
        <w:spacing w:after="0" w:line="11" w:lineRule="exact"/>
        <w:rPr>
          <w:rFonts w:ascii="Courier New" w:cs="Courier New" w:eastAsia="Courier New" w:hAnsi="Courier New"/>
          <w:sz w:val="18"/>
          <w:szCs w:val="18"/>
          <w:color w:val="auto"/>
        </w:rPr>
      </w:pPr>
    </w:p>
    <w:p>
      <w:pPr>
        <w:ind w:right="2739" w:firstLine="8"/>
        <w:spacing w:after="0" w:line="536" w:lineRule="auto"/>
        <w:tabs>
          <w:tab w:leader="none" w:pos="31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3,061,440 (ownership disclaimed pursuant to Rule 13d-4 of the 1934 Act)</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right="4839" w:firstLine="8"/>
        <w:spacing w:after="0" w:line="470"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10.60%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 IA, IC</w:t>
      </w:r>
    </w:p>
    <w:p>
      <w:pPr>
        <w:spacing w:after="0" w:line="4" w:lineRule="exact"/>
        <w:rPr>
          <w:sz w:val="20"/>
          <w:szCs w:val="20"/>
          <w:color w:val="auto"/>
        </w:rPr>
      </w:pPr>
    </w:p>
    <w:p>
      <w:pPr>
        <w:ind w:left="120" w:right="3039" w:hanging="104"/>
        <w:spacing w:after="0" w:line="470" w:lineRule="auto"/>
        <w:rPr>
          <w:sz w:val="20"/>
          <w:szCs w:val="20"/>
          <w:color w:val="auto"/>
        </w:rPr>
      </w:pPr>
      <w:r>
        <w:rPr>
          <w:rFonts w:ascii="Courier New" w:cs="Courier New" w:eastAsia="Courier New" w:hAnsi="Courier New"/>
          <w:sz w:val="18"/>
          <w:szCs w:val="18"/>
          <w:color w:val="auto"/>
        </w:rPr>
        <w:t>*Includes shares held by BlackRock Small Cap Growth Equity Portfolio Page 3 of 10</w:t>
      </w:r>
    </w:p>
    <w:p>
      <w:pPr>
        <w:spacing w:after="0" w:line="6" w:lineRule="exact"/>
        <w:rPr>
          <w:sz w:val="20"/>
          <w:szCs w:val="20"/>
          <w:color w:val="auto"/>
        </w:rPr>
      </w:pPr>
    </w:p>
    <w:p>
      <w:pPr>
        <w:spacing w:after="0"/>
        <w:tabs>
          <w:tab w:leader="none" w:pos="1260" w:val="left"/>
          <w:tab w:leader="none" w:pos="3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302081104</w:t>
      </w:r>
      <w:r>
        <w:rPr>
          <w:sz w:val="20"/>
          <w:szCs w:val="20"/>
          <w:color w:val="auto"/>
        </w:rPr>
        <w:tab/>
      </w:r>
      <w:r>
        <w:rPr>
          <w:rFonts w:ascii="Courier New" w:cs="Courier New" w:eastAsia="Courier New" w:hAnsi="Courier New"/>
          <w:sz w:val="16"/>
          <w:szCs w:val="16"/>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Small Cap Growth Equity Portfolio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1,606,896</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1,606,896</w:t>
      </w:r>
    </w:p>
    <w:p>
      <w:pPr>
        <w:spacing w:after="0" w:line="11" w:lineRule="exact"/>
        <w:rPr>
          <w:rFonts w:ascii="Courier New" w:cs="Courier New" w:eastAsia="Courier New" w:hAnsi="Courier New"/>
          <w:sz w:val="18"/>
          <w:szCs w:val="18"/>
          <w:color w:val="auto"/>
        </w:rPr>
      </w:pPr>
    </w:p>
    <w:p>
      <w:pPr>
        <w:ind w:right="2739" w:firstLine="8"/>
        <w:spacing w:after="0" w:line="536" w:lineRule="auto"/>
        <w:tabs>
          <w:tab w:leader="none" w:pos="31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1,606,896 (ownership disclaimed pursuant to Rule 13d-4 of the 1934 Act)</w:t>
      </w: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right="4839" w:firstLine="8"/>
        <w:spacing w:after="0" w:line="470"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5.57%*</w:t>
      </w:r>
    </w:p>
    <w:p>
      <w:pPr>
        <w:sectPr>
          <w:pgSz w:w="11900" w:h="16942" w:orient="portrait"/>
          <w:cols w:equalWidth="0" w:num="1">
            <w:col w:w="10219"/>
          </w:cols>
          <w:pgMar w:left="240" w:top="136" w:right="1440" w:bottom="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*Included in shares disclosed by BlackRock, Inc. on previous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Page 4</w:t>
            </w:r>
          </w:p>
        </w:tc>
        <w:tc>
          <w:tcPr>
            <w:tcW w:w="7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10</w:t>
            </w: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(a)</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EXLSERVICE</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HOLDINGS, INC. (the "Company")</w:t>
            </w: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(b)</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70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350 Park Avenue</w:t>
            </w:r>
          </w:p>
        </w:tc>
      </w:tr>
      <w:tr>
        <w:trPr>
          <w:trHeight w:val="203"/>
        </w:trPr>
        <w:tc>
          <w:tcPr>
            <w:tcW w:w="700" w:type="dxa"/>
            <w:vAlign w:val="bottom"/>
          </w:tcPr>
          <w:p>
            <w:pPr>
              <w:spacing w:after="0"/>
              <w:rPr>
                <w:sz w:val="17"/>
                <w:szCs w:val="17"/>
                <w:color w:val="auto"/>
              </w:rPr>
            </w:pPr>
          </w:p>
        </w:tc>
        <w:tc>
          <w:tcPr>
            <w:tcW w:w="7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New York, NY 10022</w:t>
            </w:r>
          </w:p>
        </w:tc>
      </w:tr>
      <w:tr>
        <w:trPr>
          <w:trHeight w:val="1013"/>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(a)</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BlackRock, Inc.</w:t>
            </w:r>
          </w:p>
        </w:tc>
      </w:tr>
      <w:tr>
        <w:trPr>
          <w:trHeight w:val="203"/>
        </w:trPr>
        <w:tc>
          <w:tcPr>
            <w:tcW w:w="700" w:type="dxa"/>
            <w:vAlign w:val="bottom"/>
          </w:tcPr>
          <w:p>
            <w:pPr>
              <w:spacing w:after="0"/>
              <w:rPr>
                <w:sz w:val="17"/>
                <w:szCs w:val="17"/>
                <w:color w:val="auto"/>
              </w:rPr>
            </w:pPr>
          </w:p>
        </w:tc>
        <w:tc>
          <w:tcPr>
            <w:tcW w:w="7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(on behalf of its investment advisory subsidiaries - See Item 7)</w:t>
            </w:r>
          </w:p>
        </w:tc>
      </w:tr>
      <w:tr>
        <w:trPr>
          <w:trHeight w:val="810"/>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(b)</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BlackRock,</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Inc.</w:t>
            </w:r>
          </w:p>
        </w:tc>
      </w:tr>
      <w:tr>
        <w:trPr>
          <w:trHeight w:val="203"/>
        </w:trPr>
        <w:tc>
          <w:tcPr>
            <w:tcW w:w="7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40 East 52nd Street</w:t>
            </w:r>
          </w:p>
        </w:tc>
      </w:tr>
      <w:tr>
        <w:trPr>
          <w:trHeight w:val="203"/>
        </w:trPr>
        <w:tc>
          <w:tcPr>
            <w:tcW w:w="7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New York, NY 10022</w:t>
            </w: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(c)</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See Item 4</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Cover Page</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(d)</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Title of Class Securities:</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Common</w:t>
            </w:r>
          </w:p>
        </w:tc>
        <w:tc>
          <w:tcPr>
            <w:tcW w:w="7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Stock</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(e)</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CUSIP NUMBER: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this statement is filed pursuant to SS 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420" w:hanging="412"/>
        <w:spacing w:after="0"/>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78c),</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 (15 U.S.C 78c),</w:t>
      </w: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207" w:lineRule="exact"/>
        <w:rPr>
          <w:sz w:val="20"/>
          <w:szCs w:val="20"/>
          <w:color w:val="auto"/>
        </w:rPr>
      </w:pPr>
    </w:p>
    <w:p>
      <w:pPr>
        <w:ind w:left="860" w:right="273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SS 240. 13d-1(b) (1) (ii) (E),</w:t>
      </w:r>
    </w:p>
    <w:p>
      <w:pPr>
        <w:spacing w:after="0" w:line="4" w:lineRule="exact"/>
        <w:rPr>
          <w:rFonts w:ascii="Courier New" w:cs="Courier New" w:eastAsia="Courier New" w:hAnsi="Courier New"/>
          <w:sz w:val="18"/>
          <w:szCs w:val="18"/>
          <w:color w:val="auto"/>
        </w:rPr>
      </w:pPr>
    </w:p>
    <w:p>
      <w:pPr>
        <w:ind w:left="860" w:right="325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SS 240. 13d-1(b) (ii) (F),</w:t>
      </w:r>
    </w:p>
    <w:p>
      <w:pPr>
        <w:spacing w:after="0" w:line="5" w:lineRule="exact"/>
        <w:rPr>
          <w:rFonts w:ascii="Courier New" w:cs="Courier New" w:eastAsia="Courier New" w:hAnsi="Courier New"/>
          <w:sz w:val="18"/>
          <w:szCs w:val="18"/>
          <w:color w:val="auto"/>
        </w:rPr>
      </w:pPr>
    </w:p>
    <w:p>
      <w:pPr>
        <w:ind w:left="860" w:right="315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SS.SS.240. 13d-1(b) (ii) (G); see Item 7,</w:t>
      </w:r>
    </w:p>
    <w:p>
      <w:pPr>
        <w:sectPr>
          <w:pgSz w:w="11900" w:h="16838" w:orient="portrait"/>
          <w:cols w:equalWidth="0" w:num="1">
            <w:col w:w="10219"/>
          </w:cols>
          <w:pgMar w:left="240" w:top="339" w:right="1440" w:bottom="0" w:gutter="0" w:footer="0" w:header="0"/>
        </w:sectPr>
      </w:pPr>
    </w:p>
    <w:bookmarkStart w:id="3" w:name="page4"/>
    <w:bookmarkEnd w:id="3"/>
    <w:p>
      <w:pPr>
        <w:ind w:left="860" w:right="2739" w:hanging="852"/>
        <w:spacing w:after="0" w:line="235"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39" w:hanging="852"/>
        <w:spacing w:after="0" w:line="236"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 (14) of the Investment Company Act of 1940(15 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SS 240. 13d-1(b) (1) (ii) (J).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6939" w:hanging="532"/>
        <w:spacing w:after="0" w:line="536"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w:t>
      </w:r>
    </w:p>
    <w:p>
      <w:pPr>
        <w:spacing w:after="0" w:line="11" w:lineRule="exact"/>
        <w:rPr>
          <w:rFonts w:ascii="Courier New" w:cs="Courier New" w:eastAsia="Courier New" w:hAnsi="Courier New"/>
          <w:sz w:val="18"/>
          <w:szCs w:val="18"/>
          <w:color w:val="auto"/>
        </w:rPr>
      </w:pPr>
    </w:p>
    <w:p>
      <w:pPr>
        <w:ind w:left="960" w:right="3359" w:hanging="531"/>
        <w:spacing w:after="0" w:line="470" w:lineRule="auto"/>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779" w:firstLine="211"/>
        <w:spacing w:after="0" w:line="235" w:lineRule="auto"/>
        <w:rPr>
          <w:sz w:val="20"/>
          <w:szCs w:val="20"/>
          <w:color w:val="auto"/>
        </w:rPr>
      </w:pPr>
      <w:r>
        <w:rPr>
          <w:rFonts w:ascii="Courier New" w:cs="Courier New" w:eastAsia="Courier New" w:hAnsi="Courier New"/>
          <w:sz w:val="18"/>
          <w:szCs w:val="18"/>
          <w:color w:val="auto"/>
        </w:rPr>
        <w:t>BlackRock, Inc. is a parent holding company for a number of investment management subsidiaries. Certain of</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these subsidiaries hold shares of the security which is the subject of this report. (See Item 7).</w:t>
      </w:r>
    </w:p>
    <w:p>
      <w:pPr>
        <w:spacing w:after="0" w:line="208"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The following subsidiaries of BlackRock, Inc. are investment advisors which hold shares of the security being reported;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U.K. Limited</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09, 2009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 (on behalf of its investment advisory 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U.K. Limited</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State Street Research &amp; Management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Karen Clark</w:t>
      </w:r>
    </w:p>
    <w:p>
      <w:pPr>
        <w:spacing w:after="0" w:line="20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Karen Clark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Small Cap Growth Equity Portfolio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Karen Clark</w:t>
      </w:r>
    </w:p>
    <w:p>
      <w:pPr>
        <w:spacing w:after="0" w:line="20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Karen Clark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*Signed pursuant to a power of attorney, dated January 11, 2008, included as Exhibit B to this Schedule 13G filed with the Securities and Exchange Commission by BlackRock,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10</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The undersigned hereby agree to file a joint statement on Schedule 13G under the Securities Exchange Act of 1934, as amended</w:t>
      </w:r>
    </w:p>
    <w:p>
      <w:pPr>
        <w:ind w:right="3159"/>
        <w:spacing w:after="0" w:line="235" w:lineRule="auto"/>
        <w:rPr>
          <w:sz w:val="20"/>
          <w:szCs w:val="20"/>
          <w:color w:val="auto"/>
        </w:rPr>
      </w:pPr>
      <w:r>
        <w:rPr>
          <w:rFonts w:ascii="Courier New" w:cs="Courier New" w:eastAsia="Courier New" w:hAnsi="Courier New"/>
          <w:sz w:val="18"/>
          <w:szCs w:val="18"/>
          <w:color w:val="auto"/>
        </w:rPr>
        <w:t>(the "Act") in connection with their beneficial ownership of common stock issued by Exlservice Holdings, Inc..</w:t>
      </w:r>
    </w:p>
    <w:p>
      <w:pPr>
        <w:spacing w:after="0" w:line="20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Each of the undersigned states that it is entitled to individually use Schedule 13G pursuant to Rule 13d-1(b) of the Act.</w:t>
      </w:r>
    </w:p>
    <w:p>
      <w:pPr>
        <w:sectPr>
          <w:pgSz w:w="11900" w:h="16838" w:orient="portrait"/>
          <w:cols w:equalWidth="0" w:num="1">
            <w:col w:w="10219"/>
          </w:cols>
          <w:pgMar w:left="240" w:top="136" w:right="1440" w:bottom="0" w:gutter="0" w:footer="0" w:header="0"/>
        </w:sectPr>
      </w:pPr>
    </w:p>
    <w:bookmarkStart w:id="5" w:name="page6"/>
    <w:bookmarkEnd w:id="5"/>
    <w:p>
      <w:pPr>
        <w:ind w:right="2739"/>
        <w:spacing w:after="0" w:line="275" w:lineRule="auto"/>
        <w:rPr>
          <w:sz w:val="20"/>
          <w:szCs w:val="20"/>
          <w:color w:val="auto"/>
        </w:rPr>
      </w:pPr>
      <w:r>
        <w:rPr>
          <w:rFonts w:ascii="Courier New" w:cs="Courier New" w:eastAsia="Courier New" w:hAnsi="Courier New"/>
          <w:sz w:val="16"/>
          <w:szCs w:val="16"/>
          <w:color w:val="auto"/>
        </w:rPr>
        <w:t>Each of the undersigned is responsible for the timely filing of such statement and any amendments thereto, and for the completeness and accuracy of the information concerning each of them contained therein but none is responsible for the completeness or accuracy of the others.</w:t>
      </w:r>
    </w:p>
    <w:p>
      <w:pPr>
        <w:spacing w:after="0" w:line="182"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Each of the undersigned agrees that a copy of this agreement shall be attached as an exhibit to the statement on Schedule 13G, and any amendments thereto, filed on behalf of each of them.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applies to any amendments to 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09,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 (on behalf of its investment advisory 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Karen Clark</w:t>
      </w:r>
    </w:p>
    <w:p>
      <w:pPr>
        <w:spacing w:after="0" w:line="201"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Karen Clark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Small Cap Growth Equity Portfolio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/s/Karen Clark</w:t>
      </w:r>
    </w:p>
    <w:p>
      <w:pPr>
        <w:spacing w:after="0" w:line="201"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Karen Clark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*Signed pursuant to a power of attorney, dated January 11, 2008, included as Exhibit B to this Schedule 13G filed with the Securities and Exchange Commission by BlackRock, Inc.</w:t>
      </w:r>
    </w:p>
    <w:p>
      <w:pPr>
        <w:spacing w:after="0" w:line="200" w:lineRule="exact"/>
        <w:rPr>
          <w:sz w:val="20"/>
          <w:szCs w:val="20"/>
          <w:color w:val="auto"/>
        </w:rPr>
      </w:pPr>
    </w:p>
    <w:p>
      <w:pPr>
        <w:spacing w:after="0" w:line="21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**Signed pursuant to a power of attorney, dated September 10, 2008, included as Exhibit C to this Schedule 13G filed with the Securities and Exchange Commission on behalf of BlackRock Small Cap Growth Equity Portfolio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 of 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Robert Connolly, Howard Surloff, Edward Baer, James DesMarais, Bartholomew Battista, Daniel Waltcher, Vincent Tritto, Karen Clark, Denis Molleur, Daniel Ronnen, Daniel Moonay, Nicholas Hall, Con Tzatzakis and Junichi Yoshioka acting severally, as its true and lawful attorneys-in-fact, for the purpose of, from time to time, executing in its name and on its behalf, whether the Company is acting individually or</w:t>
      </w:r>
    </w:p>
    <w:p>
      <w:pPr>
        <w:spacing w:after="0" w:line="11"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95"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This power of attorney shall expressly revoke the power of attorney dated October 4, 2006 in respect of the subject matter hereof, shall be valid from the date hereof and shall remain in full force and effect until</w:t>
      </w:r>
    </w:p>
    <w:p>
      <w:pPr>
        <w:sectPr>
          <w:pgSz w:w="11900" w:h="16838" w:orient="portrait"/>
          <w:cols w:equalWidth="0" w:num="1">
            <w:col w:w="10219"/>
          </w:cols>
          <w:pgMar w:left="240" w:top="344" w:right="1440" w:bottom="0" w:gutter="0" w:footer="0" w:header="0"/>
        </w:sectPr>
      </w:pPr>
    </w:p>
    <w:bookmarkStart w:id="6" w:name="page7"/>
    <w:bookmarkEnd w:id="6"/>
    <w:p>
      <w:pPr>
        <w:jc w:val="both"/>
        <w:ind w:right="3479"/>
        <w:spacing w:after="0" w:line="236" w:lineRule="auto"/>
        <w:rPr>
          <w:sz w:val="20"/>
          <w:szCs w:val="20"/>
          <w:color w:val="auto"/>
        </w:rPr>
      </w:pPr>
      <w:r>
        <w:rPr>
          <w:rFonts w:ascii="Courier New" w:cs="Courier New" w:eastAsia="Courier New" w:hAnsi="Courier New"/>
          <w:sz w:val="18"/>
          <w:szCs w:val="18"/>
          <w:color w:val="auto"/>
        </w:rPr>
        <w:t>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11th day of January,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 of 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70" w:lineRule="auto"/>
        <w:rPr>
          <w:sz w:val="20"/>
          <w:szCs w:val="20"/>
          <w:color w:val="auto"/>
        </w:rPr>
      </w:pPr>
      <w:r>
        <w:rPr>
          <w:rFonts w:ascii="Courier New" w:cs="Courier New" w:eastAsia="Courier New" w:hAnsi="Courier New"/>
          <w:sz w:val="16"/>
          <w:szCs w:val="16"/>
          <w:color w:val="auto"/>
        </w:rPr>
        <w:t>The undersigned, BlackRock Small Cap Growth Equity Portfolio, a corporation duly organized under the laws of the state of Maryland, with its principal place of business at 800 Scudders Mill Road, Plainsboro, New Jersey 08536, constitute and appoint Robert Connolly, Howard Surloff, Edward Baer, Bartholomew Battista, Daniel Waltcher, Vincent Tritto, Karen Clark, Denis Molleur, Daniel Ronnen, and Daniel Moonay,acting severally,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 filings of the Securities and Exchange Commission Schedule 13D or</w:t>
      </w:r>
    </w:p>
    <w:p>
      <w:pPr>
        <w:spacing w:after="0" w:line="185" w:lineRule="exact"/>
        <w:rPr>
          <w:sz w:val="20"/>
          <w:szCs w:val="20"/>
          <w:color w:val="auto"/>
        </w:rPr>
      </w:pPr>
    </w:p>
    <w:p>
      <w:pPr>
        <w:ind w:right="4319"/>
        <w:spacing w:after="0" w:line="268" w:lineRule="auto"/>
        <w:rPr>
          <w:sz w:val="20"/>
          <w:szCs w:val="20"/>
          <w:color w:val="auto"/>
        </w:rPr>
      </w:pPr>
      <w:r>
        <w:rPr>
          <w:rFonts w:ascii="Courier New" w:cs="Courier New" w:eastAsia="Courier New" w:hAnsi="Courier New"/>
          <w:sz w:val="16"/>
          <w:szCs w:val="16"/>
          <w:color w:val="auto"/>
        </w:rPr>
        <w:t>Schedule 13G Beneficial Ownership Reports (together with any amendments and joint filing agreements under Rule</w:t>
      </w:r>
    </w:p>
    <w:p>
      <w:pPr>
        <w:ind w:right="4099"/>
        <w:spacing w:after="0" w:line="237" w:lineRule="auto"/>
        <w:rPr>
          <w:sz w:val="20"/>
          <w:szCs w:val="20"/>
          <w:color w:val="auto"/>
        </w:rPr>
      </w:pPr>
      <w:r>
        <w:rPr>
          <w:rFonts w:ascii="Courier New" w:cs="Courier New" w:eastAsia="Courier New" w:hAnsi="Courier New"/>
          <w:sz w:val="18"/>
          <w:szCs w:val="18"/>
          <w:color w:val="auto"/>
        </w:rPr>
        <w:t>13d-1(k) (1) of the Act, as may be required thereto) to be filed and/or delivered with respect to any equity security (as defined in Rule 13d-1(d) under the Act) beneficially owned by the undersigned and which must be reported by the undersigned pursuant to Section 13(d) of</w:t>
      </w:r>
    </w:p>
    <w:p>
      <w:pPr>
        <w:spacing w:after="0" w:line="6"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21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This power of attorney shall expressly revoke any and all previously issued powers of attorney by the Fund in respect of the subject matter hereof, shall be valid from the date hereof and shall remain in full force and effect until either revoked in writing by the Fund, or, in respect if any attorney-in-fact named herein, until such person ceases to be an employee of BlackRock, Inc. or one of its affiliates.</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10th September,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day of</w:t>
      </w:r>
    </w:p>
    <w:p>
      <w:pPr>
        <w:spacing w:after="0" w:line="417" w:lineRule="exact"/>
        <w:rPr>
          <w:sz w:val="20"/>
          <w:szCs w:val="20"/>
          <w:color w:val="auto"/>
        </w:rPr>
      </w:pPr>
    </w:p>
    <w:p>
      <w:pPr>
        <w:sectPr>
          <w:pgSz w:w="11900" w:h="16838" w:orient="portrait"/>
          <w:cols w:equalWidth="0" w:num="2">
            <w:col w:w="5380" w:space="220"/>
            <w:col w:w="4619"/>
          </w:cols>
          <w:pgMar w:left="240" w:top="142"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BlackRock Small Cap Growth Equity Portfolio</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C. Burke</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Donald C. Burke,</w:t>
      </w:r>
    </w:p>
    <w:p>
      <w:pPr>
        <w:spacing w:after="0"/>
        <w:tabs>
          <w:tab w:leader="none" w:pos="11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upperLetter"/>
      <w:start w:val="24"/>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decimal"/>
      <w:start w:val="3"/>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1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decimal"/>
      <w:start w:val="3"/>
    </w:lvl>
  </w:abstractNum>
  <w:abstractNum w:abstractNumId="11">
    <w:nsid w:val="4E6AFB66"/>
    <w:multiLevelType w:val="hybridMultilevel"/>
    <w:lvl w:ilvl="0">
      <w:lvlJc w:val="left"/>
      <w:lvlText w:val="%1."/>
      <w:numFmt w:val="decimal"/>
      <w:start w:val="6"/>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4"/>
    </w:lvl>
  </w:abstractNum>
  <w:abstractNum w:abstractNumId="15">
    <w:nsid w:val="3F2DBA31"/>
    <w:multiLevelType w:val="hybridMultilevel"/>
    <w:lvl w:ilvl="0">
      <w:lvlJc w:val="left"/>
      <w:lvlText w:val="(%1)"/>
      <w:numFmt w:val="lowerLetter"/>
      <w:start w:val="8"/>
    </w:lvl>
  </w:abstractNum>
  <w:abstractNum w:abstractNumId="16">
    <w:nsid w:val="7C83E458"/>
    <w:multiLevelType w:val="hybridMultilevel"/>
    <w:lvl w:ilvl="0">
      <w:lvlJc w:val="left"/>
      <w:lvlText w:val="(%1)"/>
      <w:numFmt w:val="lowerLetter"/>
      <w:start w:val="1"/>
    </w:lvl>
    <w:lvl w:ilvl="1">
      <w:lvlJc w:val="left"/>
      <w:lvlText w:val="(%2)"/>
      <w:numFmt w:val="lowerRoman"/>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2019-12-11T00:05:52Z</dcterms:created>
  <dcterms:modified xsi:type="dcterms:W3CDTF">2019-12-11T00:05:52Z</dcterms:modified>
</cp:coreProperties>
</file>