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4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4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2960"/>
        <w:spacing w:after="0"/>
        <w:tabs>
          <w:tab w:leader="none" w:pos="7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6180" w:type="dxa"/>
            <w:vAlign w:val="bottom"/>
          </w:tcPr>
          <w:p>
            <w:pPr>
              <w:jc w:val="center"/>
              <w:ind w:right="3399"/>
              <w:spacing w:after="0"/>
              <w:rPr>
                <w:sz w:val="20"/>
                <w:szCs w:val="20"/>
                <w:color w:val="auto"/>
              </w:rPr>
            </w:pPr>
            <w:r>
              <w:rPr>
                <w:rFonts w:ascii="Arial" w:cs="Arial" w:eastAsia="Arial" w:hAnsi="Arial"/>
                <w:sz w:val="18"/>
                <w:szCs w:val="18"/>
                <w:b w:val="1"/>
                <w:bCs w:val="1"/>
                <w:color w:val="auto"/>
                <w:w w:val="98"/>
              </w:rPr>
              <w:t>DELAWARE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180" w:type="dxa"/>
            <w:vAlign w:val="bottom"/>
          </w:tcPr>
          <w:p>
            <w:pPr>
              <w:jc w:val="center"/>
              <w:ind w:right="33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80" w:type="dxa"/>
            <w:vAlign w:val="bottom"/>
          </w:tcPr>
          <w:p>
            <w:pPr>
              <w:jc w:val="center"/>
              <w:ind w:right="3379"/>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180" w:type="dxa"/>
            <w:vAlign w:val="bottom"/>
          </w:tcPr>
          <w:p>
            <w:pPr>
              <w:jc w:val="center"/>
              <w:ind w:right="3399"/>
              <w:spacing w:after="0"/>
              <w:rPr>
                <w:sz w:val="20"/>
                <w:szCs w:val="20"/>
                <w:color w:val="auto"/>
              </w:rPr>
            </w:pPr>
            <w:r>
              <w:rPr>
                <w:rFonts w:ascii="Arial" w:cs="Arial" w:eastAsia="Arial" w:hAnsi="Arial"/>
                <w:sz w:val="18"/>
                <w:szCs w:val="18"/>
                <w:b w:val="1"/>
                <w:bCs w:val="1"/>
                <w:color w:val="auto"/>
                <w:w w:val="97"/>
              </w:rPr>
              <w:t>280 PARK AVENUE, 38</w:t>
            </w:r>
            <w:r>
              <w:rPr>
                <w:rFonts w:ascii="Arial" w:cs="Arial" w:eastAsia="Arial" w:hAnsi="Arial"/>
                <w:sz w:val="15"/>
                <w:szCs w:val="15"/>
                <w:b w:val="1"/>
                <w:bCs w:val="1"/>
                <w:color w:val="auto"/>
                <w:w w:val="97"/>
              </w:rPr>
              <w:t>th</w:t>
            </w:r>
            <w:r>
              <w:rPr>
                <w:rFonts w:ascii="Arial" w:cs="Arial" w:eastAsia="Arial" w:hAnsi="Arial"/>
                <w:sz w:val="18"/>
                <w:szCs w:val="18"/>
                <w:b w:val="1"/>
                <w:bCs w:val="1"/>
                <w:color w:val="auto"/>
                <w:w w:val="97"/>
              </w:rPr>
              <w:t xml:space="preserve"> FLOOR</w:t>
            </w:r>
          </w:p>
        </w:tc>
        <w:tc>
          <w:tcPr>
            <w:tcW w:w="1500" w:type="dxa"/>
            <w:vAlign w:val="bottom"/>
          </w:tcPr>
          <w:p>
            <w:pPr>
              <w:spacing w:after="0"/>
              <w:rPr>
                <w:sz w:val="24"/>
                <w:szCs w:val="24"/>
                <w:color w:val="auto"/>
              </w:rPr>
            </w:pPr>
          </w:p>
        </w:tc>
      </w:tr>
      <w:tr>
        <w:trPr>
          <w:trHeight w:val="225"/>
        </w:trPr>
        <w:tc>
          <w:tcPr>
            <w:tcW w:w="6180" w:type="dxa"/>
            <w:vAlign w:val="bottom"/>
          </w:tcPr>
          <w:p>
            <w:pPr>
              <w:jc w:val="center"/>
              <w:ind w:right="3379"/>
              <w:spacing w:after="0"/>
              <w:rPr>
                <w:sz w:val="20"/>
                <w:szCs w:val="20"/>
                <w:color w:val="auto"/>
              </w:rPr>
            </w:pPr>
            <w:r>
              <w:rPr>
                <w:rFonts w:ascii="Arial" w:cs="Arial" w:eastAsia="Arial" w:hAnsi="Arial"/>
                <w:sz w:val="18"/>
                <w:szCs w:val="18"/>
                <w:b w:val="1"/>
                <w:bCs w:val="1"/>
                <w:color w:val="auto"/>
              </w:rPr>
              <w:t>NEW YORK, NEW YORK</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10017</w:t>
            </w:r>
          </w:p>
        </w:tc>
      </w:tr>
      <w:tr>
        <w:trPr>
          <w:trHeight w:val="186"/>
        </w:trPr>
        <w:tc>
          <w:tcPr>
            <w:tcW w:w="6180" w:type="dxa"/>
            <w:vAlign w:val="bottom"/>
          </w:tcPr>
          <w:p>
            <w:pPr>
              <w:jc w:val="center"/>
              <w:ind w:right="33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2"/>
              </w:rPr>
              <w:t>(Zip code)</w:t>
            </w:r>
          </w:p>
        </w:tc>
      </w:tr>
      <w:tr>
        <w:trPr>
          <w:trHeight w:val="394"/>
        </w:trPr>
        <w:tc>
          <w:tcPr>
            <w:tcW w:w="6180" w:type="dxa"/>
            <w:vAlign w:val="bottom"/>
          </w:tcPr>
          <w:p>
            <w:pPr>
              <w:jc w:val="right"/>
              <w:ind w:right="1359"/>
              <w:spacing w:after="0"/>
              <w:rPr>
                <w:sz w:val="20"/>
                <w:szCs w:val="20"/>
                <w:color w:val="auto"/>
              </w:rPr>
            </w:pPr>
            <w:r>
              <w:rPr>
                <w:rFonts w:ascii="Arial" w:cs="Arial" w:eastAsia="Arial" w:hAnsi="Arial"/>
                <w:sz w:val="18"/>
                <w:szCs w:val="18"/>
                <w:b w:val="1"/>
                <w:bCs w:val="1"/>
                <w:color w:val="auto"/>
              </w:rPr>
              <w:t>(212) 277-7100</w:t>
            </w:r>
          </w:p>
        </w:tc>
        <w:tc>
          <w:tcPr>
            <w:tcW w:w="1500" w:type="dxa"/>
            <w:vAlign w:val="bottom"/>
          </w:tcPr>
          <w:p>
            <w:pPr>
              <w:spacing w:after="0"/>
              <w:rPr>
                <w:sz w:val="24"/>
                <w:szCs w:val="24"/>
                <w:color w:val="auto"/>
              </w:rPr>
            </w:pPr>
          </w:p>
        </w:tc>
      </w:tr>
      <w:tr>
        <w:trPr>
          <w:trHeight w:val="186"/>
        </w:trPr>
        <w:tc>
          <w:tcPr>
            <w:tcW w:w="6180" w:type="dxa"/>
            <w:vAlign w:val="bottom"/>
          </w:tcPr>
          <w:p>
            <w:pPr>
              <w:jc w:val="center"/>
              <w:ind w:left="207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00"/>
          </w:cols>
          <w:pgMar w:left="240" w:top="230" w:right="259" w:bottom="1440" w:gutter="0" w:footer="0" w:header="0"/>
        </w:sectPr>
      </w:pPr>
    </w:p>
    <w:bookmarkStart w:id="1" w:name="page2"/>
    <w:bookmarkEnd w:id="1"/>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125" w:right="23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125"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100"/>
            <w:col w:w="5960" w:space="720"/>
            <w:col w:w="1980" w:space="420"/>
            <w:col w:w="160"/>
          </w:cols>
          <w:pgMar w:left="240" w:top="125" w:right="23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r>
        <w:rPr>
          <w:rFonts w:ascii="MS PGothic" w:cs="MS PGothic" w:eastAsia="MS PGothic" w:hAnsi="MS PGothic"/>
          <w:sz w:val="18"/>
          <w:szCs w:val="18"/>
          <w:color w:val="auto"/>
        </w:rPr>
        <w:t>☒</w:t>
      </w:r>
    </w:p>
    <w:p>
      <w:pPr>
        <w:spacing w:after="0" w:line="248" w:lineRule="exact"/>
        <w:rPr>
          <w:sz w:val="20"/>
          <w:szCs w:val="20"/>
          <w:color w:val="auto"/>
        </w:rPr>
      </w:pPr>
    </w:p>
    <w:p>
      <w:pPr>
        <w:sectPr>
          <w:pgSz w:w="11900" w:h="16838" w:orient="portrait"/>
          <w:cols w:equalWidth="0" w:num="5">
            <w:col w:w="8640" w:space="160"/>
            <w:col w:w="260" w:space="100"/>
            <w:col w:w="160" w:space="180"/>
            <w:col w:w="220" w:space="80"/>
            <w:col w:w="1620"/>
          </w:cols>
          <w:pgMar w:left="240" w:top="125" w:right="239" w:bottom="1440" w:gutter="0" w:footer="0" w:header="0"/>
          <w:type w:val="continuous"/>
        </w:sectPr>
      </w:pPr>
    </w:p>
    <w:p>
      <w:pPr>
        <w:spacing w:after="0" w:line="3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As of April 25, 2014, there were 32,673,862 shares of the registrant’s common stock outstanding (excluding 1,188,385 shares held in treasury stock), par value $0.001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p>
      <w:pPr>
        <w:ind w:left="10940"/>
        <w:spacing w:after="0"/>
        <w:rPr>
          <w:sz w:val="20"/>
          <w:szCs w:val="20"/>
          <w:color w:val="auto"/>
        </w:rPr>
      </w:pPr>
      <w:r>
        <w:rPr>
          <w:rFonts w:ascii="Arial" w:cs="Arial" w:eastAsia="Arial" w:hAnsi="Arial"/>
          <w:sz w:val="13"/>
          <w:szCs w:val="13"/>
          <w:b w:val="1"/>
          <w:bCs w:val="1"/>
          <w:u w:val="single" w:color="auto"/>
          <w:color w:val="auto"/>
        </w:rPr>
        <w:t>PAGE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84"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2900" w:type="dxa"/>
            <w:vAlign w:val="bottom"/>
            <w:tcBorders>
              <w:bottom w:val="single" w:sz="8" w:color="0000EE"/>
            </w:tcBorders>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42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21" w:lineRule="exact"/>
        <w:rPr>
          <w:sz w:val="20"/>
          <w:szCs w:val="20"/>
          <w:color w:val="auto"/>
        </w:rPr>
      </w:pPr>
    </w:p>
    <w:p>
      <w:pPr>
        <w:ind w:left="1000" w:hanging="992"/>
        <w:spacing w:after="0"/>
        <w:tabs>
          <w:tab w:leader="none" w:pos="1000" w:val="left"/>
        </w:tabs>
        <w:numPr>
          <w:ilvl w:val="0"/>
          <w:numId w:val="3"/>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bl>
      <w:tblPr>
        <w:tblLayout w:type="fixed"/>
        <w:tblInd w:w="0" w:type="dxa"/>
        <w:tblCellMar>
          <w:top w:w="0" w:type="dxa"/>
          <w:left w:w="0" w:type="dxa"/>
          <w:bottom w:w="0" w:type="dxa"/>
          <w:right w:w="0" w:type="dxa"/>
        </w:tblCellMar>
      </w:tblPr>
      <w:tr>
        <w:trPr>
          <w:trHeight w:val="199"/>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360" w:type="dxa"/>
            <w:vAlign w:val="bottom"/>
            <w:tcBorders>
              <w:bottom w:val="single" w:sz="8" w:color="0000EE"/>
            </w:tcBorders>
            <w:gridSpan w:val="12"/>
          </w:tcPr>
          <w:p>
            <w:pPr>
              <w:spacing w:after="0" w:line="199"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as of March 31, 2014 (Unaudited) and December 31, 2013</w:t>
              </w:r>
            </w:hyperlink>
          </w:p>
        </w:tc>
        <w:tc>
          <w:tcPr>
            <w:tcW w:w="2880" w:type="dxa"/>
            <w:vAlign w:val="bottom"/>
            <w:gridSpan w:val="4"/>
          </w:tcPr>
          <w:p>
            <w:pPr>
              <w:spacing w:after="0"/>
              <w:rPr>
                <w:sz w:val="17"/>
                <w:szCs w:val="17"/>
                <w:color w:val="auto"/>
              </w:rPr>
            </w:pPr>
          </w:p>
        </w:tc>
        <w:tc>
          <w:tcPr>
            <w:tcW w:w="720" w:type="dxa"/>
            <w:vAlign w:val="bottom"/>
          </w:tcPr>
          <w:p>
            <w:pPr>
              <w:jc w:val="right"/>
              <w:spacing w:after="0" w:line="199" w:lineRule="exact"/>
              <w:rPr>
                <w:sz w:val="20"/>
                <w:szCs w:val="20"/>
                <w:color w:val="auto"/>
              </w:rPr>
            </w:pPr>
            <w:r>
              <w:rPr>
                <w:rFonts w:ascii="Arial" w:cs="Arial" w:eastAsia="Arial" w:hAnsi="Arial"/>
                <w:sz w:val="18"/>
                <w:szCs w:val="18"/>
                <w:color w:val="auto"/>
              </w:rPr>
              <w:t>3</w:t>
            </w: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Income (Unaudited) for the Three Months Ended March 31, 2014 and 2013</w:t>
              </w:r>
            </w:hyperlink>
          </w:p>
        </w:tc>
        <w:tc>
          <w:tcPr>
            <w:tcW w:w="176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7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Comprehensive Income (Unaudited) for the Three Months Ended March 31, 2014 and 2013</w:t>
              </w:r>
            </w:hyperlink>
          </w:p>
        </w:tc>
        <w:tc>
          <w:tcPr>
            <w:tcW w:w="5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7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Cash Flows (Unaudited) for the Three Months Ended March 31, 2014 and 2013</w:t>
              </w:r>
            </w:hyperlink>
          </w:p>
        </w:tc>
        <w:tc>
          <w:tcPr>
            <w:tcW w:w="146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Notes to Consolidated Financial Statements (Unaudited)</w:t>
              </w:r>
            </w:hyperlink>
          </w:p>
        </w:tc>
        <w:tc>
          <w:tcPr>
            <w:tcW w:w="5160" w:type="dxa"/>
            <w:vAlign w:val="bottom"/>
            <w:gridSpan w:val="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9600" w:type="dxa"/>
            <w:vAlign w:val="bottom"/>
            <w:gridSpan w:val="1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43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140" w:type="dxa"/>
            <w:vAlign w:val="bottom"/>
            <w:gridSpan w:val="5"/>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Controls and Procedures</w:t>
              </w:r>
            </w:hyperlink>
          </w:p>
        </w:tc>
        <w:tc>
          <w:tcPr>
            <w:tcW w:w="7820" w:type="dxa"/>
            <w:vAlign w:val="bottom"/>
            <w:gridSpan w:val="11"/>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PART II. OTHER INFORMATION</w:t>
              </w:r>
            </w:hyperlink>
          </w:p>
        </w:tc>
        <w:tc>
          <w:tcPr>
            <w:tcW w:w="702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960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260" w:type="dxa"/>
            <w:vAlign w:val="bottom"/>
            <w:gridSpan w:val="1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Unregistered Sales of Equity Securities and Use of Proceeds</w:t>
              </w:r>
            </w:hyperlink>
          </w:p>
        </w:tc>
        <w:tc>
          <w:tcPr>
            <w:tcW w:w="524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23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Defaults Upon Senior Securities</w:t>
              </w:r>
            </w:hyperlink>
          </w:p>
        </w:tc>
        <w:tc>
          <w:tcPr>
            <w:tcW w:w="7260" w:type="dxa"/>
            <w:vAlign w:val="bottom"/>
            <w:gridSpan w:val="10"/>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Mine Safety Disclosures</w:t>
              </w:r>
            </w:hyperlink>
          </w:p>
        </w:tc>
        <w:tc>
          <w:tcPr>
            <w:tcW w:w="7820" w:type="dxa"/>
            <w:vAlign w:val="bottom"/>
            <w:gridSpan w:val="11"/>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4"/>
                <w:szCs w:val="24"/>
                <w:color w:val="auto"/>
              </w:rPr>
            </w:pPr>
          </w:p>
        </w:tc>
        <w:tc>
          <w:tcPr>
            <w:tcW w:w="960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4"/>
                <w:szCs w:val="24"/>
                <w:color w:val="auto"/>
              </w:rPr>
            </w:pP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8280" w:type="dxa"/>
            <w:vAlign w:val="bottom"/>
            <w:gridSpan w:val="1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000" w:type="dxa"/>
            <w:vAlign w:val="bottom"/>
            <w:gridSpan w:val="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85"/>
        </w:trPr>
        <w:tc>
          <w:tcPr>
            <w:tcW w:w="7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12"/>
          </w:tcPr>
          <w:p>
            <w:pPr>
              <w:ind w:left="46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44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143,692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148,065</w:t>
            </w: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7,169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5,987</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77,737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76,121</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5,168</w:t>
            </w: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Deferred tax assets, net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5,455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6,958</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 income tax, net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w:t>
            </w:r>
          </w:p>
        </w:tc>
      </w:tr>
      <w:tr>
        <w:trPr>
          <w:trHeight w:val="223"/>
        </w:trPr>
        <w:tc>
          <w:tcPr>
            <w:tcW w:w="20" w:type="dxa"/>
            <w:vAlign w:val="bottom"/>
          </w:tcPr>
          <w:p>
            <w:pPr>
              <w:spacing w:after="0"/>
              <w:rPr>
                <w:sz w:val="19"/>
                <w:szCs w:val="19"/>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257,947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252,627</w:t>
            </w: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44,031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34,564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3,568</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9,905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12,254</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32,643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34,115</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108,216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107,407</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21,489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18,897</w:t>
            </w: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478,011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463,432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4,714</w:t>
            </w: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9,520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8,618</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employee cost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18,371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29,405</w:t>
            </w: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29,575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32,219</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62,994</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76,075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w:t>
            </w: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83,323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97,258</w:t>
            </w: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15)</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Common stock, $0.001 par value; 100,000,000 shares authorized, 33,822,673 shares issued and 32,634,288 shares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 as of March 31, 2014 and 33,342,312 shares issued and 32,172,183 shares outstanding as of</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2013</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220,370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214,522</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248,126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236,979</w:t>
            </w:r>
          </w:p>
        </w:tc>
      </w:tr>
      <w:tr>
        <w:trPr>
          <w:trHeight w:val="223"/>
        </w:trPr>
        <w:tc>
          <w:tcPr>
            <w:tcW w:w="20" w:type="dxa"/>
            <w:vAlign w:val="bottom"/>
          </w:tcPr>
          <w:p>
            <w:pPr>
              <w:spacing w:after="0"/>
              <w:rPr>
                <w:sz w:val="19"/>
                <w:szCs w:val="19"/>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w w:val="98"/>
              </w:rPr>
              <w:t>(48,741)</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(60,718)</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419,789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390,816</w:t>
            </w:r>
          </w:p>
        </w:tc>
        <w:tc>
          <w:tcPr>
            <w:tcW w:w="100" w:type="dxa"/>
            <w:vAlign w:val="bottom"/>
            <w:shd w:val="clear" w:color="auto" w:fill="CCEEFF"/>
          </w:tcPr>
          <w:p>
            <w:pPr>
              <w:spacing w:after="0"/>
              <w:rPr>
                <w:sz w:val="18"/>
                <w:szCs w:val="18"/>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w w:val="98"/>
              </w:rPr>
              <w:t>Less: 1,188,385 shares as of March 31, 2014 and 1,170,129 shares as of December 31, 2013, held in treasury, at cost</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(25,101)</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(24,642)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394,688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366,174</w:t>
            </w: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478,011</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463,432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121,797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74,922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72,913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46,875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43,093</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10,232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6,512</w:t>
            </w: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31,388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income/(expense) :</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loss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Interest and other income, net</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958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4,465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9,762</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32,523,490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32,521,481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33,428,544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33,719,794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10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42"/>
        </w:trPr>
        <w:tc>
          <w:tcPr>
            <w:tcW w:w="20" w:type="dxa"/>
            <w:vAlign w:val="bottom"/>
          </w:tcPr>
          <w:p>
            <w:pPr>
              <w:spacing w:after="0"/>
              <w:rPr>
                <w:sz w:val="12"/>
                <w:szCs w:val="12"/>
                <w:color w:val="auto"/>
              </w:rPr>
            </w:pPr>
          </w:p>
        </w:tc>
        <w:tc>
          <w:tcPr>
            <w:tcW w:w="93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Unrealized gain on effective cash flow hedges, net of taxes $1,608 and $626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106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4,788</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Reclassification adjustments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1060"/>
              <w:spacing w:after="0"/>
              <w:rPr>
                <w:sz w:val="20"/>
                <w:szCs w:val="20"/>
                <w:color w:val="auto"/>
              </w:rPr>
            </w:pPr>
            <w:r>
              <w:rPr>
                <w:rFonts w:ascii="Arial" w:cs="Arial" w:eastAsia="Arial" w:hAnsi="Arial"/>
                <w:sz w:val="18"/>
                <w:szCs w:val="18"/>
                <w:color w:val="auto"/>
              </w:rPr>
              <w:t>Realized loss on cash flow hedges, net of taxes $496 and $428</w:t>
            </w:r>
            <w:r>
              <w:rPr>
                <w:rFonts w:ascii="Arial" w:cs="Arial" w:eastAsia="Arial" w:hAnsi="Arial"/>
                <w:sz w:val="15"/>
                <w:szCs w:val="15"/>
                <w:color w:val="auto"/>
              </w:rPr>
              <w:t>(1)</w:t>
            </w: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1,758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Retirement benefits, net of taxes $8 and $8</w:t>
            </w:r>
            <w:r>
              <w:rPr>
                <w:rFonts w:ascii="Arial" w:cs="Arial" w:eastAsia="Arial" w:hAnsi="Arial"/>
                <w:sz w:val="15"/>
                <w:szCs w:val="15"/>
                <w:color w:val="auto"/>
              </w:rPr>
              <w:t>(2)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Total other comprehensive income</w:t>
            </w: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11,977</w:t>
            </w: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23,124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13,856</w:t>
            </w: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4" w:lineRule="exact"/>
        <w:rPr>
          <w:sz w:val="20"/>
          <w:szCs w:val="20"/>
          <w:color w:val="auto"/>
        </w:rPr>
      </w:pPr>
    </w:p>
    <w:p>
      <w:pPr>
        <w:ind w:left="460" w:right="20" w:hanging="452"/>
        <w:spacing w:after="0" w:line="258"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These are reclassified to net income and are included in the foreign exchange loss in the unaudited consolidated statements of income. See Note 7 to the unaudited consolidated financial statements.</w:t>
      </w:r>
    </w:p>
    <w:p>
      <w:pPr>
        <w:spacing w:after="0" w:line="1" w:lineRule="exact"/>
        <w:rPr>
          <w:rFonts w:ascii="Arial" w:cs="Arial" w:eastAsia="Arial" w:hAnsi="Arial"/>
          <w:sz w:val="18"/>
          <w:szCs w:val="18"/>
          <w:i w:val="1"/>
          <w:iCs w:val="1"/>
          <w:color w:val="auto"/>
        </w:rPr>
      </w:pPr>
    </w:p>
    <w:p>
      <w:pPr>
        <w:ind w:left="460" w:right="460" w:hanging="452"/>
        <w:spacing w:after="0" w:line="261"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These are reclassified to net income and are included in the computation of net periodic pension costs in the unaudited consolidated statements of income. See Note 10 to the unaudited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18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11,147</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6,356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foreign exchange loss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1,863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fixed assets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(4,187)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employee cost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 income tax, net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(570)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6,622</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Purchase of fixed assets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Business acquisition (net of cash acquired)</w:t>
            </w:r>
          </w:p>
        </w:tc>
        <w:tc>
          <w:tcPr>
            <w:tcW w:w="1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(11,684)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Principal payments on capital lease obligations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stock</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148,065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103,037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143,692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is a leading provider of business process solutions, utilizing operations management, analytics and technology. The Company’s clients are located principally in the U.S. and the U.K.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80" w:firstLine="456"/>
        <w:spacing w:after="0" w:line="258" w:lineRule="auto"/>
        <w:rPr>
          <w:sz w:val="20"/>
          <w:szCs w:val="20"/>
          <w:color w:val="auto"/>
        </w:rPr>
      </w:pPr>
      <w:r>
        <w:rPr>
          <w:rFonts w:ascii="Arial" w:cs="Arial" w:eastAsia="Arial" w:hAnsi="Arial"/>
          <w:sz w:val="18"/>
          <w:szCs w:val="18"/>
          <w:color w:val="auto"/>
        </w:rPr>
        <w:t>The unaudited interim consolidated financial statements have been prepared in accordance with U.S. generally accepted accounting principles (“US GAAP”) for interim financial information, the instructions to Form 10-Q and Article 10 of</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2013.</w:t>
      </w:r>
    </w:p>
    <w:p>
      <w:pPr>
        <w:spacing w:after="0" w:line="19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amounts in the prior period financial statements have been reclassified to conform to the March 31, 2014 presentation.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All intercompany balances and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financial statements include, but are not limited to, allowance for doubtful receivables, service tax receivables, assets and obligations related to employee benefit plans, deferred tax valuation allowances, income-tax uncertainties and other contingencies, valuation of derivative financial instruments, stock-based compensation expense, depreciation and amortization periods, purchase price allocation, recoverability of long-term assets including goodwill and intangibles, and estimates to complete the fixed price contracts.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March 2013, the Financial Accounting Standards Board (the “FASB”) issued ASU No. 2013-05, </w:t>
      </w:r>
      <w:r>
        <w:rPr>
          <w:rFonts w:ascii="Arial" w:cs="Arial" w:eastAsia="Arial" w:hAnsi="Arial"/>
          <w:sz w:val="18"/>
          <w:szCs w:val="18"/>
          <w:i w:val="1"/>
          <w:iCs w:val="1"/>
          <w:color w:val="auto"/>
        </w:rPr>
        <w:t>“Parent’s Accounting for the Cumulative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Translation Adjustment upon Derecognition of Certain subsidiaries or Groups of Assets within a Foreign Entity or of an Investment in a Foreign Entity” </w:t>
      </w:r>
      <w:r>
        <w:rPr>
          <w:rFonts w:ascii="Arial" w:cs="Arial" w:eastAsia="Arial" w:hAnsi="Arial"/>
          <w:sz w:val="18"/>
          <w:szCs w:val="18"/>
          <w:color w:val="auto"/>
        </w:rPr>
        <w:t>(“ASU 2013-05”). It applies to the release of the currency translation adjustment into net income when a parent either sells a part of all of its investment in a foreign entity or no longer holds a controlling financial interest in a subsidiary or group of assets that is a nonprofit activity or a business within a foreign entity. ASU No. 2013-05 became effective from January 1, 2014 and the new guidance did not have any impact on the Company’s unaudited consolidated financial statements.</w:t>
      </w:r>
    </w:p>
    <w:p>
      <w:pPr>
        <w:spacing w:after="0" w:line="193"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July 2013, the FASB issued ASU No. 2013-11, “</w:t>
      </w:r>
      <w:r>
        <w:rPr>
          <w:rFonts w:ascii="Arial" w:cs="Arial" w:eastAsia="Arial" w:hAnsi="Arial"/>
          <w:sz w:val="17"/>
          <w:szCs w:val="17"/>
          <w:i w:val="1"/>
          <w:iCs w:val="1"/>
          <w:color w:val="auto"/>
        </w:rPr>
        <w:t>Presentation of an Unrecognized Tax Benefit When a Net Operating Loss Carryforward, a Similar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 Loss, or a Tax Credit Carryforward Exists </w:t>
      </w:r>
      <w:r>
        <w:rPr>
          <w:rFonts w:ascii="Arial" w:cs="Arial" w:eastAsia="Arial" w:hAnsi="Arial"/>
          <w:sz w:val="17"/>
          <w:szCs w:val="17"/>
          <w:color w:val="auto"/>
        </w:rPr>
        <w:t>“ (“ASU No. 2013-11”). The provisions of the rule require an unrecognized tax benefit to be presented as a</w:t>
      </w:r>
      <w:r>
        <w:rPr>
          <w:rFonts w:ascii="Arial" w:cs="Arial" w:eastAsia="Arial" w:hAnsi="Arial"/>
          <w:sz w:val="17"/>
          <w:szCs w:val="17"/>
          <w:i w:val="1"/>
          <w:iCs w:val="1"/>
          <w:color w:val="auto"/>
        </w:rPr>
        <w:t xml:space="preserve"> </w:t>
      </w:r>
      <w:r>
        <w:rPr>
          <w:rFonts w:ascii="Arial" w:cs="Arial" w:eastAsia="Arial" w:hAnsi="Arial"/>
          <w:sz w:val="17"/>
          <w:szCs w:val="17"/>
          <w:color w:val="auto"/>
        </w:rPr>
        <w:t>reduction to a deferred tax asset in the financial statements for a net operating loss carryforward, a similar tax loss, or a tax credit carryforward except in circumstances when the carryforward or tax loss is not available at the reporting date under the tax laws of the applicable jurisdiction to settle any additional income taxes or the tax law does not require the entity to use, and the entity does not intend to use, the deferred tax asset for such purposes. When those circumstances exist, the unrecognized tax benefit should be presented in the financial statements as a liability and should not be combined with deferred tax assets. ASU No. 2013-11 became effective from January 1, 2014 and the new guidance did not have any impact on the Company’s unaudited consolidated financial statements.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360" w:type="dxa"/>
            <w:vAlign w:val="bottom"/>
            <w:gridSpan w:val="2"/>
          </w:tcPr>
          <w:p>
            <w:pPr>
              <w:jc w:val="center"/>
              <w:ind w:left="2637"/>
              <w:spacing w:after="0"/>
              <w:rPr>
                <w:sz w:val="20"/>
                <w:szCs w:val="20"/>
                <w:color w:val="auto"/>
              </w:rPr>
            </w:pPr>
            <w:r>
              <w:rPr>
                <w:rFonts w:ascii="Arial" w:cs="Arial" w:eastAsia="Arial" w:hAnsi="Arial"/>
                <w:sz w:val="14"/>
                <w:szCs w:val="14"/>
                <w:b w:val="1"/>
                <w:bCs w:val="1"/>
                <w:color w:val="auto"/>
                <w:w w:val="99"/>
              </w:rPr>
              <w:t>March 31,</w:t>
            </w:r>
          </w:p>
        </w:tc>
        <w:tc>
          <w:tcPr>
            <w:tcW w:w="152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360" w:type="dxa"/>
            <w:vAlign w:val="bottom"/>
            <w:gridSpan w:val="2"/>
          </w:tcPr>
          <w:p>
            <w:pPr>
              <w:jc w:val="center"/>
              <w:ind w:left="2637"/>
              <w:spacing w:after="0"/>
              <w:rPr>
                <w:sz w:val="20"/>
                <w:szCs w:val="20"/>
                <w:color w:val="auto"/>
              </w:rPr>
            </w:pPr>
            <w:r>
              <w:rPr>
                <w:rFonts w:ascii="Arial" w:cs="Arial" w:eastAsia="Arial" w:hAnsi="Arial"/>
                <w:sz w:val="14"/>
                <w:szCs w:val="14"/>
                <w:b w:val="1"/>
                <w:bCs w:val="1"/>
                <w:color w:val="auto"/>
                <w:w w:val="89"/>
              </w:rPr>
              <w:t>2014</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7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$ 19,539</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Derivative instruments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4,170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ind w:left="1380"/>
              <w:spacing w:after="0"/>
              <w:rPr>
                <w:sz w:val="20"/>
                <w:szCs w:val="20"/>
                <w:color w:val="auto"/>
              </w:rPr>
            </w:pPr>
            <w:r>
              <w:rPr>
                <w:rFonts w:ascii="Arial" w:cs="Arial" w:eastAsia="Arial" w:hAnsi="Arial"/>
                <w:sz w:val="18"/>
                <w:szCs w:val="18"/>
                <w:color w:val="auto"/>
              </w:rPr>
              <w:t>Accrued expenses and other current liabilities</w:t>
            </w:r>
          </w:p>
        </w:tc>
        <w:tc>
          <w:tcPr>
            <w:tcW w:w="27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$ 29,575</w:t>
            </w: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Non-current liabilities</w:t>
            </w:r>
          </w:p>
        </w:tc>
        <w:tc>
          <w:tcPr>
            <w:tcW w:w="2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180" w:type="dxa"/>
            <w:vAlign w:val="bottom"/>
            <w:gridSpan w:val="2"/>
            <w:vMerge w:val="continue"/>
          </w:tcPr>
          <w:p>
            <w:pPr>
              <w:spacing w:after="0"/>
              <w:rPr>
                <w:sz w:val="24"/>
                <w:szCs w:val="24"/>
                <w:color w:val="auto"/>
              </w:rPr>
            </w:pPr>
          </w:p>
        </w:tc>
        <w:tc>
          <w:tcPr>
            <w:tcW w:w="2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80" w:type="dxa"/>
            <w:vAlign w:val="bottom"/>
            <w:gridSpan w:val="2"/>
          </w:tcPr>
          <w:p>
            <w:pPr>
              <w:ind w:left="460"/>
              <w:spacing w:after="0"/>
              <w:rPr>
                <w:sz w:val="20"/>
                <w:szCs w:val="20"/>
                <w:color w:val="auto"/>
              </w:rPr>
            </w:pPr>
            <w:r>
              <w:rPr>
                <w:rFonts w:ascii="Arial" w:cs="Arial" w:eastAsia="Arial" w:hAnsi="Arial"/>
                <w:sz w:val="18"/>
                <w:szCs w:val="18"/>
                <w:color w:val="auto"/>
              </w:rPr>
              <w:t>Non-current liabilities consist of the following:</w:t>
            </w:r>
          </w:p>
        </w:tc>
        <w:tc>
          <w:tcPr>
            <w:tcW w:w="2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360" w:type="dxa"/>
            <w:vAlign w:val="bottom"/>
            <w:gridSpan w:val="2"/>
          </w:tcPr>
          <w:p>
            <w:pPr>
              <w:jc w:val="center"/>
              <w:ind w:left="2637"/>
              <w:spacing w:after="0"/>
              <w:rPr>
                <w:sz w:val="20"/>
                <w:szCs w:val="20"/>
                <w:color w:val="auto"/>
              </w:rPr>
            </w:pPr>
            <w:r>
              <w:rPr>
                <w:rFonts w:ascii="Arial" w:cs="Arial" w:eastAsia="Arial" w:hAnsi="Arial"/>
                <w:sz w:val="14"/>
                <w:szCs w:val="14"/>
                <w:b w:val="1"/>
                <w:bCs w:val="1"/>
                <w:color w:val="auto"/>
                <w:w w:val="99"/>
              </w:rPr>
              <w:t>March 31,</w:t>
            </w:r>
          </w:p>
        </w:tc>
        <w:tc>
          <w:tcPr>
            <w:tcW w:w="152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360" w:type="dxa"/>
            <w:vAlign w:val="bottom"/>
            <w:gridSpan w:val="2"/>
          </w:tcPr>
          <w:p>
            <w:pPr>
              <w:jc w:val="center"/>
              <w:ind w:left="2637"/>
              <w:spacing w:after="0"/>
              <w:rPr>
                <w:sz w:val="20"/>
                <w:szCs w:val="20"/>
                <w:color w:val="auto"/>
              </w:rPr>
            </w:pPr>
            <w:r>
              <w:rPr>
                <w:rFonts w:ascii="Arial" w:cs="Arial" w:eastAsia="Arial" w:hAnsi="Arial"/>
                <w:sz w:val="14"/>
                <w:szCs w:val="14"/>
                <w:b w:val="1"/>
                <w:bCs w:val="1"/>
                <w:color w:val="auto"/>
                <w:w w:val="89"/>
              </w:rPr>
              <w:t>2014</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7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2,336</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4,974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5,347</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Retirement benefits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3,600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ind w:left="1380"/>
              <w:spacing w:after="0"/>
              <w:rPr>
                <w:sz w:val="20"/>
                <w:szCs w:val="20"/>
                <w:color w:val="auto"/>
              </w:rPr>
            </w:pPr>
            <w:r>
              <w:rPr>
                <w:rFonts w:ascii="Arial" w:cs="Arial" w:eastAsia="Arial" w:hAnsi="Arial"/>
                <w:sz w:val="18"/>
                <w:szCs w:val="18"/>
                <w:color w:val="auto"/>
              </w:rPr>
              <w:t>Non-current liabilities</w:t>
            </w:r>
          </w:p>
        </w:tc>
        <w:tc>
          <w:tcPr>
            <w:tcW w:w="27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$ 19,107</w:t>
            </w: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720" w:type="dxa"/>
            <w:vAlign w:val="bottom"/>
            <w:vMerge w:val="restart"/>
          </w:tcPr>
          <w:p>
            <w:pPr>
              <w:jc w:val="right"/>
              <w:ind w:right="2057"/>
              <w:spacing w:after="0"/>
              <w:rPr>
                <w:sz w:val="20"/>
                <w:szCs w:val="20"/>
                <w:color w:val="auto"/>
              </w:rPr>
            </w:pPr>
            <w:r>
              <w:rPr>
                <w:rFonts w:ascii="Arial" w:cs="Arial" w:eastAsia="Arial" w:hAnsi="Arial"/>
                <w:sz w:val="18"/>
                <w:szCs w:val="18"/>
                <w:color w:val="auto"/>
              </w:rPr>
              <w:t>8</w:t>
            </w: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and restricted stock units that are anti-dilutive are excluded from the computation of weighted average shares outstanding.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7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Numerators:</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11,147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Basic weighted average common shares outstanding</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32,523,490</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32,521,481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Dilutive effect of share based awards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905,054</w:t>
            </w:r>
          </w:p>
        </w:tc>
        <w:tc>
          <w:tcPr>
            <w:tcW w:w="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1,198,313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Diluted weighted average common shares outstanding</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33,428,544</w:t>
            </w: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33,719,794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700"/>
              <w:spacing w:after="0"/>
              <w:rPr>
                <w:sz w:val="20"/>
                <w:szCs w:val="20"/>
                <w:color w:val="auto"/>
              </w:rPr>
            </w:pPr>
            <w:r>
              <w:rPr>
                <w:rFonts w:ascii="Arial" w:cs="Arial" w:eastAsia="Arial" w:hAnsi="Arial"/>
                <w:sz w:val="18"/>
                <w:szCs w:val="18"/>
                <w:color w:val="auto"/>
              </w:rPr>
              <w:t>Basic</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color w:val="auto"/>
                <w:w w:val="96"/>
              </w:rPr>
              <w:t>Weighted average common shares considered anti- dilutive in computing</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diluted earnings per share</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205,888</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356,717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12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Company provides various types of business process solutions utilizing operations management, analytics and technology. These services are provided in an integrated manner to clients in various industries. The chief operating decision maker (“CODM”) generally reviews financial information at the consolidated statement of income level disaggregated by our two segments: outsourcing services and transformation services, but does not review any information except for revenues and cost of revenues of these individual segments. Therefore, the Company does not allocate or evaluate operating expenses, interest expense or income, capital expenditures, and income taxes to its operating segments. Consequently, it is not practical to show assets, capital expenditures, depreciation or amortization by segment.</w:t>
      </w:r>
    </w:p>
    <w:p>
      <w:pPr>
        <w:spacing w:after="0" w:line="178" w:lineRule="exact"/>
        <w:rPr>
          <w:sz w:val="20"/>
          <w:szCs w:val="20"/>
          <w:color w:val="auto"/>
        </w:rPr>
      </w:pPr>
    </w:p>
    <w:p>
      <w:pPr>
        <w:ind w:right="1080" w:firstLine="456"/>
        <w:spacing w:after="0" w:line="277" w:lineRule="auto"/>
        <w:rPr>
          <w:sz w:val="20"/>
          <w:szCs w:val="20"/>
          <w:color w:val="auto"/>
        </w:rPr>
      </w:pPr>
      <w:r>
        <w:rPr>
          <w:rFonts w:ascii="Arial" w:cs="Arial" w:eastAsia="Arial" w:hAnsi="Arial"/>
          <w:sz w:val="18"/>
          <w:szCs w:val="18"/>
          <w:color w:val="auto"/>
        </w:rPr>
        <w:t>Revenues and cost of revenues for each of the three months ended March 31, 2014 and 2013 for the Company’s outsourcing services and transformation services segments, respectively,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7"/>
          </w:tcPr>
          <w:p>
            <w:pPr>
              <w:jc w:val="right"/>
              <w:ind w:right="312"/>
              <w:spacing w:after="0"/>
              <w:rPr>
                <w:sz w:val="20"/>
                <w:szCs w:val="20"/>
                <w:color w:val="auto"/>
              </w:rPr>
            </w:pPr>
            <w:r>
              <w:rPr>
                <w:rFonts w:ascii="Arial" w:cs="Arial" w:eastAsia="Arial" w:hAnsi="Arial"/>
                <w:sz w:val="14"/>
                <w:szCs w:val="14"/>
                <w:b w:val="1"/>
                <w:bCs w:val="1"/>
                <w:color w:val="auto"/>
              </w:rPr>
              <w:t>Three months ended March 31, 2014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jc w:val="right"/>
              <w:ind w:right="292"/>
              <w:spacing w:after="0"/>
              <w:rPr>
                <w:sz w:val="20"/>
                <w:szCs w:val="20"/>
                <w:color w:val="auto"/>
              </w:rPr>
            </w:pPr>
            <w:r>
              <w:rPr>
                <w:rFonts w:ascii="Arial" w:cs="Arial" w:eastAsia="Arial" w:hAnsi="Arial"/>
                <w:sz w:val="14"/>
                <w:szCs w:val="14"/>
                <w:b w:val="1"/>
                <w:bCs w:val="1"/>
                <w:color w:val="auto"/>
              </w:rPr>
              <w:t>Three months ended March 31, 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Outsourcing</w:t>
            </w:r>
          </w:p>
        </w:tc>
        <w:tc>
          <w:tcPr>
            <w:tcW w:w="12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Transformation</w:t>
            </w:r>
          </w:p>
        </w:tc>
        <w:tc>
          <w:tcPr>
            <w:tcW w:w="100" w:type="dxa"/>
            <w:vAlign w:val="bottom"/>
          </w:tcPr>
          <w:p>
            <w:pPr>
              <w:spacing w:after="0"/>
              <w:rPr>
                <w:sz w:val="10"/>
                <w:szCs w:val="10"/>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106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w w:val="95"/>
              </w:rPr>
              <w:t>Outsourcing</w:t>
            </w:r>
          </w:p>
        </w:tc>
        <w:tc>
          <w:tcPr>
            <w:tcW w:w="13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Transformation</w:t>
            </w:r>
          </w:p>
        </w:tc>
        <w:tc>
          <w:tcPr>
            <w:tcW w:w="80" w:type="dxa"/>
            <w:vAlign w:val="bottom"/>
          </w:tcPr>
          <w:p>
            <w:pPr>
              <w:spacing w:after="0"/>
              <w:rPr>
                <w:sz w:val="10"/>
                <w:szCs w:val="10"/>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100,091</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121,797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97,572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18,434</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116,006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5"/>
              </w:rPr>
              <w:t>Cost of revenues (exclusive of depreciation and amortization)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58,899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74,922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59,476</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13,437</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72,913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38,096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43,093</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4,465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details of the Company’s goodwill balance as of March 31,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Outsourcing</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Transformation</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Services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January 1, 2013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94,163</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6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$ 110,948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Currency translation adjustments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color w:val="auto"/>
              </w:rPr>
              <w:t>(3,291)</w:t>
            </w:r>
          </w:p>
        </w:tc>
        <w:tc>
          <w:tcPr>
            <w:tcW w:w="160" w:type="dxa"/>
            <w:vAlign w:val="bottom"/>
          </w:tcPr>
          <w:p>
            <w:pPr>
              <w:spacing w:after="0"/>
              <w:rPr>
                <w:sz w:val="18"/>
                <w:szCs w:val="18"/>
                <w:color w:val="auto"/>
              </w:rPr>
            </w:pPr>
          </w:p>
        </w:tc>
        <w:tc>
          <w:tcPr>
            <w:tcW w:w="14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Allocation on sale of a business unit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Balance at December 31, 2013</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90,622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16,785</w:t>
            </w:r>
          </w:p>
        </w:tc>
        <w:tc>
          <w:tcPr>
            <w:tcW w:w="6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$107,407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Balance at March 31, 2014</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91,431</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16,785</w:t>
            </w: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108,216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60" w:hanging="452"/>
        <w:spacing w:after="0" w:line="264" w:lineRule="auto"/>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Relates to the sale of a business unit during the year ended December 31, 2013. The net loss recognized from the sale of this business unit is $190 and is included under “other income/ (expense)” in the consolidated statements of income in the company’s annual report on Form 10-K for the year ended December 31, 2013.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intangible assets set forth below:</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As of March 31, 2014</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Gross</w:t>
            </w:r>
          </w:p>
        </w:tc>
        <w:tc>
          <w:tcPr>
            <w:tcW w:w="680" w:type="dxa"/>
            <w:vAlign w:val="bottom"/>
          </w:tcPr>
          <w:p>
            <w:pPr>
              <w:spacing w:after="0"/>
              <w:rPr>
                <w:sz w:val="10"/>
                <w:szCs w:val="10"/>
                <w:color w:val="auto"/>
              </w:rPr>
            </w:pPr>
          </w:p>
        </w:tc>
        <w:tc>
          <w:tcPr>
            <w:tcW w:w="15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Carrying</w:t>
            </w:r>
          </w:p>
        </w:tc>
        <w:tc>
          <w:tcPr>
            <w:tcW w:w="100" w:type="dxa"/>
            <w:vAlign w:val="bottom"/>
          </w:tcPr>
          <w:p>
            <w:pPr>
              <w:spacing w:after="0"/>
              <w:rPr>
                <w:sz w:val="10"/>
                <w:szCs w:val="10"/>
                <w:color w:val="auto"/>
              </w:rPr>
            </w:pPr>
          </w:p>
        </w:tc>
      </w:tr>
      <w:tr>
        <w:trPr>
          <w:trHeight w:val="171"/>
        </w:trPr>
        <w:tc>
          <w:tcPr>
            <w:tcW w:w="53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6"/>
              </w:rPr>
              <w:t>Carrying Amount</w:t>
            </w:r>
          </w:p>
        </w:tc>
        <w:tc>
          <w:tcPr>
            <w:tcW w:w="6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Amount</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38,642</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(13,302)</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Leasehold benefits</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3,077</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(1,572)</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1,505</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6,014</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(1,651)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4,363</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1,316</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3,322</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(1,887)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w:t>
            </w:r>
          </w:p>
        </w:tc>
      </w:tr>
      <w:tr>
        <w:trPr>
          <w:trHeight w:val="223"/>
        </w:trPr>
        <w:tc>
          <w:tcPr>
            <w:tcW w:w="5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52,371</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(19,728</w:t>
            </w:r>
          </w:p>
        </w:tc>
        <w:tc>
          <w:tcPr>
            <w:tcW w:w="720" w:type="dxa"/>
            <w:vAlign w:val="bottom"/>
          </w:tcPr>
          <w:p>
            <w:pPr>
              <w:jc w:val="right"/>
              <w:ind w:right="5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32,643</w:t>
            </w:r>
          </w:p>
        </w:tc>
        <w:tc>
          <w:tcPr>
            <w:tcW w:w="1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5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As of December 31, 2013</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5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Gross</w:t>
            </w:r>
          </w:p>
        </w:tc>
        <w:tc>
          <w:tcPr>
            <w:tcW w:w="680" w:type="dxa"/>
            <w:vAlign w:val="bottom"/>
          </w:tcPr>
          <w:p>
            <w:pPr>
              <w:spacing w:after="0"/>
              <w:rPr>
                <w:sz w:val="10"/>
                <w:szCs w:val="10"/>
                <w:color w:val="auto"/>
              </w:rPr>
            </w:pPr>
          </w:p>
        </w:tc>
        <w:tc>
          <w:tcPr>
            <w:tcW w:w="15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Carrying</w:t>
            </w:r>
          </w:p>
        </w:tc>
        <w:tc>
          <w:tcPr>
            <w:tcW w:w="100" w:type="dxa"/>
            <w:vAlign w:val="bottom"/>
          </w:tcPr>
          <w:p>
            <w:pPr>
              <w:spacing w:after="0"/>
              <w:rPr>
                <w:sz w:val="10"/>
                <w:szCs w:val="10"/>
                <w:color w:val="auto"/>
              </w:rPr>
            </w:pPr>
          </w:p>
        </w:tc>
      </w:tr>
      <w:tr>
        <w:trPr>
          <w:trHeight w:val="171"/>
        </w:trPr>
        <w:tc>
          <w:tcPr>
            <w:tcW w:w="53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6"/>
              </w:rPr>
              <w:t>Carrying Amount</w:t>
            </w:r>
          </w:p>
        </w:tc>
        <w:tc>
          <w:tcPr>
            <w:tcW w:w="6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Amount</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38,614</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(12,201)</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Leasehold benefits</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2,986</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1,531</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6,013</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4,555</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1,316</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3,322</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(1,706)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w:t>
            </w:r>
          </w:p>
        </w:tc>
      </w:tr>
      <w:tr>
        <w:trPr>
          <w:trHeight w:val="223"/>
        </w:trPr>
        <w:tc>
          <w:tcPr>
            <w:tcW w:w="5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52,251</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(18,136</w:t>
            </w:r>
          </w:p>
        </w:tc>
        <w:tc>
          <w:tcPr>
            <w:tcW w:w="720" w:type="dxa"/>
            <w:vAlign w:val="bottom"/>
          </w:tcPr>
          <w:p>
            <w:pPr>
              <w:jc w:val="right"/>
              <w:ind w:right="5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34,115</w:t>
            </w:r>
          </w:p>
        </w:tc>
        <w:tc>
          <w:tcPr>
            <w:tcW w:w="1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Amortization expense for the three months ended March 31, 2014 and 2013 was $1,536 and $1,634, respectively. The weighted average life of intangible assets was 8.8 years for customer relationships, 6.8 years for leasehold benefits, 8.0 years for developed technology, 1.5 years for non-compete agreements and 3.5 years for trade names and trademarks excluding indefinite life trade names and trademarks. The Company had $900 of indefinite life trade names and trademarks as of March 31, 2014 and December 31, 2013.</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88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6960" w:type="dxa"/>
            <w:vAlign w:val="bottom"/>
          </w:tcPr>
          <w:p>
            <w:pPr>
              <w:jc w:val="center"/>
              <w:ind w:left="710"/>
              <w:spacing w:after="0"/>
              <w:rPr>
                <w:sz w:val="20"/>
                <w:szCs w:val="20"/>
                <w:color w:val="auto"/>
              </w:rPr>
            </w:pPr>
            <w:r>
              <w:rPr>
                <w:rFonts w:ascii="Arial" w:cs="Arial" w:eastAsia="Arial" w:hAnsi="Arial"/>
                <w:sz w:val="18"/>
                <w:szCs w:val="18"/>
                <w:b w:val="1"/>
                <w:bCs w:val="1"/>
                <w:color w:val="auto"/>
              </w:rPr>
              <w:t>EXLSERVICE HOLDINGS, INC.</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960" w:type="dxa"/>
            <w:vAlign w:val="bottom"/>
          </w:tcPr>
          <w:p>
            <w:pPr>
              <w:jc w:val="center"/>
              <w:ind w:left="690"/>
              <w:spacing w:after="0"/>
              <w:rPr>
                <w:sz w:val="20"/>
                <w:szCs w:val="20"/>
                <w:color w:val="auto"/>
              </w:rPr>
            </w:pPr>
            <w:r>
              <w:rPr>
                <w:rFonts w:ascii="Arial" w:cs="Arial" w:eastAsia="Arial" w:hAnsi="Arial"/>
                <w:sz w:val="18"/>
                <w:szCs w:val="18"/>
                <w:b w:val="1"/>
                <w:bCs w:val="1"/>
                <w:color w:val="auto"/>
                <w:w w:val="98"/>
              </w:rPr>
              <w:t>NOTES TO CONSOLIDATED FINANCIAL STATEMENTS—(continued)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960" w:type="dxa"/>
            <w:vAlign w:val="bottom"/>
          </w:tcPr>
          <w:p>
            <w:pPr>
              <w:jc w:val="center"/>
              <w:ind w:left="690"/>
              <w:spacing w:after="0"/>
              <w:rPr>
                <w:sz w:val="20"/>
                <w:szCs w:val="20"/>
                <w:color w:val="auto"/>
              </w:rPr>
            </w:pPr>
            <w:r>
              <w:rPr>
                <w:rFonts w:ascii="Arial" w:cs="Arial" w:eastAsia="Arial" w:hAnsi="Arial"/>
                <w:sz w:val="18"/>
                <w:szCs w:val="18"/>
                <w:b w:val="1"/>
                <w:bCs w:val="1"/>
                <w:color w:val="auto"/>
                <w:w w:val="92"/>
              </w:rPr>
              <w:t>March 31, 2014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960" w:type="dxa"/>
            <w:vAlign w:val="bottom"/>
          </w:tcPr>
          <w:p>
            <w:pPr>
              <w:jc w:val="center"/>
              <w:ind w:left="690"/>
              <w:spacing w:after="0"/>
              <w:rPr>
                <w:sz w:val="20"/>
                <w:szCs w:val="20"/>
                <w:color w:val="auto"/>
              </w:rPr>
            </w:pPr>
            <w:r>
              <w:rPr>
                <w:rFonts w:ascii="Arial" w:cs="Arial" w:eastAsia="Arial" w:hAnsi="Arial"/>
                <w:sz w:val="18"/>
                <w:szCs w:val="18"/>
                <w:b w:val="1"/>
                <w:bCs w:val="1"/>
                <w:color w:val="auto"/>
                <w:w w:val="93"/>
              </w:rPr>
              <w:t>(Unaudited)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960" w:type="dxa"/>
            <w:vAlign w:val="bottom"/>
          </w:tcPr>
          <w:p>
            <w:pPr>
              <w:jc w:val="center"/>
              <w:ind w:left="71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360" w:type="dxa"/>
            <w:vAlign w:val="bottom"/>
            <w:vMerge w:val="restart"/>
          </w:tcPr>
          <w:p>
            <w:pPr>
              <w:spacing w:after="0"/>
              <w:rPr>
                <w:sz w:val="12"/>
                <w:szCs w:val="12"/>
                <w:color w:val="auto"/>
              </w:rPr>
            </w:pPr>
          </w:p>
        </w:tc>
        <w:tc>
          <w:tcPr>
            <w:tcW w:w="480" w:type="dxa"/>
            <w:vAlign w:val="bottom"/>
            <w:vMerge w:val="restart"/>
          </w:tcPr>
          <w:p>
            <w:pPr>
              <w:spacing w:after="0"/>
              <w:rPr>
                <w:sz w:val="12"/>
                <w:szCs w:val="12"/>
                <w:color w:val="auto"/>
              </w:rPr>
            </w:pPr>
          </w:p>
        </w:tc>
        <w:tc>
          <w:tcPr>
            <w:tcW w:w="6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amortization of intangible assets during the year ending March 31,</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2015</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$5,655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2017</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$5,551</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$5,490</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2019</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bl>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following table sets forth the Company’s assets and liabilities that were accounted for at fair value on a recurring basis as of March 31, 2014 and December 31, 2013. The table excludes short-term investments, accounts receivable, accounts payable and accrued expenses for which fair values approximate their carrying amounts.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As of March 31, 2014</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8"/>
              </w:rPr>
              <w:t>Level 3</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95,787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5"/>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95,787</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6"/>
              </w:rPr>
              <w:t>$ —</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2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6,506</w:t>
            </w:r>
          </w:p>
        </w:tc>
        <w:tc>
          <w:tcPr>
            <w:tcW w:w="200" w:type="dxa"/>
            <w:vAlign w:val="bottom"/>
          </w:tcPr>
          <w:p>
            <w:pPr>
              <w:spacing w:after="0"/>
              <w:rPr>
                <w:sz w:val="18"/>
                <w:szCs w:val="18"/>
                <w:color w:val="auto"/>
              </w:rPr>
            </w:pPr>
          </w:p>
        </w:tc>
        <w:tc>
          <w:tcPr>
            <w:tcW w:w="640" w:type="dxa"/>
            <w:vAlign w:val="bottom"/>
            <w:gridSpan w:val="2"/>
          </w:tcPr>
          <w:p>
            <w:pPr>
              <w:jc w:val="right"/>
              <w:ind w:right="15"/>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6,506</w:t>
            </w:r>
          </w:p>
        </w:tc>
        <w:tc>
          <w:tcPr>
            <w:tcW w:w="0" w:type="dxa"/>
            <w:vAlign w:val="bottom"/>
          </w:tcPr>
          <w:p>
            <w:pPr>
              <w:spacing w:after="0"/>
              <w:rPr>
                <w:sz w:val="1"/>
                <w:szCs w:val="1"/>
                <w:color w:val="auto"/>
              </w:rPr>
            </w:pPr>
          </w:p>
        </w:tc>
      </w:tr>
      <w:tr>
        <w:trPr>
          <w:trHeight w:val="20"/>
        </w:trPr>
        <w:tc>
          <w:tcPr>
            <w:tcW w:w="46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2013</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8"/>
              </w:rPr>
              <w:t>Level 3</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116,662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5"/>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116,662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957</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116,662</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6"/>
              </w:rPr>
              <w:t>$ —</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117,619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13,295</w:t>
            </w:r>
          </w:p>
        </w:tc>
        <w:tc>
          <w:tcPr>
            <w:tcW w:w="200" w:type="dxa"/>
            <w:vAlign w:val="bottom"/>
          </w:tcPr>
          <w:p>
            <w:pPr>
              <w:spacing w:after="0"/>
              <w:rPr>
                <w:sz w:val="18"/>
                <w:szCs w:val="18"/>
                <w:color w:val="auto"/>
              </w:rPr>
            </w:pPr>
          </w:p>
        </w:tc>
        <w:tc>
          <w:tcPr>
            <w:tcW w:w="4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13,295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13,295</w:t>
            </w:r>
          </w:p>
        </w:tc>
        <w:tc>
          <w:tcPr>
            <w:tcW w:w="6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The Company’s derivative financial instruments consist of foreign currency forward exchange contracts. Fair values</w:t>
      </w:r>
      <w:r>
        <w:rPr>
          <w:rFonts w:ascii="Arial" w:cs="Arial" w:eastAsia="Arial" w:hAnsi="Arial"/>
          <w:sz w:val="18"/>
          <w:szCs w:val="18"/>
          <w:i w:val="1"/>
          <w:iCs w:val="1"/>
          <w:color w:val="auto"/>
        </w:rPr>
        <w:t xml:space="preserve"> </w:t>
      </w:r>
      <w:r>
        <w:rPr>
          <w:rFonts w:ascii="Arial" w:cs="Arial" w:eastAsia="Arial" w:hAnsi="Arial"/>
          <w:sz w:val="18"/>
          <w:szCs w:val="18"/>
          <w:color w:val="auto"/>
        </w:rPr>
        <w:t>for derivative financial instruments are based on independent sources including highly rated financial institutions and are classified as Level 2. See Note 7 for further details on Derivatives and Hedge Accounting.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 rates. The Company’s derivative financial instruments are largely forward foreign exchange contracts that are designated effective and that qualify as cash flow hedges under ASC topic 815, “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 (ASC No. 815). The Company also uses derivatives consisting of foreign currency exchange contracts not designated as hedging instruments under ASC No. 815 to hedge intercompany balances and other monetary assets or liabilities denominated in currencies other than the functional currencies of various subsidiaries of the Company (“fair value hedges”). The Company’s primary exchange rate exposure is with the Indian Rupee, the U.K. pound sterling and the Philippine peso. The Company also has exposure in Czech koruna and other local currencies in which it operates.</w:t>
      </w:r>
    </w:p>
    <w:p>
      <w:pPr>
        <w:spacing w:after="0" w:line="192" w:lineRule="exact"/>
        <w:rPr>
          <w:sz w:val="20"/>
          <w:szCs w:val="20"/>
          <w:color w:val="auto"/>
        </w:rPr>
      </w:pPr>
    </w:p>
    <w:p>
      <w:pPr>
        <w:jc w:val="both"/>
        <w:ind w:right="220" w:firstLine="456"/>
        <w:spacing w:after="0" w:line="279" w:lineRule="auto"/>
        <w:rPr>
          <w:sz w:val="20"/>
          <w:szCs w:val="20"/>
          <w:color w:val="auto"/>
        </w:rPr>
      </w:pPr>
      <w:r>
        <w:rPr>
          <w:rFonts w:ascii="Arial" w:cs="Arial" w:eastAsia="Arial" w:hAnsi="Arial"/>
          <w:sz w:val="17"/>
          <w:szCs w:val="17"/>
          <w:color w:val="auto"/>
        </w:rPr>
        <w:t>The Company had outstanding foreign exchange contracts totaling $258,056 and GBP 14,456 as of March 31, 2014 and totaling $262,085 and GBP 10,973 as of December 31, 2013. The Company estimates that approximately $2,758 of net derivative losses included in accumulated other comprehensive loss (“AOCI”) could be reclassified into earnings within the next twelve months based on exchange rates prevailing as of March 31, 2014. As of March 31, 2014, the maximum outstanding term of derivative instruments that hedge forecasted transactions was forty-five months.</w:t>
      </w:r>
    </w:p>
    <w:p>
      <w:pPr>
        <w:sectPr>
          <w:pgSz w:w="11900" w:h="16838" w:orient="portrait"/>
          <w:cols w:equalWidth="0" w:num="1">
            <w:col w:w="11420"/>
          </w:cols>
          <w:pgMar w:left="240" w:top="446" w:right="239"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46"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evaluates the hedge effectiveness at the time a contract is entered into as well as on an ongoing basis. If during this time a contract is deemed ineffective, the change in the fair value is recorded in the unaudited consolidated statements of income and is included in foreign exchange gain or loss. For hedging positions that are discontinued because the forecasted transaction is not expected to occur by the end of the originally specified period, any related derivative amounts recorded in equity are reclassified to earnings. No such significant amounts of gains or losses were reclassified from AOCI into earnings during the three months ended March 31, 2014 and 2013.</w:t>
      </w:r>
    </w:p>
    <w:p>
      <w:pPr>
        <w:spacing w:after="0" w:line="18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following tables set forth the fair value of the foreign currency exchange contracts and their location on the unaudited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tcPr>
          <w:p>
            <w:pPr>
              <w:ind w:left="500"/>
              <w:spacing w:after="0"/>
              <w:rPr>
                <w:sz w:val="20"/>
                <w:szCs w:val="20"/>
                <w:color w:val="auto"/>
              </w:rPr>
            </w:pPr>
            <w:r>
              <w:rPr>
                <w:rFonts w:ascii="Arial" w:cs="Arial" w:eastAsia="Arial" w:hAnsi="Arial"/>
                <w:sz w:val="14"/>
                <w:szCs w:val="14"/>
                <w:b w:val="1"/>
                <w:bCs w:val="1"/>
                <w:color w:val="auto"/>
                <w:w w:val="92"/>
              </w:rPr>
              <w:t>March 31,</w:t>
            </w:r>
          </w:p>
        </w:tc>
        <w:tc>
          <w:tcPr>
            <w:tcW w:w="180" w:type="dxa"/>
            <w:vAlign w:val="bottom"/>
          </w:tcPr>
          <w:p>
            <w:pPr>
              <w:spacing w:after="0"/>
              <w:rPr>
                <w:sz w:val="14"/>
                <w:szCs w:val="14"/>
                <w:color w:val="auto"/>
              </w:rPr>
            </w:pPr>
          </w:p>
        </w:tc>
        <w:tc>
          <w:tcPr>
            <w:tcW w:w="1400" w:type="dxa"/>
            <w:vAlign w:val="bottom"/>
            <w:gridSpan w:val="6"/>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38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346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1380" w:type="dxa"/>
            <w:vAlign w:val="bottom"/>
          </w:tcPr>
          <w:p>
            <w:pPr>
              <w:spacing w:after="0"/>
              <w:rPr>
                <w:sz w:val="17"/>
                <w:szCs w:val="17"/>
                <w:color w:val="auto"/>
              </w:rPr>
            </w:pPr>
          </w:p>
        </w:tc>
        <w:tc>
          <w:tcPr>
            <w:tcW w:w="3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80" w:type="dxa"/>
            <w:vAlign w:val="bottom"/>
          </w:tcPr>
          <w:p>
            <w:pPr>
              <w:spacing w:after="0"/>
              <w:rPr>
                <w:sz w:val="18"/>
                <w:szCs w:val="18"/>
                <w:color w:val="auto"/>
              </w:rPr>
            </w:pPr>
          </w:p>
        </w:tc>
        <w:tc>
          <w:tcPr>
            <w:tcW w:w="3920" w:type="dxa"/>
            <w:vAlign w:val="bottom"/>
            <w:gridSpan w:val="2"/>
          </w:tcPr>
          <w:p>
            <w:pPr>
              <w:ind w:left="360"/>
              <w:spacing w:after="0"/>
              <w:rPr>
                <w:sz w:val="20"/>
                <w:szCs w:val="20"/>
                <w:color w:val="auto"/>
              </w:rPr>
            </w:pPr>
            <w:r>
              <w:rPr>
                <w:rFonts w:ascii="Arial" w:cs="Arial" w:eastAsia="Arial" w:hAnsi="Arial"/>
                <w:sz w:val="18"/>
                <w:szCs w:val="18"/>
                <w:color w:val="auto"/>
              </w:rPr>
              <w:t>Foreign currency exchange contracts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1,412</w:t>
            </w:r>
          </w:p>
        </w:tc>
        <w:tc>
          <w:tcPr>
            <w:tcW w:w="7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920" w:type="dxa"/>
            <w:vAlign w:val="bottom"/>
            <w:gridSpan w:val="2"/>
          </w:tcPr>
          <w:p>
            <w:pPr>
              <w:ind w:left="360"/>
              <w:spacing w:after="0"/>
              <w:rPr>
                <w:sz w:val="20"/>
                <w:szCs w:val="20"/>
                <w:color w:val="auto"/>
              </w:rPr>
            </w:pPr>
            <w:r>
              <w:rPr>
                <w:rFonts w:ascii="Arial" w:cs="Arial" w:eastAsia="Arial" w:hAnsi="Arial"/>
                <w:sz w:val="18"/>
                <w:szCs w:val="18"/>
                <w:color w:val="auto"/>
              </w:rPr>
              <w:t>Foreign currency exchange contracts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1,923</w:t>
            </w:r>
          </w:p>
        </w:tc>
        <w:tc>
          <w:tcPr>
            <w:tcW w:w="7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Accrued expenses and other current liabilities: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920" w:type="dxa"/>
            <w:vAlign w:val="bottom"/>
            <w:gridSpan w:val="2"/>
          </w:tcPr>
          <w:p>
            <w:pPr>
              <w:ind w:left="360"/>
              <w:spacing w:after="0"/>
              <w:rPr>
                <w:sz w:val="20"/>
                <w:szCs w:val="20"/>
                <w:color w:val="auto"/>
              </w:rPr>
            </w:pPr>
            <w:r>
              <w:rPr>
                <w:rFonts w:ascii="Arial" w:cs="Arial" w:eastAsia="Arial" w:hAnsi="Arial"/>
                <w:sz w:val="18"/>
                <w:szCs w:val="18"/>
                <w:color w:val="auto"/>
              </w:rPr>
              <w:t>Foreign currency exchange contracts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4,170</w:t>
            </w:r>
          </w:p>
        </w:tc>
        <w:tc>
          <w:tcPr>
            <w:tcW w:w="7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7,689</w:t>
            </w: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non-current liabilities: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3920" w:type="dxa"/>
            <w:vAlign w:val="bottom"/>
            <w:gridSpan w:val="2"/>
          </w:tcPr>
          <w:p>
            <w:pPr>
              <w:ind w:left="360"/>
              <w:spacing w:after="0"/>
              <w:rPr>
                <w:sz w:val="20"/>
                <w:szCs w:val="20"/>
                <w:color w:val="auto"/>
              </w:rPr>
            </w:pPr>
            <w:r>
              <w:rPr>
                <w:rFonts w:ascii="Arial" w:cs="Arial" w:eastAsia="Arial" w:hAnsi="Arial"/>
                <w:sz w:val="18"/>
                <w:szCs w:val="18"/>
                <w:color w:val="auto"/>
              </w:rPr>
              <w:t>Foreign currency exchange contracts</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2,336</w:t>
            </w:r>
          </w:p>
        </w:tc>
        <w:tc>
          <w:tcPr>
            <w:tcW w:w="7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5,606</w:t>
            </w:r>
          </w:p>
        </w:tc>
        <w:tc>
          <w:tcPr>
            <w:tcW w:w="100" w:type="dxa"/>
            <w:vAlign w:val="bottom"/>
          </w:tcPr>
          <w:p>
            <w:pPr>
              <w:spacing w:after="0"/>
              <w:rPr>
                <w:sz w:val="20"/>
                <w:szCs w:val="20"/>
                <w:color w:val="auto"/>
              </w:rPr>
            </w:pPr>
          </w:p>
        </w:tc>
      </w:tr>
      <w:tr>
        <w:trPr>
          <w:trHeight w:val="526"/>
        </w:trPr>
        <w:tc>
          <w:tcPr>
            <w:tcW w:w="53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680" w:type="dxa"/>
            <w:vAlign w:val="bottom"/>
            <w:gridSpan w:val="5"/>
          </w:tcPr>
          <w:p>
            <w:pPr>
              <w:ind w:left="1920"/>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24"/>
                <w:szCs w:val="24"/>
                <w:color w:val="auto"/>
              </w:rPr>
            </w:pPr>
          </w:p>
        </w:tc>
        <w:tc>
          <w:tcPr>
            <w:tcW w:w="1580" w:type="dxa"/>
            <w:vAlign w:val="bottom"/>
            <w:gridSpan w:val="7"/>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19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206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86"/>
              </w:rPr>
              <w:t>262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0"/>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40" w:type="dxa"/>
            <w:vAlign w:val="bottom"/>
          </w:tcPr>
          <w:p>
            <w:pPr>
              <w:jc w:val="right"/>
              <w:ind w:right="1356"/>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months ended March 31, 2014 and 2013:</w:t>
      </w:r>
    </w:p>
    <w:p>
      <w:pPr>
        <w:sectPr>
          <w:pgSz w:w="11900" w:h="16838" w:orient="portrait"/>
          <w:cols w:equalWidth="0" w:num="1">
            <w:col w:w="11320"/>
          </w:cols>
          <w:pgMar w:left="24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Derivatives</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in Cash Flow</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5"/>
          </w:tcPr>
          <w:p>
            <w:pPr>
              <w:ind w:left="80"/>
              <w:spacing w:after="0"/>
              <w:rPr>
                <w:sz w:val="20"/>
                <w:szCs w:val="20"/>
                <w:color w:val="auto"/>
              </w:rPr>
            </w:pPr>
            <w:r>
              <w:rPr>
                <w:rFonts w:ascii="Arial" w:cs="Arial" w:eastAsia="Arial" w:hAnsi="Arial"/>
                <w:sz w:val="14"/>
                <w:szCs w:val="14"/>
                <w:b w:val="1"/>
                <w:bCs w:val="1"/>
                <w:color w:val="auto"/>
              </w:rPr>
              <w:t>Amount of Gain/(Loss)</w:t>
            </w:r>
          </w:p>
        </w:tc>
        <w:tc>
          <w:tcPr>
            <w:tcW w:w="0" w:type="dxa"/>
            <w:vAlign w:val="bottom"/>
          </w:tcPr>
          <w:p>
            <w:pPr>
              <w:spacing w:after="0"/>
              <w:rPr>
                <w:sz w:val="1"/>
                <w:szCs w:val="1"/>
                <w:color w:val="auto"/>
              </w:rPr>
            </w:pPr>
          </w:p>
        </w:tc>
      </w:tr>
      <w:tr>
        <w:trPr>
          <w:trHeight w:val="149"/>
        </w:trPr>
        <w:tc>
          <w:tcPr>
            <w:tcW w:w="1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Hedging</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Recognized in AOCI on</w:t>
            </w:r>
          </w:p>
        </w:tc>
        <w:tc>
          <w:tcPr>
            <w:tcW w:w="0" w:type="dxa"/>
            <w:vAlign w:val="bottom"/>
          </w:tcPr>
          <w:p>
            <w:pPr>
              <w:spacing w:after="0"/>
              <w:rPr>
                <w:sz w:val="1"/>
                <w:szCs w:val="1"/>
                <w:color w:val="auto"/>
              </w:rPr>
            </w:pPr>
          </w:p>
        </w:tc>
      </w:tr>
      <w:tr>
        <w:trPr>
          <w:trHeight w:val="149"/>
        </w:trPr>
        <w:tc>
          <w:tcPr>
            <w:tcW w:w="1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Relationships</w:t>
            </w:r>
          </w:p>
        </w:tc>
        <w:tc>
          <w:tcPr>
            <w:tcW w:w="380" w:type="dxa"/>
            <w:vAlign w:val="bottom"/>
          </w:tcPr>
          <w:p>
            <w:pPr>
              <w:spacing w:after="0"/>
              <w:rPr>
                <w:sz w:val="12"/>
                <w:szCs w:val="12"/>
                <w:color w:val="auto"/>
              </w:rPr>
            </w:pPr>
          </w:p>
        </w:tc>
        <w:tc>
          <w:tcPr>
            <w:tcW w:w="1900" w:type="dxa"/>
            <w:vAlign w:val="bottom"/>
            <w:gridSpan w:val="6"/>
          </w:tcPr>
          <w:p>
            <w:pPr>
              <w:ind w:left="40"/>
              <w:spacing w:after="0" w:line="129" w:lineRule="exact"/>
              <w:rPr>
                <w:sz w:val="20"/>
                <w:szCs w:val="20"/>
                <w:color w:val="auto"/>
              </w:rPr>
            </w:pPr>
            <w:r>
              <w:rPr>
                <w:rFonts w:ascii="Arial" w:cs="Arial" w:eastAsia="Arial" w:hAnsi="Arial"/>
                <w:sz w:val="14"/>
                <w:szCs w:val="14"/>
                <w:b w:val="1"/>
                <w:bCs w:val="1"/>
                <w:color w:val="auto"/>
                <w:w w:val="96"/>
              </w:rPr>
              <w:t>Derivative (Effective Portion)</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700" w:type="dxa"/>
            <w:vAlign w:val="bottom"/>
            <w:gridSpan w:val="2"/>
            <w:vMerge w:val="restart"/>
          </w:tcPr>
          <w:p>
            <w:pPr>
              <w:spacing w:after="0"/>
              <w:rPr>
                <w:sz w:val="20"/>
                <w:szCs w:val="20"/>
                <w:color w:val="auto"/>
              </w:rPr>
            </w:pPr>
            <w:r>
              <w:rPr>
                <w:rFonts w:ascii="Arial" w:cs="Arial" w:eastAsia="Arial" w:hAnsi="Arial"/>
                <w:sz w:val="18"/>
                <w:szCs w:val="18"/>
                <w:color w:val="auto"/>
              </w:rPr>
              <w:t>Foreign exchange</w:t>
            </w:r>
          </w:p>
        </w:tc>
        <w:tc>
          <w:tcPr>
            <w:tcW w:w="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9"/>
              <w:spacing w:after="0" w:line="129"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7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7,010</w:t>
            </w:r>
          </w:p>
        </w:tc>
        <w:tc>
          <w:tcPr>
            <w:tcW w:w="32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2,073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contracts</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Derivatives not designated</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4"/>
          <w:szCs w:val="14"/>
          <w:b w:val="1"/>
          <w:bCs w:val="1"/>
          <w:u w:val="single" w:color="auto"/>
          <w:color w:val="auto"/>
        </w:rPr>
        <w:t>as Hedging Instruments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Foreign exchange contracts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Fixed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assets consist of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Location of</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Gain/(Loss)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Reclassified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from AOCI into</w:t>
            </w:r>
          </w:p>
        </w:tc>
        <w:tc>
          <w:tcPr>
            <w:tcW w:w="160" w:type="dxa"/>
            <w:vAlign w:val="bottom"/>
          </w:tcPr>
          <w:p>
            <w:pPr>
              <w:spacing w:after="0"/>
              <w:rPr>
                <w:sz w:val="16"/>
                <w:szCs w:val="16"/>
                <w:color w:val="auto"/>
              </w:rPr>
            </w:pPr>
          </w:p>
        </w:tc>
        <w:tc>
          <w:tcPr>
            <w:tcW w:w="16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1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2"/>
                <w:szCs w:val="12"/>
                <w:color w:val="auto"/>
              </w:rPr>
            </w:pPr>
          </w:p>
        </w:tc>
        <w:tc>
          <w:tcPr>
            <w:tcW w:w="16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Gain/(Loss) Reclassified</w:t>
            </w:r>
          </w:p>
        </w:tc>
        <w:tc>
          <w:tcPr>
            <w:tcW w:w="0" w:type="dxa"/>
            <w:vAlign w:val="bottom"/>
          </w:tcPr>
          <w:p>
            <w:pPr>
              <w:spacing w:after="0"/>
              <w:rPr>
                <w:sz w:val="1"/>
                <w:szCs w:val="1"/>
                <w:color w:val="auto"/>
              </w:rPr>
            </w:pPr>
          </w:p>
        </w:tc>
      </w:tr>
      <w:tr>
        <w:trPr>
          <w:trHeight w:val="149"/>
        </w:trPr>
        <w:tc>
          <w:tcPr>
            <w:tcW w:w="1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(Effective</w:t>
            </w:r>
          </w:p>
        </w:tc>
        <w:tc>
          <w:tcPr>
            <w:tcW w:w="160" w:type="dxa"/>
            <w:vAlign w:val="bottom"/>
          </w:tcPr>
          <w:p>
            <w:pPr>
              <w:spacing w:after="0"/>
              <w:rPr>
                <w:sz w:val="12"/>
                <w:szCs w:val="12"/>
                <w:color w:val="auto"/>
              </w:rPr>
            </w:pPr>
          </w:p>
        </w:tc>
        <w:tc>
          <w:tcPr>
            <w:tcW w:w="16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7"/>
              </w:rPr>
              <w:t>from AOCI into Income</w:t>
            </w:r>
          </w:p>
        </w:tc>
        <w:tc>
          <w:tcPr>
            <w:tcW w:w="0" w:type="dxa"/>
            <w:vAlign w:val="bottom"/>
          </w:tcPr>
          <w:p>
            <w:pPr>
              <w:spacing w:after="0"/>
              <w:rPr>
                <w:sz w:val="1"/>
                <w:szCs w:val="1"/>
                <w:color w:val="auto"/>
              </w:rPr>
            </w:pPr>
          </w:p>
        </w:tc>
      </w:tr>
      <w:tr>
        <w:trPr>
          <w:trHeight w:val="149"/>
        </w:trPr>
        <w:tc>
          <w:tcPr>
            <w:tcW w:w="1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Portion)</w:t>
            </w:r>
          </w:p>
        </w:tc>
        <w:tc>
          <w:tcPr>
            <w:tcW w:w="160" w:type="dxa"/>
            <w:vAlign w:val="bottom"/>
          </w:tcPr>
          <w:p>
            <w:pPr>
              <w:spacing w:after="0"/>
              <w:rPr>
                <w:sz w:val="12"/>
                <w:szCs w:val="12"/>
                <w:color w:val="auto"/>
              </w:rPr>
            </w:pPr>
          </w:p>
        </w:tc>
        <w:tc>
          <w:tcPr>
            <w:tcW w:w="166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94"/>
              </w:rPr>
              <w:t>(Effective Portion)</w:t>
            </w:r>
          </w:p>
        </w:tc>
        <w:tc>
          <w:tcPr>
            <w:tcW w:w="0" w:type="dxa"/>
            <w:vAlign w:val="bottom"/>
          </w:tcPr>
          <w:p>
            <w:pPr>
              <w:spacing w:after="0"/>
              <w:rPr>
                <w:sz w:val="1"/>
                <w:szCs w:val="1"/>
                <w:color w:val="auto"/>
              </w:rPr>
            </w:pPr>
          </w:p>
        </w:tc>
      </w:tr>
      <w:tr>
        <w:trPr>
          <w:trHeight w:val="20"/>
        </w:trPr>
        <w:tc>
          <w:tcPr>
            <w:tcW w:w="98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660" w:type="dxa"/>
            <w:vAlign w:val="bottom"/>
          </w:tcPr>
          <w:p>
            <w:pPr>
              <w:jc w:val="right"/>
              <w:ind w:right="105"/>
              <w:spacing w:after="0" w:line="129" w:lineRule="exact"/>
              <w:rPr>
                <w:sz w:val="20"/>
                <w:szCs w:val="20"/>
                <w:color w:val="auto"/>
              </w:rPr>
            </w:pPr>
            <w:r>
              <w:rPr>
                <w:rFonts w:ascii="Arial" w:cs="Arial" w:eastAsia="Arial" w:hAnsi="Arial"/>
                <w:sz w:val="14"/>
                <w:szCs w:val="14"/>
                <w:b w:val="1"/>
                <w:bCs w:val="1"/>
                <w:color w:val="auto"/>
              </w:rPr>
              <w:t>2014</w:t>
            </w:r>
          </w:p>
        </w:tc>
        <w:tc>
          <w:tcPr>
            <w:tcW w:w="160" w:type="dxa"/>
            <w:vAlign w:val="bottom"/>
            <w:vMerge w:val="restart"/>
          </w:tcPr>
          <w:p>
            <w:pPr>
              <w:jc w:val="right"/>
              <w:ind w:right="20"/>
              <w:spacing w:after="0"/>
              <w:rPr>
                <w:sz w:val="20"/>
                <w:szCs w:val="20"/>
                <w:color w:val="auto"/>
              </w:rPr>
            </w:pPr>
            <w:r>
              <w:rPr>
                <w:rFonts w:ascii="Arial" w:cs="Arial" w:eastAsia="Arial" w:hAnsi="Arial"/>
                <w:sz w:val="16"/>
                <w:szCs w:val="16"/>
                <w:color w:val="auto"/>
                <w:w w:val="74"/>
              </w:rPr>
              <w:t>)</w:t>
            </w:r>
          </w:p>
        </w:tc>
        <w:tc>
          <w:tcPr>
            <w:tcW w:w="780" w:type="dxa"/>
            <w:vAlign w:val="bottom"/>
            <w:gridSpan w:val="2"/>
          </w:tcPr>
          <w:p>
            <w:pPr>
              <w:jc w:val="right"/>
              <w:ind w:right="90"/>
              <w:spacing w:after="0" w:line="129" w:lineRule="exact"/>
              <w:rPr>
                <w:sz w:val="20"/>
                <w:szCs w:val="20"/>
                <w:color w:val="auto"/>
              </w:rPr>
            </w:pPr>
            <w:r>
              <w:rPr>
                <w:rFonts w:ascii="Arial" w:cs="Arial" w:eastAsia="Arial" w:hAnsi="Arial"/>
                <w:sz w:val="14"/>
                <w:szCs w:val="14"/>
                <w:b w:val="1"/>
                <w:bCs w:val="1"/>
                <w:color w:val="auto"/>
              </w:rPr>
              <w:t>2013</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1760" w:type="dxa"/>
            <w:vAlign w:val="bottom"/>
            <w:gridSpan w:val="2"/>
            <w:vMerge w:val="restart"/>
          </w:tcPr>
          <w:p>
            <w:pPr>
              <w:spacing w:after="0"/>
              <w:rPr>
                <w:sz w:val="20"/>
                <w:szCs w:val="20"/>
                <w:color w:val="auto"/>
              </w:rPr>
            </w:pPr>
            <w:r>
              <w:rPr>
                <w:rFonts w:ascii="Arial" w:cs="Arial" w:eastAsia="Arial" w:hAnsi="Arial"/>
                <w:sz w:val="18"/>
                <w:szCs w:val="18"/>
                <w:color w:val="auto"/>
                <w:w w:val="96"/>
              </w:rPr>
              <w:t>Foreign exchange loss</w:t>
            </w: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 (2,254</w:t>
            </w:r>
          </w:p>
        </w:tc>
        <w:tc>
          <w:tcPr>
            <w:tcW w:w="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 (1,354</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-273685</wp:posOffset>
            </wp:positionV>
            <wp:extent cx="72466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640" w:right="660"/>
        <w:spacing w:after="0" w:line="291" w:lineRule="auto"/>
        <w:rPr>
          <w:sz w:val="20"/>
          <w:szCs w:val="20"/>
          <w:color w:val="auto"/>
        </w:rPr>
      </w:pPr>
      <w:r>
        <w:rPr>
          <w:rFonts w:ascii="Arial" w:cs="Arial" w:eastAsia="Arial" w:hAnsi="Arial"/>
          <w:sz w:val="12"/>
          <w:szCs w:val="12"/>
          <w:b w:val="1"/>
          <w:bCs w:val="1"/>
          <w:color w:val="auto"/>
        </w:rPr>
        <w:t xml:space="preserve">Location of Gain or (Loss) </w:t>
      </w:r>
      <w:r>
        <w:rPr>
          <w:rFonts w:ascii="Arial" w:cs="Arial" w:eastAsia="Arial" w:hAnsi="Arial"/>
          <w:sz w:val="12"/>
          <w:szCs w:val="12"/>
          <w:b w:val="1"/>
          <w:bCs w:val="1"/>
          <w:u w:val="single" w:color="auto"/>
          <w:color w:val="auto"/>
        </w:rPr>
        <w:t>Recognized in Income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0</wp:posOffset>
            </wp:positionV>
            <wp:extent cx="608012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Foreign exchange loss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Location of</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Gain/(Loss)</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Recognized in</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Income on</w:t>
            </w:r>
          </w:p>
        </w:tc>
        <w:tc>
          <w:tcPr>
            <w:tcW w:w="14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1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Derivative</w:t>
            </w:r>
          </w:p>
        </w:tc>
        <w:tc>
          <w:tcPr>
            <w:tcW w:w="14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1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(Ineffective</w:t>
            </w:r>
          </w:p>
        </w:tc>
        <w:tc>
          <w:tcPr>
            <w:tcW w:w="14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1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Portion and</w:t>
            </w:r>
          </w:p>
        </w:tc>
        <w:tc>
          <w:tcPr>
            <w:tcW w:w="14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49"/>
        </w:trPr>
        <w:tc>
          <w:tcPr>
            <w:tcW w:w="1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149"/>
        </w:trPr>
        <w:tc>
          <w:tcPr>
            <w:tcW w:w="1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Excluded from</w:t>
            </w:r>
          </w:p>
        </w:tc>
        <w:tc>
          <w:tcPr>
            <w:tcW w:w="14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and Amount</w:t>
            </w:r>
          </w:p>
        </w:tc>
        <w:tc>
          <w:tcPr>
            <w:tcW w:w="0" w:type="dxa"/>
            <w:vAlign w:val="bottom"/>
          </w:tcPr>
          <w:p>
            <w:pPr>
              <w:spacing w:after="0"/>
              <w:rPr>
                <w:sz w:val="1"/>
                <w:szCs w:val="1"/>
                <w:color w:val="auto"/>
              </w:rPr>
            </w:pPr>
          </w:p>
        </w:tc>
      </w:tr>
      <w:tr>
        <w:trPr>
          <w:trHeight w:val="149"/>
        </w:trPr>
        <w:tc>
          <w:tcPr>
            <w:tcW w:w="1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Effectiveness</w:t>
            </w:r>
          </w:p>
        </w:tc>
        <w:tc>
          <w:tcPr>
            <w:tcW w:w="14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Excluded from</w:t>
            </w:r>
          </w:p>
        </w:tc>
        <w:tc>
          <w:tcPr>
            <w:tcW w:w="0" w:type="dxa"/>
            <w:vAlign w:val="bottom"/>
          </w:tcPr>
          <w:p>
            <w:pPr>
              <w:spacing w:after="0"/>
              <w:rPr>
                <w:sz w:val="1"/>
                <w:szCs w:val="1"/>
                <w:color w:val="auto"/>
              </w:rPr>
            </w:pPr>
          </w:p>
        </w:tc>
      </w:tr>
      <w:tr>
        <w:trPr>
          <w:trHeight w:val="149"/>
        </w:trPr>
        <w:tc>
          <w:tcPr>
            <w:tcW w:w="1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Testing)</w:t>
            </w:r>
          </w:p>
        </w:tc>
        <w:tc>
          <w:tcPr>
            <w:tcW w:w="140" w:type="dxa"/>
            <w:vAlign w:val="bottom"/>
          </w:tcPr>
          <w:p>
            <w:pPr>
              <w:spacing w:after="0"/>
              <w:rPr>
                <w:sz w:val="12"/>
                <w:szCs w:val="12"/>
                <w:color w:val="auto"/>
              </w:rPr>
            </w:pPr>
          </w:p>
        </w:tc>
        <w:tc>
          <w:tcPr>
            <w:tcW w:w="13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8"/>
              </w:rPr>
              <w:t>Effectiveness Testing)</w:t>
            </w:r>
          </w:p>
        </w:tc>
        <w:tc>
          <w:tcPr>
            <w:tcW w:w="0" w:type="dxa"/>
            <w:vAlign w:val="bottom"/>
          </w:tcPr>
          <w:p>
            <w:pPr>
              <w:spacing w:after="0"/>
              <w:rPr>
                <w:sz w:val="1"/>
                <w:szCs w:val="1"/>
                <w:color w:val="auto"/>
              </w:rPr>
            </w:pPr>
          </w:p>
        </w:tc>
      </w:tr>
      <w:tr>
        <w:trPr>
          <w:trHeight w:val="20"/>
        </w:trPr>
        <w:tc>
          <w:tcPr>
            <w:tcW w:w="9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520" w:type="dxa"/>
            <w:vAlign w:val="bottom"/>
          </w:tcPr>
          <w:p>
            <w:pPr>
              <w:jc w:val="right"/>
              <w:ind w:right="46"/>
              <w:spacing w:after="0" w:line="129" w:lineRule="exact"/>
              <w:rPr>
                <w:sz w:val="20"/>
                <w:szCs w:val="20"/>
                <w:color w:val="auto"/>
              </w:rPr>
            </w:pPr>
            <w:r>
              <w:rPr>
                <w:rFonts w:ascii="Arial" w:cs="Arial" w:eastAsia="Arial" w:hAnsi="Arial"/>
                <w:sz w:val="14"/>
                <w:szCs w:val="14"/>
                <w:b w:val="1"/>
                <w:bCs w:val="1"/>
                <w:color w:val="auto"/>
              </w:rPr>
              <w:t>2014</w:t>
            </w:r>
          </w:p>
        </w:tc>
        <w:tc>
          <w:tcPr>
            <w:tcW w:w="860" w:type="dxa"/>
            <w:vAlign w:val="bottom"/>
            <w:gridSpan w:val="2"/>
          </w:tcPr>
          <w:p>
            <w:pPr>
              <w:jc w:val="right"/>
              <w:ind w:right="30"/>
              <w:spacing w:after="0" w:line="129" w:lineRule="exact"/>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24"/>
        </w:trPr>
        <w:tc>
          <w:tcPr>
            <w:tcW w:w="1760" w:type="dxa"/>
            <w:vAlign w:val="bottom"/>
            <w:gridSpan w:val="2"/>
            <w:vMerge w:val="restart"/>
          </w:tcPr>
          <w:p>
            <w:pPr>
              <w:spacing w:after="0"/>
              <w:rPr>
                <w:sz w:val="20"/>
                <w:szCs w:val="20"/>
                <w:color w:val="auto"/>
              </w:rPr>
            </w:pPr>
            <w:r>
              <w:rPr>
                <w:rFonts w:ascii="Arial" w:cs="Arial" w:eastAsia="Arial" w:hAnsi="Arial"/>
                <w:sz w:val="18"/>
                <w:szCs w:val="18"/>
                <w:color w:val="auto"/>
                <w:w w:val="96"/>
              </w:rPr>
              <w:t>Foreign exchange loss</w:t>
            </w:r>
          </w:p>
        </w:tc>
        <w:tc>
          <w:tcPr>
            <w:tcW w:w="140" w:type="dxa"/>
            <w:vAlign w:val="bottom"/>
          </w:tcPr>
          <w:p>
            <w:pPr>
              <w:spacing w:after="0"/>
              <w:rPr>
                <w:sz w:val="19"/>
                <w:szCs w:val="19"/>
                <w:color w:val="auto"/>
              </w:rPr>
            </w:pPr>
          </w:p>
        </w:tc>
        <w:tc>
          <w:tcPr>
            <w:tcW w:w="520" w:type="dxa"/>
            <w:vAlign w:val="bottom"/>
            <w:tcBorders>
              <w:top w:val="single" w:sz="8" w:color="auto"/>
            </w:tcBorders>
          </w:tcPr>
          <w:p>
            <w:pPr>
              <w:jc w:val="right"/>
              <w:ind w:right="6"/>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88"/>
        </w:trPr>
        <w:tc>
          <w:tcPr>
            <w:tcW w:w="1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Amount of Gain/(Loss)</w:t>
      </w:r>
    </w:p>
    <w:p>
      <w:pPr>
        <w:jc w:val="center"/>
        <w:ind w:right="320"/>
        <w:spacing w:after="0" w:line="226" w:lineRule="auto"/>
        <w:rPr>
          <w:sz w:val="20"/>
          <w:szCs w:val="20"/>
          <w:color w:val="auto"/>
        </w:rPr>
      </w:pPr>
      <w:r>
        <w:rPr>
          <w:rFonts w:ascii="Arial" w:cs="Arial" w:eastAsia="Arial" w:hAnsi="Arial"/>
          <w:sz w:val="14"/>
          <w:szCs w:val="14"/>
          <w:b w:val="1"/>
          <w:bCs w:val="1"/>
          <w:color w:val="auto"/>
        </w:rPr>
        <w:t>Recognized in Income on</w:t>
      </w:r>
    </w:p>
    <w:p>
      <w:pPr>
        <w:spacing w:after="0" w:line="1"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-3175</wp:posOffset>
            </wp:positionV>
            <wp:extent cx="11233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ind w:left="780"/>
        <w:spacing w:after="0"/>
        <w:tabs>
          <w:tab w:leader="none" w:pos="18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9" w:lineRule="exact"/>
        <w:rPr>
          <w:sz w:val="20"/>
          <w:szCs w:val="20"/>
          <w:color w:val="auto"/>
        </w:rPr>
      </w:pPr>
    </w:p>
    <w:p>
      <w:pPr>
        <w:ind w:left="600"/>
        <w:spacing w:after="0"/>
        <w:tabs>
          <w:tab w:leader="none" w:pos="1680" w:val="left"/>
          <w:tab w:leader="none" w:pos="1940" w:val="left"/>
        </w:tabs>
        <w:rPr>
          <w:sz w:val="20"/>
          <w:szCs w:val="20"/>
          <w:color w:val="auto"/>
        </w:rPr>
      </w:pPr>
      <w:r>
        <w:rPr>
          <w:rFonts w:ascii="Arial" w:cs="Arial" w:eastAsia="Arial" w:hAnsi="Arial"/>
          <w:sz w:val="18"/>
          <w:szCs w:val="18"/>
          <w:color w:val="auto"/>
        </w:rPr>
        <w:t>$  2,714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2,298</w:t>
      </w:r>
    </w:p>
    <w:p>
      <w:pPr>
        <w:spacing w:after="0" w:line="1048" w:lineRule="exact"/>
        <w:rPr>
          <w:sz w:val="20"/>
          <w:szCs w:val="20"/>
          <w:color w:val="auto"/>
        </w:rPr>
      </w:pPr>
    </w:p>
    <w:p>
      <w:pPr>
        <w:sectPr>
          <w:pgSz w:w="11900" w:h="16838" w:orient="portrait"/>
          <w:cols w:equalWidth="0" w:num="3">
            <w:col w:w="3960" w:space="280"/>
            <w:col w:w="3580" w:space="220"/>
            <w:col w:w="3280"/>
          </w:cols>
          <w:pgMar w:left="240" w:top="459" w:right="339" w:bottom="1440" w:gutter="0" w:footer="0" w:header="0"/>
          <w:type w:val="continuous"/>
        </w:sectPr>
      </w:pPr>
    </w:p>
    <w:p>
      <w:pPr>
        <w:spacing w:after="0" w:line="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12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3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Owned 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Network equipment, computers and software</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74,670</w:t>
            </w:r>
          </w:p>
        </w:tc>
        <w:tc>
          <w:tcPr>
            <w:tcW w:w="380" w:type="dxa"/>
            <w:vAlign w:val="bottom"/>
          </w:tcPr>
          <w:p>
            <w:pPr>
              <w:spacing w:after="0"/>
              <w:rPr>
                <w:sz w:val="18"/>
                <w:szCs w:val="18"/>
                <w:color w:val="auto"/>
              </w:rPr>
            </w:pPr>
          </w:p>
        </w:tc>
        <w:tc>
          <w:tcPr>
            <w:tcW w:w="5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63,428</w:t>
            </w: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Buildings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Land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24,382</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Office furniture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11,750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11,111</w:t>
            </w: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Motor vehicles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8"/>
                <w:szCs w:val="18"/>
                <w:color w:val="auto"/>
              </w:rPr>
            </w:pPr>
          </w:p>
        </w:tc>
      </w:tr>
      <w:tr>
        <w:trPr>
          <w:trHeight w:val="223"/>
        </w:trPr>
        <w:tc>
          <w:tcPr>
            <w:tcW w:w="6340" w:type="dxa"/>
            <w:vAlign w:val="bottom"/>
          </w:tcPr>
          <w:p>
            <w:pPr>
              <w:ind w:left="360"/>
              <w:spacing w:after="0"/>
              <w:rPr>
                <w:sz w:val="20"/>
                <w:szCs w:val="20"/>
                <w:color w:val="auto"/>
              </w:rPr>
            </w:pPr>
            <w:r>
              <w:rPr>
                <w:rFonts w:ascii="Arial" w:cs="Arial" w:eastAsia="Arial" w:hAnsi="Arial"/>
                <w:sz w:val="18"/>
                <w:szCs w:val="18"/>
                <w:color w:val="auto"/>
              </w:rPr>
              <w:t>Capital work in progress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118,249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102,272</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(75,680)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(69,242)</w:t>
            </w:r>
          </w:p>
        </w:tc>
      </w:tr>
      <w:tr>
        <w:trPr>
          <w:trHeight w:val="27"/>
        </w:trPr>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42,569</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33,030</w:t>
            </w:r>
          </w:p>
        </w:tc>
        <w:tc>
          <w:tcPr>
            <w:tcW w:w="12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b w:val="1"/>
                <w:bCs w:val="1"/>
                <w:color w:val="auto"/>
              </w:rPr>
              <w:t>Assets under capital leases: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Network equipment, computers and software</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1,955</w:t>
            </w: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Office furniture and 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CCEEFF"/>
          </w:tcPr>
          <w:p>
            <w:pPr>
              <w:spacing w:after="0"/>
              <w:rPr>
                <w:sz w:val="18"/>
                <w:szCs w:val="18"/>
                <w:color w:val="auto"/>
              </w:rPr>
            </w:pPr>
          </w:p>
        </w:tc>
      </w:tr>
      <w:tr>
        <w:trPr>
          <w:trHeight w:val="223"/>
        </w:trPr>
        <w:tc>
          <w:tcPr>
            <w:tcW w:w="6340" w:type="dxa"/>
            <w:vAlign w:val="bottom"/>
          </w:tcPr>
          <w:p>
            <w:pPr>
              <w:ind w:left="360"/>
              <w:spacing w:after="0"/>
              <w:rPr>
                <w:sz w:val="20"/>
                <w:szCs w:val="20"/>
                <w:color w:val="auto"/>
              </w:rPr>
            </w:pPr>
            <w:r>
              <w:rPr>
                <w:rFonts w:ascii="Arial" w:cs="Arial" w:eastAsia="Arial" w:hAnsi="Arial"/>
                <w:sz w:val="18"/>
                <w:szCs w:val="18"/>
                <w:color w:val="auto"/>
              </w:rPr>
              <w:t>Motor vehicles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(2,773)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(2,618)</w:t>
            </w:r>
          </w:p>
        </w:tc>
      </w:tr>
      <w:tr>
        <w:trPr>
          <w:trHeight w:val="27"/>
        </w:trPr>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20" w:type="dxa"/>
            <w:vAlign w:val="bottom"/>
            <w:shd w:val="clear" w:color="auto" w:fill="CCEEFF"/>
          </w:tcPr>
          <w:p>
            <w:pPr>
              <w:spacing w:after="0"/>
              <w:rPr>
                <w:sz w:val="18"/>
                <w:szCs w:val="18"/>
                <w:color w:val="auto"/>
              </w:rPr>
            </w:pPr>
          </w:p>
        </w:tc>
      </w:tr>
      <w:tr>
        <w:trPr>
          <w:trHeight w:val="223"/>
        </w:trPr>
        <w:tc>
          <w:tcPr>
            <w:tcW w:w="6340" w:type="dxa"/>
            <w:vAlign w:val="bottom"/>
          </w:tcPr>
          <w:p>
            <w:pPr>
              <w:ind w:left="360"/>
              <w:spacing w:after="0"/>
              <w:rPr>
                <w:sz w:val="20"/>
                <w:szCs w:val="20"/>
                <w:color w:val="auto"/>
              </w:rPr>
            </w:pPr>
            <w:r>
              <w:rPr>
                <w:rFonts w:ascii="Arial" w:cs="Arial" w:eastAsia="Arial" w:hAnsi="Arial"/>
                <w:sz w:val="18"/>
                <w:szCs w:val="18"/>
                <w:color w:val="auto"/>
              </w:rPr>
              <w:t>Fixed assets, net</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44,031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34,564</w:t>
            </w:r>
          </w:p>
        </w:tc>
        <w:tc>
          <w:tcPr>
            <w:tcW w:w="12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Depreciation and amortization expense excluding amortization of acquisition-related intangibles for the three months ended March 31, 2014 and 2013 was $4,820 and $4,878, respectively.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459"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 work in progress represents advances paid toward acquisitions of fixed assets and the cost of fixed assets not yet ready to be placed in service.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Structure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 outstanding.</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During the three months ended March 31, 2014 and March 31, 2013, the Company acquired 18,256 and 13,018 shares of common stock, respectively, from employees in connection with withholding tax payments related to the vesting of restricted stock for a total consideration of $459 and $389, respectively. The weighted average purchase price of $25.14 and $29.89, respectively, was the average of the high and low price of the Company’s common stock on the Nasdaq Global Select Market on the trading day prior to the vesting date of the shares of restricted stock. The shares acquired are held as treasury stock.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Company’s Gratuity Plans in India and the Philippines provide a lump-sum payment to vested employees on retirement or 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Plans are accrued in the year to which they relate. Actuarial gains or losses or prior service costs, if any, resulting from amendments to the plans are recognized and amortized over the remaining period of service of the employees.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142"/>
        </w:trPr>
        <w:tc>
          <w:tcPr>
            <w:tcW w:w="20" w:type="dxa"/>
            <w:vAlign w:val="bottom"/>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Interest cost</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Actuarial loss</w:t>
            </w:r>
          </w:p>
        </w:tc>
        <w:tc>
          <w:tcPr>
            <w:tcW w:w="1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gratuity cost</w:t>
            </w:r>
          </w:p>
        </w:tc>
        <w:tc>
          <w:tcPr>
            <w:tcW w:w="20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The Gratuity Plans in India are partially funded and are managed and administered by Life Insurance Corporation of India and HDFC Standard Life Insurance Company. These entities calculate the annual contribution required to be made by the Company and manage the Gratuity Plans, including any required payouts. Fund managers manage these funds on a cash accumulation basis and declare interest retrospectively on March 31 of each year. The Company estimate a return of approximately 9.0% on these Gratuity Plans for the year ended March 31, 2014.</w:t>
      </w:r>
    </w:p>
    <w:p>
      <w:pPr>
        <w:spacing w:after="0" w:line="21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2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Plan assets at January 1, 2014</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Actual return</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2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March 31, 2014</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2,272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maintains the ExlService.com LLC 401(k) Plan under Section 401(k) of the Internal Revenue Code of 1986, covering all eligible employees, as defined. The Company may make discretionary contributions of up to a maximum of 3% of employee compensation within certain limits. The Company has made provisions for contributions to the 401(k) Plan amounting to $503 and $619 during the three month periods ended March 31, 2014 and March 31, 2013, respectively, under the plans as applicable for these years.</w:t>
      </w:r>
    </w:p>
    <w:p>
      <w:pPr>
        <w:spacing w:after="0" w:line="18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During the three month periods ended March 31, 2014 and 2013, the Company contributed the following amounts to various defined contribution plans on behalf of its employees in India, the Philippines, Romania, Bulgaria, Malaysia and the Czech Republic:</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2014</w:t>
            </w:r>
          </w:p>
        </w:tc>
        <w:tc>
          <w:tcPr>
            <w:tcW w:w="4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$1,398</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Three months ended March 31, 2013</w:t>
            </w:r>
          </w:p>
        </w:tc>
        <w:tc>
          <w:tcPr>
            <w:tcW w:w="4540" w:type="dxa"/>
            <w:vAlign w:val="bottom"/>
          </w:tcPr>
          <w:p>
            <w:pPr>
              <w:jc w:val="right"/>
              <w:ind w:right="10"/>
              <w:spacing w:after="0"/>
              <w:rPr>
                <w:sz w:val="20"/>
                <w:szCs w:val="20"/>
                <w:color w:val="auto"/>
              </w:rPr>
            </w:pPr>
            <w:r>
              <w:rPr>
                <w:rFonts w:ascii="Arial" w:cs="Arial" w:eastAsia="Arial" w:hAnsi="Arial"/>
                <w:sz w:val="18"/>
                <w:szCs w:val="18"/>
                <w:color w:val="auto"/>
              </w:rPr>
              <w:t>$1,447</w:t>
            </w:r>
          </w:p>
        </w:tc>
      </w:tr>
      <w:tr>
        <w:trPr>
          <w:trHeight w:val="350"/>
        </w:trPr>
        <w:tc>
          <w:tcPr>
            <w:tcW w:w="3220" w:type="dxa"/>
            <w:vAlign w:val="bottom"/>
          </w:tcPr>
          <w:p>
            <w:pPr>
              <w:spacing w:after="0"/>
              <w:rPr>
                <w:sz w:val="24"/>
                <w:szCs w:val="24"/>
                <w:color w:val="auto"/>
              </w:rPr>
            </w:pPr>
          </w:p>
        </w:tc>
        <w:tc>
          <w:tcPr>
            <w:tcW w:w="4540" w:type="dxa"/>
            <w:vAlign w:val="bottom"/>
          </w:tcPr>
          <w:p>
            <w:pPr>
              <w:jc w:val="right"/>
              <w:ind w:right="371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Company finances its use of certain computer hardware, leasehold improvements, furniture, fixtures, office equipment and motor vehicles under various lease arrangements provided by financial institutions. Future minimum lease payments under these capital leases as of March 31, 2014 are as follows:</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Year ending March 31,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$1,280</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19"/>
                <w:szCs w:val="19"/>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8"/>
                <w:szCs w:val="18"/>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Present value of minimum lease payments</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19"/>
                <w:szCs w:val="19"/>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18"/>
                <w:szCs w:val="18"/>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Long term capital lease obligation</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1,222</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Company conducts its operations using facilities leased under non-cancelable operating lease agreements that expire at various dates. Future minimum lease payments under non-cancelable agreements expiring after March 31, 2014 are set forth below:</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Year ending March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9,303</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2020 and thereafter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r>
      <w:tr>
        <w:trPr>
          <w:trHeight w:val="223"/>
        </w:trPr>
        <w:tc>
          <w:tcPr>
            <w:tcW w:w="70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22,372</w:t>
            </w:r>
          </w:p>
        </w:tc>
        <w:tc>
          <w:tcPr>
            <w:tcW w:w="10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The operating leases are subject to renewal periodically and have scheduled rent increases. The Company accounts for scheduled rent on such leases on a straight line basis over the non-cancelable lease period determined under FASB Accounting Standard Codification 840 </w:t>
      </w:r>
      <w:r>
        <w:rPr>
          <w:rFonts w:ascii="Arial" w:cs="Arial" w:eastAsia="Arial" w:hAnsi="Arial"/>
          <w:sz w:val="17"/>
          <w:szCs w:val="17"/>
          <w:i w:val="1"/>
          <w:iCs w:val="1"/>
          <w:color w:val="auto"/>
        </w:rPr>
        <w:t>Lease Accounting (“</w:t>
      </w:r>
      <w:r>
        <w:rPr>
          <w:rFonts w:ascii="Arial" w:cs="Arial" w:eastAsia="Arial" w:hAnsi="Arial"/>
          <w:sz w:val="17"/>
          <w:szCs w:val="17"/>
          <w:color w:val="auto"/>
        </w:rPr>
        <w:t>ASC 840</w:t>
      </w:r>
      <w:r>
        <w:rPr>
          <w:rFonts w:ascii="Arial" w:cs="Arial" w:eastAsia="Arial" w:hAnsi="Arial"/>
          <w:sz w:val="17"/>
          <w:szCs w:val="17"/>
          <w:i w:val="1"/>
          <w:iCs w:val="1"/>
          <w:color w:val="auto"/>
        </w:rPr>
        <w:t>”)</w:t>
      </w:r>
      <w:r>
        <w:rPr>
          <w:rFonts w:ascii="Arial" w:cs="Arial" w:eastAsia="Arial" w:hAnsi="Arial"/>
          <w:sz w:val="17"/>
          <w:szCs w:val="17"/>
          <w:color w:val="auto"/>
        </w:rPr>
        <w:t>. Rent expense under both cancelable and non-cancelable operating leases was $4,481 and $4,337 for the three months ended March 31, 2014 and 2013, respectively. Deferred rent as of March 31, 2014 and December 31, 2013 was $5,860 and $5,394, respectively, and is included under “Accrued expenses and other current liabilities” and “Non-current liabilities” in the consolidated balance sheets.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Company determines the tax provision for interim periods using an estimate of annual effective tax rate adjusted for discrete items, if any, that are taken into account in the relevant period. Each quarter, the Company updates its estimate of the annual effective tax rate, and if its estimated tax rate changes, the Company makes a cumulative adjustment.</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 recorded income tax expense of $4,465 and $2,997 for the three months ended March 31, 2014 and 2013, respectively. The effective rate of taxes increased from 23.5% during the three months ended March 31, 2013 to 28.6% during the three months ended March 31, 2014. The increase in effective tax rate is primarily due to the recognition of one-time benefits as a result of extension of a one year tax holiday period for one of the operating centers in the Philippines retroactively from May 2012 and other immaterial items during the three months ended March 31,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related to the gross unrecognized tax benefits from January 1, 2014 through March 31, 2014:</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2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2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current year tax positions</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20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79"/>
              </w:rPr>
              <w:t>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w w:val="93"/>
              </w:rPr>
              <w:t>The unrecognized tax benefits as of March 31, 2014 of $5,032, if recognized, would impact the effective tax rate.</w:t>
            </w: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During the three months ended March 31, 2014 and March 31, 2013, the Company has recognized interest of $55 and $61 respectively, which are included in the income tax provision in the unaudited consolidated statements of income. As of March 31, 2014 and December 31, 2013, the Company has accrued approximately $942 and $863, respectively, in interest relating to unrecognized tax benefits.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unrecognized tax benefits may increase or decrease in the next twelve months depending on the Company’s tax position.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costs related to the Company’s stock-based compensation plan are included in the unaudited consolidated statements of income:</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4,176</w:t>
            </w:r>
          </w:p>
        </w:tc>
        <w:tc>
          <w:tcPr>
            <w:tcW w:w="6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fair value of each stock option granted to employees is estimated on the date of grant using the Black-Scholes option-pricing model with the following weighted average assumptions: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900" w:type="dxa"/>
            <w:vAlign w:val="bottom"/>
            <w:tcBorders>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2014</w:t>
            </w:r>
          </w:p>
        </w:tc>
        <w:tc>
          <w:tcPr>
            <w:tcW w:w="116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9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Expected life (years)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1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484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1.84%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0.87%</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Volatility</w:t>
            </w:r>
          </w:p>
        </w:tc>
        <w:tc>
          <w:tcPr>
            <w:tcW w:w="4840" w:type="dxa"/>
            <w:vAlign w:val="bottom"/>
            <w:gridSpan w:val="3"/>
          </w:tcPr>
          <w:p>
            <w:pPr>
              <w:jc w:val="right"/>
              <w:ind w:right="1020"/>
              <w:spacing w:after="0"/>
              <w:rPr>
                <w:sz w:val="20"/>
                <w:szCs w:val="20"/>
                <w:color w:val="auto"/>
              </w:rPr>
            </w:pPr>
            <w:r>
              <w:rPr>
                <w:rFonts w:ascii="Arial" w:cs="Arial" w:eastAsia="Arial" w:hAnsi="Arial"/>
                <w:sz w:val="18"/>
                <w:szCs w:val="18"/>
                <w:color w:val="auto"/>
              </w:rPr>
              <w:t>35%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r>
        <w:trPr>
          <w:trHeight w:val="350"/>
        </w:trPr>
        <w:tc>
          <w:tcPr>
            <w:tcW w:w="2900" w:type="dxa"/>
            <w:vAlign w:val="bottom"/>
          </w:tcPr>
          <w:p>
            <w:pPr>
              <w:spacing w:after="0"/>
              <w:rPr>
                <w:sz w:val="24"/>
                <w:szCs w:val="24"/>
                <w:color w:val="auto"/>
              </w:rPr>
            </w:pPr>
          </w:p>
        </w:tc>
        <w:tc>
          <w:tcPr>
            <w:tcW w:w="2980" w:type="dxa"/>
            <w:vAlign w:val="bottom"/>
          </w:tcPr>
          <w:p>
            <w:pPr>
              <w:jc w:val="right"/>
              <w:ind w:right="1370"/>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estimated expected term of options granted has been based on historical experience, which is representative of the expected term of the options. Volatility has been calculated based on the volatility of the Company’s common stock and the volatility of stock of comparative companies. The risk-free interest rate that the Company uses in the option valuation model is based on U.S. treasury zero-coupon bonds with a remaining term similar to the expected term of the options.</w:t>
      </w:r>
    </w:p>
    <w:p>
      <w:pPr>
        <w:spacing w:after="0" w:line="187"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3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9"/>
              </w:rPr>
              <w:t>Number of</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92"/>
              </w:rPr>
              <w:t>Aggregate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Options</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300" w:type="dxa"/>
            <w:vAlign w:val="bottom"/>
          </w:tcPr>
          <w:p>
            <w:pPr>
              <w:spacing w:after="0"/>
              <w:rPr>
                <w:sz w:val="14"/>
                <w:szCs w:val="14"/>
                <w:color w:val="auto"/>
              </w:rPr>
            </w:pPr>
          </w:p>
        </w:tc>
        <w:tc>
          <w:tcPr>
            <w:tcW w:w="14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1"/>
              </w:rPr>
              <w:t>Intrinsic Value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1,956,515</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22,255</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9,794</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27.62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(104,294)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Forfeited/Expired</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1,856,065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27,117</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March 31, 2014</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2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1,436,462</w:t>
            </w:r>
          </w:p>
        </w:tc>
        <w:tc>
          <w:tcPr>
            <w:tcW w:w="6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14.55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23,494</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March 31, 2014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1,325,738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unrecognized compensation cost for unvested options as of March 31, 2014 was $2,311, which is expected to be expensed over a weighted average period of 1.53 years. The weighted-average fair value of options granted during the three months ended March 31, 2014 and 2013 was $9.77 and $10.07, respectively. The total fair value of shares vested during the three months ended March 31, 2014 and 2013 was $1,192 and $2,118,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unit activity under the Company’s stock plans is shown below:</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740" w:type="dxa"/>
            <w:vAlign w:val="bottom"/>
            <w:gridSpan w:val="6"/>
          </w:tcPr>
          <w:p>
            <w:pPr>
              <w:ind w:left="64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1180" w:type="dxa"/>
            <w:vAlign w:val="bottom"/>
            <w:tcBorders>
              <w:top w:val="single" w:sz="8" w:color="auto"/>
            </w:tcBorders>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w:t>
            </w:r>
          </w:p>
        </w:tc>
        <w:tc>
          <w:tcPr>
            <w:tcW w:w="146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Weighted-Average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1,144,442</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402,087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(380,067)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(18,470)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1,147,992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220" w:right="60" w:hanging="212"/>
        <w:spacing w:after="0" w:line="277"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116,000 and 112,000 vested restricted stock units as of March 31, 2014 and December 31, 2013, respectively, for which the underlying common stock is yet to be issued.</w:t>
      </w:r>
    </w:p>
    <w:p>
      <w:pPr>
        <w:spacing w:after="0" w:line="170" w:lineRule="exact"/>
        <w:rPr>
          <w:sz w:val="20"/>
          <w:szCs w:val="20"/>
          <w:color w:val="auto"/>
        </w:rPr>
      </w:pPr>
    </w:p>
    <w:p>
      <w:pPr>
        <w:jc w:val="center"/>
        <w:ind w:right="320"/>
        <w:spacing w:after="0" w:line="449" w:lineRule="auto"/>
        <w:rPr>
          <w:sz w:val="20"/>
          <w:szCs w:val="20"/>
          <w:color w:val="auto"/>
        </w:rPr>
      </w:pPr>
      <w:r>
        <w:rPr>
          <w:rFonts w:ascii="Arial" w:cs="Arial" w:eastAsia="Arial" w:hAnsi="Arial"/>
          <w:sz w:val="18"/>
          <w:szCs w:val="18"/>
          <w:color w:val="auto"/>
        </w:rPr>
        <w:t>As of March 31, 2014, unrecognized compensation cost of $25,965 is expected to be expensed over a weighted average period of 2.84 years. 17</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Performance Based Stock Awards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February 13, 2014, the Compensation Committee of the Board of Directors of the Company approved the program of performance based grant of restricted stock units (“PRSUs”) for executive officers and other specified employees under its existing 2006 Omnibus Award Plan. Each of which represents the right to receive one common share based on the Company’s performance against specified targets.</w:t>
      </w:r>
    </w:p>
    <w:p>
      <w:pPr>
        <w:spacing w:after="0" w:line="18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Under this program, the PRSUs will cliff vest at the end of a three-year performance period based on satisfaction of dual performance criteria: 50% of the PRSUs shall be based on satisfaction of our total revenue performance condition (“PUs”) measured on a cumulative basis over a three-year performance period and the other 50% shall be based on satisfaction of our market condition (“MUs”) of the Company meeting or exceeding the total shareholder return relative to a group of peer companies specified under the program, measured over a three-year performance period. In addition, up to one-third of the PUs may be earned based on the Company’s revenue performance in each of 2014 and 2015 against revenue targets in those years. The ultimate amount of PUs that the recipient earns, will be the greater of (x) the PUs earned in 2016 and (y) the sum of the earned PUs in 2014 and 2015. The award recipient may earn up to two hundred percent (200%) of the target based on the actual performance for both kinds of PRSUs.</w:t>
      </w:r>
    </w:p>
    <w:p>
      <w:pPr>
        <w:spacing w:after="0" w:line="16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fair value of each PU on the grant date was determined based on the market price of one common share of the Company on the date of grant, and assumes that performance targets will be achieved. The compensation expense for the PUs is recognized on a straight-line basis over the vesting terms. Over the performance period, the number of shares that will be issued will be adjusted upward or downward based upon the probability of achievement of the performance targets. The ultimate number of shares issued and the related compensation cost recognized as an expense will be based on a comparison of the final performance metrics to the specified targets.</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grant date fair value for the MUs was determined using a Monte Carlo simulation model and will be expensed on a straight-line basis over the vesting period. All compensation expense related to the MUs will be recognized if the requisite performance period is fulfilled, even if the market condition is not achieved.</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Monte-Carlo simulation model simulates a range of possible future stock prices and estimates the probabilities of the potential payouts. This model also incorporates the following ranges of assumptions:</w:t>
      </w:r>
    </w:p>
    <w:p>
      <w:pPr>
        <w:spacing w:after="0" w:line="7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historical volatilities are used over the most recent three-year period for the components of the peer group.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Since the plan stipulates that the awards are based upon the TSR of the Company and the components of the peer group, it is assumed that the dividends get reinvested in the issuing entity on a continuous basis.</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correlation coefficients are used to model the way in which each entity tends to move in relation to each other are based upon the price data used to calculate the historical volatilities.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Performance restricted stock unit activity under the Company’s stock plans is shown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600" w:type="dxa"/>
            <w:vAlign w:val="bottom"/>
            <w:gridSpan w:val="6"/>
          </w:tcPr>
          <w:p>
            <w:pPr>
              <w:ind w:left="280"/>
              <w:spacing w:after="0"/>
              <w:rPr>
                <w:sz w:val="20"/>
                <w:szCs w:val="20"/>
                <w:color w:val="auto"/>
              </w:rPr>
            </w:pPr>
            <w:r>
              <w:rPr>
                <w:rFonts w:ascii="Arial" w:cs="Arial" w:eastAsia="Arial" w:hAnsi="Arial"/>
                <w:sz w:val="14"/>
                <w:szCs w:val="14"/>
                <w:b w:val="1"/>
                <w:bCs w:val="1"/>
                <w:color w:val="auto"/>
              </w:rPr>
              <w:t>Revenue Based PRSU’s</w:t>
            </w:r>
          </w:p>
        </w:tc>
        <w:tc>
          <w:tcPr>
            <w:tcW w:w="2520" w:type="dxa"/>
            <w:vAlign w:val="bottom"/>
            <w:gridSpan w:val="5"/>
          </w:tcPr>
          <w:p>
            <w:pPr>
              <w:ind w:left="200"/>
              <w:spacing w:after="0"/>
              <w:rPr>
                <w:sz w:val="20"/>
                <w:szCs w:val="20"/>
                <w:color w:val="auto"/>
              </w:rPr>
            </w:pPr>
            <w:r>
              <w:rPr>
                <w:rFonts w:ascii="Arial" w:cs="Arial" w:eastAsia="Arial" w:hAnsi="Arial"/>
                <w:sz w:val="14"/>
                <w:szCs w:val="14"/>
                <w:b w:val="1"/>
                <w:bCs w:val="1"/>
                <w:color w:val="auto"/>
              </w:rPr>
              <w:t>Market Condition Based PRSU’s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8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3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Weighted Avg</w:t>
            </w:r>
          </w:p>
        </w:tc>
        <w:tc>
          <w:tcPr>
            <w:tcW w:w="600" w:type="dxa"/>
            <w:vAlign w:val="bottom"/>
          </w:tcPr>
          <w:p>
            <w:pPr>
              <w:spacing w:after="0"/>
              <w:rPr>
                <w:sz w:val="10"/>
                <w:szCs w:val="10"/>
                <w:color w:val="auto"/>
              </w:rPr>
            </w:pPr>
          </w:p>
        </w:tc>
        <w:tc>
          <w:tcPr>
            <w:tcW w:w="1300" w:type="dxa"/>
            <w:vAlign w:val="bottom"/>
            <w:tcBorders>
              <w:top w:val="single" w:sz="8" w:color="auto"/>
            </w:tcBorders>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16"/>
              <w:spacing w:after="0" w:line="119" w:lineRule="exact"/>
              <w:rPr>
                <w:sz w:val="20"/>
                <w:szCs w:val="20"/>
                <w:color w:val="auto"/>
              </w:rPr>
            </w:pPr>
            <w:r>
              <w:rPr>
                <w:rFonts w:ascii="Arial" w:cs="Arial" w:eastAsia="Arial" w:hAnsi="Arial"/>
                <w:sz w:val="13"/>
                <w:szCs w:val="13"/>
                <w:b w:val="1"/>
                <w:bCs w:val="1"/>
                <w:color w:val="auto"/>
                <w:w w:val="99"/>
              </w:rPr>
              <w:t>Weighted Avg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Fair Value</w:t>
            </w: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 31, 2013</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center"/>
              <w:ind w:left="333"/>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55,475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25.63</w:t>
            </w: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55,475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Forfeited</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333"/>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2014</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55,475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25.63</w:t>
            </w: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55,475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420"/>
        <w:spacing w:after="0" w:line="449" w:lineRule="auto"/>
        <w:rPr>
          <w:sz w:val="20"/>
          <w:szCs w:val="20"/>
          <w:color w:val="auto"/>
        </w:rPr>
      </w:pPr>
      <w:r>
        <w:rPr>
          <w:rFonts w:ascii="Arial" w:cs="Arial" w:eastAsia="Arial" w:hAnsi="Arial"/>
          <w:sz w:val="18"/>
          <w:szCs w:val="18"/>
          <w:color w:val="auto"/>
        </w:rPr>
        <w:t>As of March 31, 2014, unrecognized compensation cost of $3,157 is expected to be expensed over a weighted average period of 2.76 years. 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Geographical Information</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United States</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90,413</w:t>
            </w:r>
          </w:p>
        </w:tc>
        <w:tc>
          <w:tcPr>
            <w:tcW w:w="7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83,136</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23,421</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24,098</w:t>
            </w:r>
          </w:p>
        </w:tc>
        <w:tc>
          <w:tcPr>
            <w:tcW w:w="100" w:type="dxa"/>
            <w:vAlign w:val="bottom"/>
            <w:shd w:val="clear" w:color="auto" w:fill="CCEEFF"/>
          </w:tcPr>
          <w:p>
            <w:pPr>
              <w:spacing w:after="0"/>
              <w:rPr>
                <w:sz w:val="18"/>
                <w:szCs w:val="18"/>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Rest of World</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7,963</w:t>
            </w:r>
          </w:p>
        </w:tc>
        <w:tc>
          <w:tcPr>
            <w:tcW w:w="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8,772</w:t>
            </w:r>
          </w:p>
        </w:tc>
        <w:tc>
          <w:tcPr>
            <w:tcW w:w="100" w:type="dxa"/>
            <w:vAlign w:val="bottom"/>
          </w:tcPr>
          <w:p>
            <w:pPr>
              <w:spacing w:after="0"/>
              <w:rPr>
                <w:sz w:val="19"/>
                <w:szCs w:val="19"/>
                <w:color w:val="auto"/>
              </w:rPr>
            </w:pPr>
          </w:p>
        </w:tc>
      </w:tr>
      <w:tr>
        <w:trPr>
          <w:trHeight w:val="216"/>
        </w:trPr>
        <w:tc>
          <w:tcPr>
            <w:tcW w:w="6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$ 121,797</w:t>
            </w:r>
          </w:p>
        </w:tc>
        <w:tc>
          <w:tcPr>
            <w:tcW w:w="7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116,006</w:t>
            </w:r>
          </w:p>
        </w:tc>
        <w:tc>
          <w:tcPr>
            <w:tcW w:w="100" w:type="dxa"/>
            <w:vAlign w:val="bottom"/>
            <w:shd w:val="clear" w:color="auto" w:fill="CCEEFF"/>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24"/>
                <w:szCs w:val="2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Fixed assets,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India</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29,814</w:t>
            </w:r>
          </w:p>
        </w:tc>
        <w:tc>
          <w:tcPr>
            <w:tcW w:w="7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21,433</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Philippines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8,701</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8,409</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8"/>
                <w:szCs w:val="18"/>
                <w:color w:val="auto"/>
              </w:rPr>
            </w:pPr>
          </w:p>
        </w:tc>
      </w:tr>
      <w:tr>
        <w:trPr>
          <w:trHeight w:val="223"/>
        </w:trPr>
        <w:tc>
          <w:tcPr>
            <w:tcW w:w="6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44,031</w:t>
            </w:r>
          </w:p>
        </w:tc>
        <w:tc>
          <w:tcPr>
            <w:tcW w:w="58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34,564</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 Commitments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As of March 31, 2014, the Company had committed to spend approximately $6,718 under agreements to purchase fixed assets. This amount is net of capital advances paid in respect of these purchases.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Certain units of the Company’s Indian subsidiaries were established as 100% Export-Oriented units under the Software Technology Parks of India (“STPI”) scheme promulgated by the Government of India, which provided the Company with certain incentives on imported and indigenous capital goods on fulfillment of certain conditions. Although the corporate tax incentives under the STPI scheme are no longer available to the Company, the units are required to fulfill such conditions for a limited time. In the event that these units are unable to meet the prescribed conditions over the specified period, the Company may be required to refund those incentives along with penalties and fines. The Company’s management believes, however, that these units have in the past satisfied and will continue to satisfy the required conditions.</w:t>
      </w:r>
    </w:p>
    <w:p>
      <w:pPr>
        <w:spacing w:after="0" w:line="193"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Company’s operations centers in the Philippines are registered with the Philippine Economic Zone Authority. The registration provides the Company with certain fiscal incentives on the import of capital goods and requires ExlService Philippines, Inc. to meet certain performance and investment criteria. The Company’s management believes that these centers have in the past satisfied and will continue to satisfy the required criteria.</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its U.S. subsidiary ExlService.com, LLC are engaged in tax litigation with the income-tax authorities in India on the issue of permanent establishment.</w:t>
      </w:r>
    </w:p>
    <w:p>
      <w:pPr>
        <w:spacing w:after="0" w:line="17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aggregate disputed amount demanded by Indian tax authorities from the Company related to its transfer pricing issues for various years ranging from tax years 2003 to 2010 and its permanent establishment issues ranging from tax years 2003 to 2007 as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24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March 31, 2014 and December 31, 2013 is $18,750 and $14,742, respectively, of which the Company has already made payments or provided bank guarantees to the extent of $14,387 and $13,797, respectively. Amounts paid as deposits in respect of such assessments aggregating to $12,178 and $11,653 as of March 31, 2014 and December 31, 2013, respectively, are included in “Other assets” and amounts deposited for bank guarantees aggregating to $2,209 and $2,144 as of March 31, 2014 and December 31, 2013, respectively, are included in “Restricted cash” in the non-current assets section of the Company’s unaudited consolidated balance sheet as of March 31, 2014 and consolidated balance sheet as of December 31, 2013.</w:t>
      </w:r>
    </w:p>
    <w:p>
      <w:pPr>
        <w:spacing w:after="0" w:line="15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Based on advice from its Indian tax advisors, the facts underlying its position and its experience with these types of assessments, the Company believes that the probability of crystallization of these liabilities is remote and accordingly has not accrued any amount with respect to these matters in its consolidated financial statements. The Company does not expect any impact from these assessments on its future income tax expense. It is possible that the Company might receive similar orders or assessments from tax authorities for subsequent years. Even if these disputes are resolved, the Indian tax authorities may still serve additional orders or assessments.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2013. Some of the statements in the following discussion are forward looking statements. See “Forward Looking Statements.” Dollar amounts within Item 2 are presented as actual dollar amounts.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Quarterly Report on Form 10-Q, and oral statements made from time to time by our representatives, may contain forward looking statements. You should not place undue reliance on these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and the impact of the termination of the Services Agreement (as defined below) with Travelers (as defined below). These statements may also include those with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78" w:lineRule="exact"/>
        <w:rPr>
          <w:sz w:val="20"/>
          <w:szCs w:val="20"/>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130" w:lineRule="exact"/>
        <w:rPr>
          <w:rFonts w:ascii="Arial" w:cs="Arial" w:eastAsia="Arial" w:hAnsi="Arial"/>
          <w:sz w:val="18"/>
          <w:szCs w:val="18"/>
          <w:color w:val="auto"/>
        </w:rPr>
      </w:pPr>
    </w:p>
    <w:p>
      <w:pPr>
        <w:ind w:left="440" w:right="260" w:hanging="324"/>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uncertainty regarding the impact of the termination of the Services Agreement with Travelers, the process for the transition of the Travelers services away from our facilities and our ability to re-deploy personnel and infrastructure to other clients;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unauthorized disclosure of sensitive or confidential client and customer data;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and other risks could cause actual results to differ materially from those implied by forward looking statements in this Quarterly Report on Form 10-Q.</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forward 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 looking statements in this Quarterly Report on Form 10-Q after the date of this Quarterly Report on Form 10-Q, except as required by federal securities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are a leading provider of business process solutions, utilizing operations management, analytics and technology. We use our focused industry and process expertise to create a positive business impact on our clients’ operations. We customize our services to improve the economics of our clients’ business performance and transform organizations to be leaner and more flexible. We break our business into two segments: outsourcing services and transformation services. Our outsourcing services provide front-, middle- and back-office processing for our clients, who are primarily Global 1000 Companies. We also offer a number of transformation services, including decision analytics, finance transformation and operations consulting services.</w:t>
      </w:r>
    </w:p>
    <w:p>
      <w:pPr>
        <w:spacing w:after="0" w:line="158"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Our global delivery network, comprised of highly trained industry and process specialists across the United States, Europe and Asia, is a key asset. We operate sixteen operations centers in India, six operations centers in the U.S., three operations centers in the Philippines and one operations center in each of Bulgaria, Romania, Malaysia and the Czech Republic.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three months ended March 31, 2014, we had total revenues of $121.8 million compared to total revenues of $116.0 million for the three months ended March 31, 2013, an increase of $5.8 million or 5.0%. Revenues from outsourcing services increased from $97.6 million for the three months ended March 31, 2013, to $100.1 million for the three months ended March 31, 2014. Revenues from transformation services increased from $18.4 million for the three months ended March 31, 2013 to $21.7 million for the three months ended March 31, 2014.</w:t>
      </w:r>
    </w:p>
    <w:p>
      <w:pPr>
        <w:spacing w:after="0" w:line="18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We serve clients mainly in the U.S. and the U.K., with these two regions generating 74.2% and 19.2%, respectively, of our total revenues for the three months ended March 31, 2014, and 71.7% and 20.8%, respectively, of our total revenues for the three months ended March 31, 2013.</w:t>
      </w:r>
    </w:p>
    <w:p>
      <w:pPr>
        <w:spacing w:after="0" w:line="14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 the three months ended March 31, 2014 and 2013, total revenues from our top ten clients accounted for 54.2% and 59.7% of our total revenues, respectively. None of our clients accounted for more than 10% of our total revenues during the three months ended March 31, 2014 and 2013. Although we are increasing and diversifying our customer base, we expect in the near future that a significant portion of our revenue will continue to be contributed by a limited number of large clients.</w:t>
      </w:r>
    </w:p>
    <w:p>
      <w:pPr>
        <w:spacing w:after="0" w:line="18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derived revenues from eight new clients for our services in the three months ended March 31, 2014, compared to seven new clients for our services in the three months ended March 31, 2013. Another client acquired during the quarter ended March 31, 2014 did not generate any revenue, but is expected to start generating revenue from next quarter.</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November 1, 2013, we received a notice of termination from The Travelers Indemnity Company (“Travelers”) pursuant to the Professional Services Agreement, dated as of March 7, 2006, between us and Travelers (as amended from time to time, the “Service Agreement”). Due to this termination, we estimate a reduction in our 2014 revenues of between $12 million and $20 million due to certain services we currently provide to Travelers being transitioned away from us throughout 2014. In addition, we expect that we will reimburse Travelers for certain of their expenses incurred in connection with the termination, which will further reduce our revenues in 2014. During the three months ended March 31, 2014, we recognized $2.5 million of such reimbursement expenses to Travelers as a reduction of revenues. We also expect that we will provide certain disentanglement services to Travelers at our expense during the transition period, which will increase our expenses in 2014. We are still discussing the termination process with Travelers and, as a result, at this point cannot reasonably estimate the total amount of reimbursements we may make to Travelers or what internal costs we will incur as a result of the termination for the remainder of fiscal year 2014.</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We break our business into two segments: outsourcing services and transformation services. We market our services to our existing and prospective clients through our sales and client management teams, which are aligned by key industry verticals and cross-industry domains such as finance and accounting. Our sales and client management teams operate from the U.S. and Europe.</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 xml:space="preserve">Outsourcing Services: </w:t>
      </w:r>
      <w:r>
        <w:rPr>
          <w:rFonts w:ascii="Arial" w:cs="Arial" w:eastAsia="Arial" w:hAnsi="Arial"/>
          <w:sz w:val="18"/>
          <w:szCs w:val="18"/>
          <w:color w:val="auto"/>
        </w:rPr>
        <w:t>We provide our clients with a range of outsourcing services principally in the insurance, healthcare, utilities, banking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services, travel, and transportation and logistics sectors, as well as cross-industry outsourcing services, such as finance and accounting services. We serve primarily the needs of Global 1000 companies in these sectors.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outsourcing services involve the transfer to us of select business operations of a client, such as claims processing, policy administration and finance and accounting, after which we administer and manage the operations for our client on an ongoing basis.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 most outsourcing services, we enter into long-term agreements with our clients with typical initial terms ranging from three to eight years. These contracts also usually contain provisions permitting termination of the contract after a short notice period.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8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To the extent our client contracts do not contain provisions to the contrary, we bear the risk of inflation and fluctuations in currency exchange rates with respect to our contracts. We hedge a substantial portion of our Indian rupee/U.S. dollar, Philippine peso/U.S. dollar and U.K. pound sterling/U.S. dollar foreign currency exposure.</w:t>
      </w:r>
    </w:p>
    <w:p>
      <w:pPr>
        <w:spacing w:after="0" w:line="18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have recently been observing a shift in industry pricing models toward transaction-based pricing and other pricing models. We believe this trend will continue and we have begun to use transaction-based and other pricing models with some of our current clients and are seeking to move certain other clients from a billing rate model to a transaction-based or other pricing model. Such models place the focus on operational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if we are required to modify the terms of our relationships with such clients.</w:t>
      </w:r>
    </w:p>
    <w:p>
      <w:pPr>
        <w:spacing w:after="0" w:line="19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Within our outsourcing services, we also offer platform technology services by use of our proprietary technology tools and platforms to provide increasingly complex services for our insurance and healthcare clients. We have added these capabilities through acquisitions over the last few years. Key platform technology offerings include CareRadius </w:t>
      </w:r>
      <w:r>
        <w:rPr>
          <w:rFonts w:ascii="Arial" w:cs="Arial" w:eastAsia="Arial" w:hAnsi="Arial"/>
          <w:sz w:val="15"/>
          <w:szCs w:val="15"/>
          <w:color w:val="auto"/>
        </w:rPr>
        <w:t>®</w:t>
      </w:r>
      <w:r>
        <w:rPr>
          <w:rFonts w:ascii="Arial" w:cs="Arial" w:eastAsia="Arial" w:hAnsi="Arial"/>
          <w:sz w:val="18"/>
          <w:szCs w:val="18"/>
          <w:color w:val="auto"/>
        </w:rPr>
        <w:t xml:space="preserve"> and MaxMC </w:t>
      </w:r>
      <w:r>
        <w:rPr>
          <w:rFonts w:ascii="Arial" w:cs="Arial" w:eastAsia="Arial" w:hAnsi="Arial"/>
          <w:sz w:val="15"/>
          <w:szCs w:val="15"/>
          <w:color w:val="auto"/>
        </w:rPr>
        <w:t>®</w:t>
      </w:r>
      <w:r>
        <w:rPr>
          <w:rFonts w:ascii="Arial" w:cs="Arial" w:eastAsia="Arial" w:hAnsi="Arial"/>
          <w:sz w:val="18"/>
          <w:szCs w:val="18"/>
          <w:color w:val="auto"/>
        </w:rPr>
        <w:t xml:space="preserve"> (care management platforms for health insurers and providers), LifePRO </w:t>
      </w:r>
      <w:r>
        <w:rPr>
          <w:rFonts w:ascii="Arial" w:cs="Arial" w:eastAsia="Arial" w:hAnsi="Arial"/>
          <w:sz w:val="15"/>
          <w:szCs w:val="15"/>
          <w:color w:val="auto"/>
        </w:rPr>
        <w:t>®</w:t>
      </w:r>
      <w:r>
        <w:rPr>
          <w:rFonts w:ascii="Arial" w:cs="Arial" w:eastAsia="Arial" w:hAnsi="Arial"/>
          <w:sz w:val="18"/>
          <w:szCs w:val="18"/>
          <w:color w:val="auto"/>
        </w:rPr>
        <w:t xml:space="preserve"> (an insurance policy administration platform) and SubroSource ™ (a subrogation services platform for property and casualty insurers). Depending on the platform, the fees derived from our platform technologies may be based on licenses, installation, support and maintenance, and/or recoveries from claims. We believe our proprietary platform technology will be an important source of growth in the future as clients choose to transfer certain business functions to a third-party-owned technology provider.</w:t>
      </w:r>
    </w:p>
    <w:p>
      <w:pPr>
        <w:spacing w:after="0" w:line="18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we increase our capabilities utilizing technology service platforms and other software-based services, we expect that revenues from such services will continue to grow in proportion to our total revenues. Revenues from annual maintenance and support contracts for our software platforms provide us with a relatively predictable revenue base and are generally recognized ratably over the terms of the contracts. New license sales and implementation projects have a long selling cycle and it is difficult to predict the timing of when such new contracts will be signed, which may lead to fluctuations in our revenues over the short-term.</w:t>
      </w:r>
    </w:p>
    <w:p>
      <w:pPr>
        <w:spacing w:after="0" w:line="18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anticipate that revenues from our outsourcing services will grow as we expand our service offerings and client base, both organically and through acquisitions.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Transformation Services: </w:t>
      </w:r>
      <w:r>
        <w:rPr>
          <w:rFonts w:ascii="Arial" w:cs="Arial" w:eastAsia="Arial" w:hAnsi="Arial"/>
          <w:sz w:val="18"/>
          <w:szCs w:val="18"/>
          <w:color w:val="auto"/>
        </w:rPr>
        <w:t>Our transformation services offer positive business change for our clients. By utilizing sophisticated tools and techniques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highly trained analysts, we (i) provide insight into our clients’ current and future financial and operational results using analytics, (ii) improve clients’ operating environments through cost reduction and increased efficiency and productivity initiatives and (iii) enhance the risk and control environments within our clients’ operations whether or not they are outsourced to us. Our key areas of transformation services are decision analytics, finance transformation and operations and process excellence consulting.</w:t>
      </w:r>
    </w:p>
    <w:p>
      <w:pPr>
        <w:spacing w:after="0" w:line="18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Our transformation services consist of both recurring and specific projects with contract terms generally not exceeding one to three years.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 Our transformation services can be significantly affected by variations in business cycles. We have experienced a significant increase in demand for our annuity-based transformation services, which are engagements that are contracted for one- to three-year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For a description of our critical accounting policies and estimates, refer to “Management’s Discussion and Analysis of Financial Condition and Results of Operations—Critical Accounting Policies and Estimates” and Note 1 of the Notes to the Consolidated Financial Statements included in our 2013 Annual Report on form 10-K for the year ended December 31, 2013.</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three months ended on March 31, 2014 and 2013:</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expenses</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income/(expense):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(loss)/gain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Interest and other income</w:t>
            </w:r>
          </w:p>
        </w:tc>
        <w:tc>
          <w:tcPr>
            <w:tcW w:w="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Income tax provision</w:t>
            </w:r>
          </w:p>
        </w:tc>
        <w:tc>
          <w:tcPr>
            <w:tcW w:w="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jc w:val="right"/>
              <w:ind w:right="810"/>
              <w:spacing w:after="0"/>
              <w:rPr>
                <w:sz w:val="20"/>
                <w:szCs w:val="20"/>
                <w:color w:val="auto"/>
              </w:rPr>
            </w:pPr>
            <w:r>
              <w:rPr>
                <w:rFonts w:ascii="Arial" w:cs="Arial" w:eastAsia="Arial" w:hAnsi="Arial"/>
                <w:sz w:val="18"/>
                <w:szCs w:val="18"/>
                <w:color w:val="auto"/>
              </w:rPr>
              <w:t>25</w:t>
            </w: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2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2014 Compared to Three Months Ended March 31, 2013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244"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6350</wp:posOffset>
            </wp:positionV>
            <wp:extent cx="14751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ind w:left="5820"/>
        <w:spacing w:after="0"/>
        <w:tabs>
          <w:tab w:leader="none" w:pos="7320" w:val="left"/>
          <w:tab w:leader="none" w:pos="8500" w:val="left"/>
          <w:tab w:leader="none" w:pos="960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u w:val="single" w:color="auto"/>
          <w:color w:val="auto"/>
        </w:rPr>
        <w:t>Change</w:t>
      </w:r>
      <w:r>
        <w:rPr>
          <w:sz w:val="20"/>
          <w:szCs w:val="20"/>
          <w:color w:val="auto"/>
        </w:rPr>
        <w:tab/>
      </w:r>
      <w:r>
        <w:rPr>
          <w:rFonts w:ascii="Arial" w:cs="Arial" w:eastAsia="Arial" w:hAnsi="Arial"/>
          <w:sz w:val="12"/>
          <w:szCs w:val="12"/>
          <w:b w:val="1"/>
          <w:bCs w:val="1"/>
          <w:u w:val="single" w:color="auto"/>
          <w:color w:val="auto"/>
        </w:rPr>
        <w:t>Percentage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-3175</wp:posOffset>
            </wp:positionV>
            <wp:extent cx="14751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ind w:left="6140"/>
        <w:spacing w:after="0" w:line="233" w:lineRule="auto"/>
        <w:rPr>
          <w:sz w:val="20"/>
          <w:szCs w:val="20"/>
          <w:color w:val="auto"/>
        </w:rPr>
      </w:pPr>
      <w:r>
        <w:rPr>
          <w:rFonts w:ascii="Arial" w:cs="Arial" w:eastAsia="Arial" w:hAnsi="Arial"/>
          <w:sz w:val="14"/>
          <w:szCs w:val="14"/>
          <w:b w:val="1"/>
          <w:bCs w:val="1"/>
          <w:color w:val="auto"/>
        </w:rPr>
        <w:t>(dollars in millions)</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Outsourcing services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97.6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Transformation services</w:t>
            </w:r>
          </w:p>
        </w:tc>
        <w:tc>
          <w:tcPr>
            <w:tcW w:w="2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21.7</w:t>
            </w:r>
          </w:p>
        </w:tc>
        <w:tc>
          <w:tcPr>
            <w:tcW w:w="26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1980" w:type="dxa"/>
            <w:vAlign w:val="bottom"/>
            <w:gridSpan w:val="3"/>
          </w:tcPr>
          <w:p>
            <w:pPr>
              <w:jc w:val="right"/>
              <w:ind w:right="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r>
              <w:rPr>
                <w:rFonts w:ascii="Arial" w:cs="Arial" w:eastAsia="Arial" w:hAnsi="Arial"/>
                <w:sz w:val="18"/>
                <w:szCs w:val="18"/>
                <w:u w:val="single" w:color="auto"/>
                <w:color w:val="auto"/>
              </w:rPr>
              <w:t>8</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The increase in revenues from outsourcing services of $2.5 million was primarily driven by net volume increases from existing and new clients aggregating to $8.7 million. These increases were partially offset by a net decrease in revenues of $3.7 million primarily due to the net impact of the depreciation of the Indian rupee and the Philippine peso and appreciation of the U.K. pound sterling against the U.S. dollar during the three months ended March 31, 2014 compared to the three months ended March 31, 2013, and $2.5 million due to reimbursement to Travelers for certain of their expenses incurred in connection with the termination of the Services Agreement.</w:t>
      </w:r>
    </w:p>
    <w:p>
      <w:pPr>
        <w:spacing w:after="0" w:line="188"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The increase in revenues from transformation services was primarily due to higher revenues from our decision analytics services. Revenues from new clients for transformation services were $0.2 million and $0.3 million during the three months ended March 31, 2014 and 2013, respectively.</w:t>
      </w:r>
    </w:p>
    <w:p>
      <w:pPr>
        <w:spacing w:after="0" w:line="12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the three months ended March 31, 2014 and 2013, 3.7% and 3.8%, respectively, of our revenues represented telecommunication and travel-related costs billed to and reimbursed by our clients.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00" w:type="dxa"/>
            <w:vAlign w:val="bottom"/>
          </w:tcPr>
          <w:p>
            <w:pPr>
              <w:spacing w:after="0"/>
              <w:rPr>
                <w:sz w:val="14"/>
                <w:szCs w:val="14"/>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7"/>
              </w:rPr>
              <w:t>Percentage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w w:val="89"/>
              </w:rPr>
              <w:t>2013</w:t>
            </w:r>
          </w:p>
        </w:tc>
        <w:tc>
          <w:tcPr>
            <w:tcW w:w="68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(dollars in millions)</w:t>
            </w:r>
          </w:p>
        </w:tc>
        <w:tc>
          <w:tcPr>
            <w:tcW w:w="5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121.8</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Cost of revenues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74.9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72.9</w:t>
            </w:r>
          </w:p>
        </w:tc>
        <w:tc>
          <w:tcPr>
            <w:tcW w:w="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46.9</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4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38.5%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increase in cost of revenues was primarily due to an increase in employee-related costs of $6.7 million as a result of an increase in the number of our personnel directly involved in providing services to our clients. We also experienced an increase in facilities, technology and other operating expenses of $2.0 million (primarily due to the new operations centers to support business growth). These increases were partially offset by a decrease of $6.8 million due to the effect of depreciation of the Indian rupee, the Czech koruna and the Philippine peso against the U.S. dollar during the three months ended March 31, 2014 compared to the three months ended March 31, 2013.</w:t>
      </w:r>
    </w:p>
    <w:p>
      <w:pPr>
        <w:spacing w:after="0" w:line="1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The increase in gross profit as a percentage of revenues was primarily due to the depreciation of the Indian rupee, the Czech koruna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Philippines peso against the U.S. dollar during the three months ended March 31, 2014 compared to the three months ended March 31, 2013. This increase was partially offset by the lower gross margins in our transformation business due to lower utilization and impact of reimbursement to Travelers in connection with the termination of the Services Agreement.</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60" w:type="dxa"/>
            <w:vAlign w:val="bottom"/>
          </w:tcPr>
          <w:p>
            <w:pPr>
              <w:spacing w:after="0"/>
              <w:rPr>
                <w:sz w:val="14"/>
                <w:szCs w:val="14"/>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7"/>
              </w:rPr>
              <w:t>Percentage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2014</w:t>
            </w: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2013</w:t>
            </w:r>
          </w:p>
        </w:tc>
        <w:tc>
          <w:tcPr>
            <w:tcW w:w="74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3"/>
          </w:tcPr>
          <w:p>
            <w:pPr>
              <w:ind w:left="460"/>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56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4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w w:val="85"/>
              </w:rPr>
              <w:t>10.2</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0.4</w:t>
            </w:r>
          </w:p>
        </w:tc>
        <w:tc>
          <w:tcPr>
            <w:tcW w:w="200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5"/>
              </w:rPr>
              <w:t>25.0</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240"/>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Arial" w:cs="Arial" w:eastAsia="Arial" w:hAnsi="Arial"/>
                <w:sz w:val="18"/>
                <w:szCs w:val="18"/>
                <w:color w:val="auto"/>
              </w:rPr>
              <w:t>26</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firstLine="456"/>
        <w:spacing w:after="0" w:line="302" w:lineRule="auto"/>
        <w:rPr>
          <w:sz w:val="20"/>
          <w:szCs w:val="20"/>
          <w:color w:val="auto"/>
        </w:rPr>
      </w:pPr>
      <w:r>
        <w:rPr>
          <w:rFonts w:ascii="Arial" w:cs="Arial" w:eastAsia="Arial" w:hAnsi="Arial"/>
          <w:sz w:val="16"/>
          <w:szCs w:val="16"/>
          <w:color w:val="auto"/>
        </w:rPr>
        <w:t>The increase in SG&amp;A expenses was primarily due to an increase in employee-related costs of $0.8 million due to our continued investment in sales and client management personnel. We also experienced an increase in other SG&amp;A expenses of $0.6 million primarily due to an increase in our other sales and marketing expenses. These increases were partially offset by a decrease of $0.8 million due to the effect of depreciation of the Indian rupee, the Czech koruna and the Philippine peso against the U.S. dollar during the three months ended March 31, 2014 compared to the three months ended March 31, 2013.</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93"/>
              </w:rPr>
              <w:t>Three months ended March 31,</w:t>
            </w:r>
          </w:p>
        </w:tc>
        <w:tc>
          <w:tcPr>
            <w:tcW w:w="300" w:type="dxa"/>
            <w:vAlign w:val="bottom"/>
          </w:tcPr>
          <w:p>
            <w:pPr>
              <w:spacing w:after="0"/>
              <w:rPr>
                <w:sz w:val="14"/>
                <w:szCs w:val="14"/>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jc w:val="center"/>
              <w:ind w:left="338"/>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5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4.9</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Intangible amortization expense</w:t>
            </w:r>
          </w:p>
        </w:tc>
        <w:tc>
          <w:tcPr>
            <w:tcW w:w="14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w w:val="87"/>
              </w:rPr>
              <w:t>1.5</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w w:val="79"/>
              </w:rPr>
              <w:t>1.6</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(0.1)</w:t>
            </w:r>
          </w:p>
        </w:tc>
        <w:tc>
          <w:tcPr>
            <w:tcW w:w="1340" w:type="dxa"/>
            <w:vAlign w:val="bottom"/>
            <w:gridSpan w:val="2"/>
          </w:tcPr>
          <w:p>
            <w:pPr>
              <w:ind w:left="860"/>
              <w:spacing w:after="0"/>
              <w:rPr>
                <w:sz w:val="20"/>
                <w:szCs w:val="20"/>
                <w:color w:val="auto"/>
              </w:rPr>
            </w:pPr>
            <w:r>
              <w:rPr>
                <w:rFonts w:ascii="Arial" w:cs="Arial" w:eastAsia="Arial" w:hAnsi="Arial"/>
                <w:sz w:val="18"/>
                <w:szCs w:val="18"/>
                <w:color w:val="auto"/>
                <w:w w:val="97"/>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7"/>
              </w:rPr>
              <w:t>6.4</w:t>
            </w:r>
          </w:p>
        </w:tc>
        <w:tc>
          <w:tcPr>
            <w:tcW w:w="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6.5</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w:t>
            </w:r>
          </w:p>
        </w:tc>
        <w:tc>
          <w:tcPr>
            <w:tcW w:w="13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7"/>
              </w:rPr>
              <w:t>-2.4%</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Depreciation expense increased by $0.5 million due to additional investment in equipment and operations centers and was offset by $0.5 million due to depreciation of the Indian rupee, the Czech koruna and the Philippines peso against the U.S. dollar during the three months ended March 31, 2014 compared to the three months ended March 31, 2013. Amortization of acquisition related intangibles decreased marginally by $0.1 million during the three months ended March 31, 2014 compared to the three months ended March 31, 2013.</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27.9% from $12.1 million for the three months ended March 31, 2013 to $15.5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March 31, 2014. As a percentage of revenues, income from operations increased from 10.4% for the three months ended March 31, 2013 to 12.7% for the three months ended March 31, 2014. The increase in income from operations as a percentage of revenues was primarily due to higher gross margins during the three months ended March 31, 2014.</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7"/>
              </w:rPr>
              <w:t>Percentage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w w:val="89"/>
              </w:rPr>
              <w:t>2013</w:t>
            </w:r>
          </w:p>
        </w:tc>
        <w:tc>
          <w:tcPr>
            <w:tcW w:w="6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5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1"/>
              </w:rPr>
              <w:t>(0.9)</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interest and other income</w:t>
            </w:r>
          </w:p>
        </w:tc>
        <w:tc>
          <w:tcPr>
            <w:tcW w:w="16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320" w:type="dxa"/>
            <w:vAlign w:val="bottom"/>
          </w:tcPr>
          <w:p>
            <w:pPr>
              <w:jc w:val="center"/>
              <w:ind w:left="10"/>
              <w:spacing w:after="0"/>
              <w:rPr>
                <w:sz w:val="20"/>
                <w:szCs w:val="20"/>
                <w:color w:val="auto"/>
              </w:rPr>
            </w:pPr>
            <w:r>
              <w:rPr>
                <w:rFonts w:ascii="Arial" w:cs="Arial" w:eastAsia="Arial" w:hAnsi="Arial"/>
                <w:sz w:val="18"/>
                <w:szCs w:val="18"/>
                <w:color w:val="auto"/>
                <w:w w:val="87"/>
              </w:rPr>
              <w:t>0.3</w:t>
            </w:r>
          </w:p>
        </w:tc>
        <w:tc>
          <w:tcPr>
            <w:tcW w:w="6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1"/>
              </w:rPr>
              <w:t>(0.6)</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Net foreign exchange losses were attributable to the net movement of the U.S. dollar against the Indian rupee, U.K. pound sterling and the Philippine peso. The average exchange rate of the Indian rupee against the U.S. dollar increased from 53.95 during the three months ended March 31, 2013 to 61.46 during the three months ended March 31, 2014.</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Provision for income taxes increased from $3.0 million for the three months ended March 31, 2013 to $4.5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2014. The effective rate of taxes increased from 23.5% during the three months ended March 31, 2013 to 28.6% during the three months ended March 31, 2014. Refer to Note 12 to the unaudited consolidated financial statements included in this Quarterly Report on Form 10-Q for further details.</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$9.8 million for the three months ended March 31, 2013 to $11.1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primarily due to an increase in operating income of $3.4 million, which was partially offset by decrease in other income of $0.6 million and increase in income tax expense of $1.5 million. As a percentage of revenues, net income increased from 8.4% for the three months ended March 31, 2013 to 9.2% for the three months ended March 31, 2014.</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42"/>
        </w:trPr>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2"/>
                <w:szCs w:val="12"/>
                <w:color w:val="auto"/>
              </w:rPr>
            </w:pPr>
          </w:p>
        </w:tc>
      </w:tr>
      <w:tr>
        <w:trPr>
          <w:trHeight w:val="142"/>
        </w:trPr>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Opening cash and cash equivalents</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Closing cash and cash equivalents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r>
              <w:rPr>
                <w:rFonts w:ascii="Arial" w:cs="Arial" w:eastAsia="Arial" w:hAnsi="Arial"/>
                <w:sz w:val="18"/>
                <w:szCs w:val="18"/>
                <w:u w:val="single" w:color="auto"/>
                <w:color w:val="auto"/>
              </w:rPr>
              <w:t>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As of March 31, 2014, we had $150.9 million in cash and cash equivalents and short-term investments (including $76.6 million held by our foreign subsidiaries). We do not intend to repatriate our overseas funds since our future growth partially depends upon our continued infrastructure and technology investments, geographical expansions and acquisitions made outside of the U.S. Therefore, we need to continuously reinvest the earnings generated outside of the U.S. If we were to repatriate our overseas funds, we would accrue and pay applicable taxes.</w:t>
      </w:r>
    </w:p>
    <w:p>
      <w:pPr>
        <w:spacing w:after="0" w:line="17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Cash flows provided by operating activities decreased from $6.6 million for the three months ended March 31, 2013 to $5.0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March 31, 2014. Generally, factors that affect our earnings—including pricing, volume of services, costs and productivity —affect our cash flows provided by operations in a similar manner. However, while management of working capital, including timing of collections and payments affects operating results only indirectly, the impact on the working capital and cash flows provided by operating activities can be significant.</w:t>
      </w:r>
    </w:p>
    <w:p>
      <w:pPr>
        <w:spacing w:after="0" w:line="154"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decrease in cash flows provided by operations for the three month ended March 31, 2014 was predominantly due to an increase in working capital of $20.5 million during the three months ended March 31, 2014 compared to an increase of $15.5 million during the three months ended March 31, 2013. The decrease was partially offset by an increase in net income adjusted for non-cash expenses of $3.4 million during the three months ended March 31, 2014 compared to the three months ended March 31, 2013. During the three months ended March 31, 2014, net income increased by $1.4 million, stock based compensation increased by $0.5 million, unrealized foreign exchange loss increased by $0.9 million and deferred income taxes increased by $0.7 million.</w:t>
      </w:r>
    </w:p>
    <w:p>
      <w:pPr>
        <w:spacing w:after="0" w:line="158"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increase in working capital during the three months ended March 31, 2014 was primarily due to a decrease in accrued employee costs of $11.5 million and accrued expenses and other current liabilities of $1.0 million, an increase in accounts receivable of $1.7 million, advance income tax of $1.8 million and prepaid expenses and other current assets of $4.2 million. The increase in working capital during the three months ended March 31, 2013 was primarily due to a decrease in accrued employee costs of $11.2 million, an increase in accounts receivable of $3.1 million, prepaid expenses and other current assets of $1.9 million, partially offset by an increase in accrued expenses and other liabilities by $1.1 million.</w:t>
      </w:r>
    </w:p>
    <w:p>
      <w:pPr>
        <w:spacing w:after="0" w:line="17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flows used for investing activities increased from $7.8 million for the three months ended March 31, 2013 to $11.7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2014. The increase was primarily due to an increase in capital expenditure of $4.1 million during the three months ended March 31, 2014 compared to the three months ended March 31, 2013.</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flows provided by financing activities increased from $0.6 million for the three months ended March 31, 2013 to $0.9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31, 2014. The increase was primarily due to proceeds from the exercise of stock options of $1.7 million during the three months ended March 31, 2014 compared to $1.4 million during the three months ended March 31, 2013.</w:t>
      </w:r>
    </w:p>
    <w:p>
      <w:pPr>
        <w:spacing w:after="0" w:line="18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our facilities and the purchase of telecommunications equipment and computer hardware and software in connection with managing our client operations. We incurred $10.7 million of capital expenditures in the three months ended March 31, 2014. We expect to incur capital expenditures of between $15 million to $20 million throughout the remainder of 2014, primarily to meet the growth requirements from our clients, including additions to our facilities as well as investments in technology applications and infrastructure. The timing and volume of such capital expenditures in the future will be affected by new client contracts we may enter into or the expansion of business under our existing client contracts.</w:t>
      </w:r>
    </w:p>
    <w:p>
      <w:pPr>
        <w:spacing w:after="0" w:line="178"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In connection with any tax assessment orders that have been issued or may be issued against us or our subsidiaries, we may be required to deposit additional amounts with respect to such assessment orders. Refer to Note 15 to our unaudited consolidated financial statements included in this Quarterly Report on Form 10-Q for further details.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On May 26, 2011, we entered into a three-year credit agreement with certain lenders and JPMorgan Chase Bank, N.A., as Administrative Agent (the “Credit Facility”). Borrowings under the Credit Facility may be used for working capital and general corporate purposes. Originally a $50.0 million revolving facility, including a letter of credit sub-facility, the availability under the Credit Facility was reduced to $15.0 million in June 2012. Upon our request, however, and the fulfillment of certain conditions, the Credit Facility may be increased back to $50.0 million. As of March 31, 2014, we did not have any borrowings under the Credit Facility.</w:t>
      </w:r>
    </w:p>
    <w:p>
      <w:pPr>
        <w:spacing w:after="0" w:line="18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we had no off-balance sheet arrangements or obligations.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March 31,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Payment Due by Period</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7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jc w:val="right"/>
              <w:ind w:right="17"/>
              <w:spacing w:after="0" w:line="119" w:lineRule="exact"/>
              <w:rPr>
                <w:sz w:val="20"/>
                <w:szCs w:val="20"/>
                <w:color w:val="auto"/>
              </w:rPr>
            </w:pPr>
            <w:r>
              <w:rPr>
                <w:rFonts w:ascii="Arial" w:cs="Arial" w:eastAsia="Arial" w:hAnsi="Arial"/>
                <w:sz w:val="13"/>
                <w:szCs w:val="13"/>
                <w:b w:val="1"/>
                <w:bCs w:val="1"/>
                <w:color w:val="auto"/>
              </w:rPr>
              <w:t>1-3</w:t>
            </w:r>
          </w:p>
        </w:tc>
        <w:tc>
          <w:tcPr>
            <w:tcW w:w="160" w:type="dxa"/>
            <w:vAlign w:val="bottom"/>
          </w:tcPr>
          <w:p>
            <w:pPr>
              <w:spacing w:after="0"/>
              <w:rPr>
                <w:sz w:val="10"/>
                <w:szCs w:val="10"/>
                <w:color w:val="auto"/>
              </w:rPr>
            </w:pPr>
          </w:p>
        </w:tc>
        <w:tc>
          <w:tcPr>
            <w:tcW w:w="5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4-5</w:t>
            </w:r>
          </w:p>
        </w:tc>
        <w:tc>
          <w:tcPr>
            <w:tcW w:w="300" w:type="dxa"/>
            <w:vAlign w:val="bottom"/>
          </w:tcPr>
          <w:p>
            <w:pPr>
              <w:spacing w:after="0"/>
              <w:rPr>
                <w:sz w:val="10"/>
                <w:szCs w:val="10"/>
                <w:color w:val="auto"/>
              </w:rPr>
            </w:pPr>
          </w:p>
        </w:tc>
        <w:tc>
          <w:tcPr>
            <w:tcW w:w="740" w:type="dxa"/>
            <w:vAlign w:val="bottom"/>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rPr>
              <w:t>After</w:t>
            </w:r>
          </w:p>
        </w:tc>
        <w:tc>
          <w:tcPr>
            <w:tcW w:w="5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1 year</w:t>
            </w:r>
          </w:p>
        </w:tc>
        <w:tc>
          <w:tcPr>
            <w:tcW w:w="140" w:type="dxa"/>
            <w:vAlign w:val="bottom"/>
          </w:tcPr>
          <w:p>
            <w:pPr>
              <w:spacing w:after="0"/>
              <w:rPr>
                <w:sz w:val="14"/>
                <w:szCs w:val="14"/>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years</w:t>
            </w:r>
          </w:p>
        </w:tc>
        <w:tc>
          <w:tcPr>
            <w:tcW w:w="14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years</w:t>
            </w:r>
          </w:p>
        </w:tc>
        <w:tc>
          <w:tcPr>
            <w:tcW w:w="7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6"/>
              </w:rPr>
              <w:t>5 years</w:t>
            </w:r>
          </w:p>
        </w:tc>
        <w:tc>
          <w:tcPr>
            <w:tcW w:w="5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6"/>
          </w:tcPr>
          <w:p>
            <w:pPr>
              <w:jc w:val="right"/>
              <w:ind w:right="40"/>
              <w:spacing w:after="0" w:line="142" w:lineRule="exact"/>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74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11.3</w:t>
            </w: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0.3</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Other obligations</w:t>
            </w:r>
            <w:r>
              <w:rPr>
                <w:rFonts w:ascii="Arial" w:cs="Arial" w:eastAsia="Arial" w:hAnsi="Arial"/>
                <w:sz w:val="15"/>
                <w:szCs w:val="15"/>
                <w:color w:val="auto"/>
              </w:rPr>
              <w:t>(a)</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3.0</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r>
              <w:rPr>
                <w:rFonts w:ascii="Arial" w:cs="Arial" w:eastAsia="Arial" w:hAnsi="Arial"/>
                <w:sz w:val="15"/>
                <w:szCs w:val="15"/>
                <w:color w:val="auto"/>
              </w:rPr>
              <w:t>(b)</w:t>
            </w:r>
          </w:p>
        </w:tc>
        <w:tc>
          <w:tcPr>
            <w:tcW w:w="274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15.8</w:t>
            </w: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1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estimated payments under the Company’s Gratuity Plan.</w:t>
      </w:r>
    </w:p>
    <w:p>
      <w:pPr>
        <w:spacing w:after="0" w:line="23" w:lineRule="exact"/>
        <w:rPr>
          <w:rFonts w:ascii="Arial" w:cs="Arial" w:eastAsia="Arial" w:hAnsi="Arial"/>
          <w:sz w:val="18"/>
          <w:szCs w:val="18"/>
          <w:color w:val="auto"/>
        </w:rPr>
      </w:pPr>
    </w:p>
    <w:p>
      <w:pPr>
        <w:ind w:left="460" w:right="40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$5.0 million related to uncertain tax positions, since the extent of the amount and timing of payment is currently not reliably estimable or determinable.</w:t>
      </w:r>
    </w:p>
    <w:p>
      <w:pPr>
        <w:spacing w:after="0" w:line="184"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Certain units of our Indian subsidiaries were established as 100% Export-Oriented units under the Software Technology Parks of India (“STPI”) scheme promulgated by the Government of India, which provides certain incentives on imported and indigenous capital goods upon the fulfillment of certain conditions. Although the corporate tax incentives under the STPI scheme are no longer available to us, the units are required to fulfill such conditions for a limited time. In the event that these units are unable to meet those conditions over the specified period, we may be required to refund those incentives along with penalties and fines. We believe, however, that these units have in the past satisfied and will continue to satisfy the required conditions.</w:t>
      </w:r>
    </w:p>
    <w:p>
      <w:pPr>
        <w:spacing w:after="0" w:line="15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operations centers in the Philippines are registered with the Philippine Economic Zone Authority. The registration provides us with certain fiscal incentives on the import of capital goods and requires that ExlService Philippines, Inc. meet certain performance and investment criteria. We believe that these centers have in the past satisfied and will continue to satisfy the required criteria.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a description of recent accounting pronouncements, see Note 2 — “Recent Accounting Pronouncements” under Item 1 —“Financial Statements” to our unaudited consolidated financial statements included in this Quarterly Report on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During the three months ended March 31, 2014, there were no material changes in our market risk exposure. For a discussion of our market risk associated with exchange rate risk and interest rate risk, see Item 7A “Quantitative and Qualitative Disclosures about Market Risk” in our Annual Report on Form 10-K for the year ended December 31, 2013.</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to allow timely decisions regarding required financial disclosure. In connection with the preparation of this Quarterly Report on Form 10-Q, our management carried out an evaluation, under the supervision and with the participation of the CEO and CFO, of the effectiveness and operation of our disclosure controls and procedures as of March 31, 2014. Based upon that evaluation, the CEO and CFO have concluded that, as of March 31, 2014, our disclosure controls and procedures were effective.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During the three months ended March 31, 2014,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see Note 15 to our unaudited consolidated financial statements contained herein for details regarding our tax proceedings.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disclosed under the heading “Risk Factors” in our Annual Report on Form 10-K for the year ended December 31, 2013 a number of risks which may materially affect our business, financial condition or results of operations. You should carefully consider the “Risk Factors” set forth in our Annual Report on Form 10-K for the year ended December 31, 2013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3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During the three months ended March 31, 2014, we acquired 18,256 shares of common stock from employees in connection with withholding tax payments related to the vesting of restricted stock for a total consideration of $458,901. The weighted average purchase price of $25.14 was the average of the high and low price of our common stock on the Nasdaq Global Select Market on the trading day prior to the vesting date of the shares of restricted stock.</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tcPr>
          <w:p>
            <w:pPr>
              <w:ind w:left="60"/>
              <w:spacing w:after="0"/>
              <w:rPr>
                <w:sz w:val="20"/>
                <w:szCs w:val="20"/>
                <w:color w:val="auto"/>
              </w:rPr>
            </w:pPr>
            <w:r>
              <w:rPr>
                <w:rFonts w:ascii="Arial" w:cs="Arial" w:eastAsia="Arial" w:hAnsi="Arial"/>
                <w:sz w:val="18"/>
                <w:szCs w:val="18"/>
                <w:color w:val="auto"/>
              </w:rPr>
              <w:t>Form of 2014 Restricted Stock Unit Agreement under the 2006 Omnibus Award Plan.</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60"/>
              <w:spacing w:after="0"/>
              <w:rPr>
                <w:sz w:val="20"/>
                <w:szCs w:val="20"/>
                <w:color w:val="auto"/>
              </w:rPr>
            </w:pPr>
            <w:r>
              <w:rPr>
                <w:rFonts w:ascii="Arial" w:cs="Arial" w:eastAsia="Arial" w:hAnsi="Arial"/>
                <w:sz w:val="18"/>
                <w:szCs w:val="18"/>
                <w:color w:val="auto"/>
                <w:w w:val="91"/>
              </w:rPr>
              <w:t>Certification of the Chief Executive Officer of ExlService Holdings, pursuant to Rule 13a-14 of the Exchange Act, as adopted pursuant to Section</w:t>
            </w:r>
          </w:p>
        </w:tc>
      </w:tr>
      <w:tr>
        <w:trPr>
          <w:trHeight w:val="230"/>
        </w:trPr>
        <w:tc>
          <w:tcPr>
            <w:tcW w:w="760" w:type="dxa"/>
            <w:vAlign w:val="bottom"/>
          </w:tcPr>
          <w:p>
            <w:pPr>
              <w:spacing w:after="0"/>
              <w:rPr>
                <w:sz w:val="20"/>
                <w:szCs w:val="20"/>
                <w:color w:val="auto"/>
              </w:rPr>
            </w:pPr>
          </w:p>
        </w:tc>
        <w:tc>
          <w:tcPr>
            <w:tcW w:w="10560" w:type="dxa"/>
            <w:vAlign w:val="bottom"/>
          </w:tcPr>
          <w:p>
            <w:pPr>
              <w:ind w:left="60"/>
              <w:spacing w:after="0"/>
              <w:rPr>
                <w:sz w:val="20"/>
                <w:szCs w:val="20"/>
                <w:color w:val="auto"/>
              </w:rPr>
            </w:pPr>
            <w:r>
              <w:rPr>
                <w:rFonts w:ascii="Arial" w:cs="Arial" w:eastAsia="Arial" w:hAnsi="Arial"/>
                <w:sz w:val="18"/>
                <w:szCs w:val="18"/>
                <w:color w:val="auto"/>
              </w:rPr>
              <w:t>302 of the Sarbanes-Oxley Act of 2002.</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10560" w:type="dxa"/>
            <w:vAlign w:val="bottom"/>
          </w:tcPr>
          <w:p>
            <w:pPr>
              <w:ind w:left="60"/>
              <w:spacing w:after="0"/>
              <w:rPr>
                <w:sz w:val="20"/>
                <w:szCs w:val="20"/>
                <w:color w:val="auto"/>
              </w:rPr>
            </w:pPr>
            <w:r>
              <w:rPr>
                <w:rFonts w:ascii="Arial" w:cs="Arial" w:eastAsia="Arial" w:hAnsi="Arial"/>
                <w:sz w:val="18"/>
                <w:szCs w:val="18"/>
                <w:color w:val="auto"/>
                <w:w w:val="91"/>
              </w:rPr>
              <w:t>Certification of the Chief Financial Officer of ExlService Holdings, pursuant to Rule 13a-14 of the Exchange Act, as adopted pursuant to Section</w:t>
            </w:r>
          </w:p>
        </w:tc>
      </w:tr>
      <w:tr>
        <w:trPr>
          <w:trHeight w:val="230"/>
        </w:trPr>
        <w:tc>
          <w:tcPr>
            <w:tcW w:w="760" w:type="dxa"/>
            <w:vAlign w:val="bottom"/>
          </w:tcPr>
          <w:p>
            <w:pPr>
              <w:spacing w:after="0"/>
              <w:rPr>
                <w:sz w:val="20"/>
                <w:szCs w:val="20"/>
                <w:color w:val="auto"/>
              </w:rPr>
            </w:pPr>
          </w:p>
        </w:tc>
        <w:tc>
          <w:tcPr>
            <w:tcW w:w="10560" w:type="dxa"/>
            <w:vAlign w:val="bottom"/>
          </w:tcPr>
          <w:p>
            <w:pPr>
              <w:ind w:left="60"/>
              <w:spacing w:after="0"/>
              <w:rPr>
                <w:sz w:val="20"/>
                <w:szCs w:val="20"/>
                <w:color w:val="auto"/>
              </w:rPr>
            </w:pPr>
            <w:r>
              <w:rPr>
                <w:rFonts w:ascii="Arial" w:cs="Arial" w:eastAsia="Arial" w:hAnsi="Arial"/>
                <w:sz w:val="18"/>
                <w:szCs w:val="18"/>
                <w:color w:val="auto"/>
              </w:rPr>
              <w:t>302 of the Sarbanes-Oxley Act of 2002.</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10560" w:type="dxa"/>
            <w:vAlign w:val="bottom"/>
          </w:tcPr>
          <w:p>
            <w:pPr>
              <w:ind w:left="60"/>
              <w:spacing w:after="0"/>
              <w:rPr>
                <w:sz w:val="20"/>
                <w:szCs w:val="20"/>
                <w:color w:val="auto"/>
              </w:rPr>
            </w:pPr>
            <w:r>
              <w:rPr>
                <w:rFonts w:ascii="Arial" w:cs="Arial" w:eastAsia="Arial" w:hAnsi="Arial"/>
                <w:sz w:val="18"/>
                <w:szCs w:val="18"/>
                <w:color w:val="auto"/>
                <w:w w:val="91"/>
              </w:rPr>
              <w:t>Certification of the Chief Executive Officer pursuant to Rule 13a-14(b) of the Exchange Act and 18 U.S.C. Section 1350, as adopted pursuant to</w:t>
            </w:r>
          </w:p>
        </w:tc>
      </w:tr>
      <w:tr>
        <w:trPr>
          <w:trHeight w:val="230"/>
        </w:trPr>
        <w:tc>
          <w:tcPr>
            <w:tcW w:w="760" w:type="dxa"/>
            <w:vAlign w:val="bottom"/>
          </w:tcPr>
          <w:p>
            <w:pPr>
              <w:spacing w:after="0"/>
              <w:rPr>
                <w:sz w:val="20"/>
                <w:szCs w:val="20"/>
                <w:color w:val="auto"/>
              </w:rPr>
            </w:pPr>
          </w:p>
        </w:tc>
        <w:tc>
          <w:tcPr>
            <w:tcW w:w="10560" w:type="dxa"/>
            <w:vAlign w:val="bottom"/>
          </w:tcPr>
          <w:p>
            <w:pPr>
              <w:ind w:left="60"/>
              <w:spacing w:after="0"/>
              <w:rPr>
                <w:sz w:val="20"/>
                <w:szCs w:val="20"/>
                <w:color w:val="auto"/>
              </w:rPr>
            </w:pPr>
            <w:r>
              <w:rPr>
                <w:rFonts w:ascii="Arial" w:cs="Arial" w:eastAsia="Arial" w:hAnsi="Arial"/>
                <w:sz w:val="18"/>
                <w:szCs w:val="18"/>
                <w:color w:val="auto"/>
              </w:rPr>
              <w:t>Section 906 of the Sarbanes-Oxley Act of 2002.</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10560" w:type="dxa"/>
            <w:vAlign w:val="bottom"/>
          </w:tcPr>
          <w:p>
            <w:pPr>
              <w:ind w:left="60"/>
              <w:spacing w:after="0"/>
              <w:rPr>
                <w:sz w:val="20"/>
                <w:szCs w:val="20"/>
                <w:color w:val="auto"/>
              </w:rPr>
            </w:pPr>
            <w:r>
              <w:rPr>
                <w:rFonts w:ascii="Arial" w:cs="Arial" w:eastAsia="Arial" w:hAnsi="Arial"/>
                <w:sz w:val="18"/>
                <w:szCs w:val="18"/>
                <w:color w:val="auto"/>
                <w:w w:val="92"/>
              </w:rPr>
              <w:t>Certification of the Chief Financial Officer pursuant to Rule 13a-14(b) of the Exchange Act and 18 U.S.C. Section 1350, as adopted pursuant to</w:t>
            </w:r>
          </w:p>
        </w:tc>
      </w:tr>
      <w:tr>
        <w:trPr>
          <w:trHeight w:val="230"/>
        </w:trPr>
        <w:tc>
          <w:tcPr>
            <w:tcW w:w="760" w:type="dxa"/>
            <w:vAlign w:val="bottom"/>
          </w:tcPr>
          <w:p>
            <w:pPr>
              <w:spacing w:after="0"/>
              <w:rPr>
                <w:sz w:val="20"/>
                <w:szCs w:val="20"/>
                <w:color w:val="auto"/>
              </w:rPr>
            </w:pPr>
          </w:p>
        </w:tc>
        <w:tc>
          <w:tcPr>
            <w:tcW w:w="10560" w:type="dxa"/>
            <w:vAlign w:val="bottom"/>
          </w:tcPr>
          <w:p>
            <w:pPr>
              <w:ind w:left="60"/>
              <w:spacing w:after="0"/>
              <w:rPr>
                <w:sz w:val="20"/>
                <w:szCs w:val="20"/>
                <w:color w:val="auto"/>
              </w:rPr>
            </w:pPr>
            <w:r>
              <w:rPr>
                <w:rFonts w:ascii="Arial" w:cs="Arial" w:eastAsia="Arial" w:hAnsi="Arial"/>
                <w:sz w:val="18"/>
                <w:szCs w:val="18"/>
                <w:color w:val="auto"/>
              </w:rPr>
              <w:t>Section 906 of the Sarbanes-Oxley Act of 2002.</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101.INS</w:t>
            </w:r>
          </w:p>
        </w:tc>
        <w:tc>
          <w:tcPr>
            <w:tcW w:w="10560" w:type="dxa"/>
            <w:vAlign w:val="bottom"/>
          </w:tcPr>
          <w:p>
            <w:pPr>
              <w:ind w:left="60"/>
              <w:spacing w:after="0"/>
              <w:rPr>
                <w:sz w:val="20"/>
                <w:szCs w:val="20"/>
                <w:color w:val="auto"/>
              </w:rPr>
            </w:pPr>
            <w:r>
              <w:rPr>
                <w:rFonts w:ascii="Arial" w:cs="Arial" w:eastAsia="Arial" w:hAnsi="Arial"/>
                <w:sz w:val="18"/>
                <w:szCs w:val="18"/>
                <w:color w:val="auto"/>
              </w:rPr>
              <w:t>XBRL Instance Document*</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101.SCH</w:t>
            </w:r>
          </w:p>
        </w:tc>
        <w:tc>
          <w:tcPr>
            <w:tcW w:w="10560" w:type="dxa"/>
            <w:vAlign w:val="bottom"/>
          </w:tcPr>
          <w:p>
            <w:pPr>
              <w:ind w:left="6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101.CAL</w:t>
            </w:r>
          </w:p>
        </w:tc>
        <w:tc>
          <w:tcPr>
            <w:tcW w:w="10560" w:type="dxa"/>
            <w:vAlign w:val="bottom"/>
          </w:tcPr>
          <w:p>
            <w:pPr>
              <w:ind w:left="6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101.DEF</w:t>
            </w:r>
          </w:p>
        </w:tc>
        <w:tc>
          <w:tcPr>
            <w:tcW w:w="10560" w:type="dxa"/>
            <w:vAlign w:val="bottom"/>
          </w:tcPr>
          <w:p>
            <w:pPr>
              <w:ind w:left="6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101.LAB</w:t>
            </w:r>
          </w:p>
        </w:tc>
        <w:tc>
          <w:tcPr>
            <w:tcW w:w="10560" w:type="dxa"/>
            <w:vAlign w:val="bottom"/>
          </w:tcPr>
          <w:p>
            <w:pPr>
              <w:ind w:left="6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101.PRE</w:t>
            </w:r>
          </w:p>
        </w:tc>
        <w:tc>
          <w:tcPr>
            <w:tcW w:w="10560" w:type="dxa"/>
            <w:vAlign w:val="bottom"/>
          </w:tcPr>
          <w:p>
            <w:pPr>
              <w:ind w:left="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220" w:hanging="212"/>
        <w:spacing w:after="0" w:line="264"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exhibit will not be deemed “filed” for purposes of Section 18 of the Exchange Act (15 U.S.C. 78r) or otherwise subject to the liability of that section. Such exhibit will not be deemed to be incorporated by reference into any filing under the Securities Act of 1933, as amended, or the Exchange Act, except to the extent that the Company specifically incorporates it by reference.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EXLSERVICE HOLDINGS, INC.</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May 1, 2014</w:t>
      </w:r>
      <w:r>
        <w:rPr>
          <w:sz w:val="20"/>
          <w:szCs w:val="20"/>
          <w:color w:val="auto"/>
        </w:rPr>
        <w:tab/>
      </w:r>
      <w:r>
        <w:rPr>
          <w:rFonts w:ascii="Arial" w:cs="Arial" w:eastAsia="Arial" w:hAnsi="Arial"/>
          <w:sz w:val="18"/>
          <w:szCs w:val="18"/>
          <w:color w:val="auto"/>
        </w:rPr>
        <w:t>By: /</w:t>
      </w:r>
      <w:r>
        <w:rPr>
          <w:rFonts w:ascii="Arial" w:cs="Arial" w:eastAsia="Arial" w:hAnsi="Arial"/>
          <w:sz w:val="15"/>
          <w:szCs w:val="15"/>
          <w:color w:val="auto"/>
        </w:rPr>
        <w:t>S</w:t>
      </w:r>
      <w:r>
        <w:rPr>
          <w:rFonts w:ascii="Arial" w:cs="Arial" w:eastAsia="Arial" w:hAnsi="Arial"/>
          <w:sz w:val="18"/>
          <w:szCs w:val="18"/>
          <w:color w:val="auto"/>
        </w:rPr>
        <w:t>/ V</w:t>
      </w:r>
      <w:r>
        <w:rPr>
          <w:rFonts w:ascii="Arial" w:cs="Arial" w:eastAsia="Arial" w:hAnsi="Arial"/>
          <w:sz w:val="15"/>
          <w:szCs w:val="15"/>
          <w:color w:val="auto"/>
        </w:rPr>
        <w:t>ISHAL</w:t>
      </w:r>
      <w:r>
        <w:rPr>
          <w:rFonts w:ascii="Arial" w:cs="Arial" w:eastAsia="Arial" w:hAnsi="Arial"/>
          <w:sz w:val="18"/>
          <w:szCs w:val="18"/>
          <w:color w:val="auto"/>
        </w:rPr>
        <w:t xml:space="preserve"> C</w:t>
      </w:r>
      <w:r>
        <w:rPr>
          <w:rFonts w:ascii="Arial" w:cs="Arial" w:eastAsia="Arial" w:hAnsi="Arial"/>
          <w:sz w:val="15"/>
          <w:szCs w:val="15"/>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1"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Vishal Chhibbar</w:t>
      </w:r>
    </w:p>
    <w:p>
      <w:pPr>
        <w:ind w:left="6280"/>
        <w:spacing w:after="0" w:line="221" w:lineRule="auto"/>
        <w:rPr>
          <w:sz w:val="20"/>
          <w:szCs w:val="20"/>
          <w:color w:val="auto"/>
        </w:rPr>
      </w:pPr>
      <w:r>
        <w:rPr>
          <w:rFonts w:ascii="Arial" w:cs="Arial" w:eastAsia="Arial" w:hAnsi="Arial"/>
          <w:sz w:val="14"/>
          <w:szCs w:val="14"/>
          <w:b w:val="1"/>
          <w:bCs w:val="1"/>
          <w:color w:val="auto"/>
        </w:rPr>
        <w:t>Executive Vice President and</w:t>
      </w:r>
    </w:p>
    <w:p>
      <w:pPr>
        <w:ind w:left="6280"/>
        <w:spacing w:after="0" w:line="221" w:lineRule="auto"/>
        <w:rPr>
          <w:sz w:val="20"/>
          <w:szCs w:val="20"/>
          <w:color w:val="auto"/>
        </w:rPr>
      </w:pPr>
      <w:r>
        <w:rPr>
          <w:rFonts w:ascii="Arial" w:cs="Arial" w:eastAsia="Arial" w:hAnsi="Arial"/>
          <w:sz w:val="14"/>
          <w:szCs w:val="14"/>
          <w:b w:val="1"/>
          <w:bCs w:val="1"/>
          <w:color w:val="auto"/>
        </w:rPr>
        <w:t>Chief Financial Officer</w:t>
      </w:r>
    </w:p>
    <w:p>
      <w:pPr>
        <w:ind w:left="6280"/>
        <w:spacing w:after="0" w:line="222" w:lineRule="auto"/>
        <w:rPr>
          <w:sz w:val="20"/>
          <w:szCs w:val="20"/>
          <w:color w:val="auto"/>
        </w:rPr>
      </w:pPr>
      <w:r>
        <w:rPr>
          <w:rFonts w:ascii="Arial" w:cs="Arial" w:eastAsia="Arial" w:hAnsi="Arial"/>
          <w:sz w:val="14"/>
          <w:szCs w:val="14"/>
          <w:b w:val="1"/>
          <w:bCs w:val="1"/>
          <w:color w:val="auto"/>
        </w:rPr>
        <w:t>(Duly Authorized Signatory, Principal</w:t>
      </w:r>
    </w:p>
    <w:p>
      <w:pPr>
        <w:ind w:left="6280"/>
        <w:spacing w:after="0"/>
        <w:rPr>
          <w:sz w:val="20"/>
          <w:szCs w:val="20"/>
          <w:color w:val="auto"/>
        </w:rPr>
      </w:pPr>
      <w:r>
        <w:rPr>
          <w:rFonts w:ascii="Arial" w:cs="Arial" w:eastAsia="Arial" w:hAnsi="Arial"/>
          <w:sz w:val="14"/>
          <w:szCs w:val="14"/>
          <w:b w:val="1"/>
          <w:bCs w:val="1"/>
          <w:color w:val="auto"/>
        </w:rPr>
        <w:t>Financial and Accounting Officer)</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40" w:top="459" w:right="4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OMNIBUS AWARD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AGREEMENT (U.S.)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gridSpan w:val="6"/>
          </w:tcPr>
          <w:p>
            <w:pPr>
              <w:ind w:left="460"/>
              <w:spacing w:after="0"/>
              <w:rPr>
                <w:sz w:val="20"/>
                <w:szCs w:val="20"/>
                <w:color w:val="auto"/>
              </w:rPr>
            </w:pPr>
            <w:r>
              <w:rPr>
                <w:rFonts w:ascii="Arial" w:cs="Arial" w:eastAsia="Arial" w:hAnsi="Arial"/>
                <w:sz w:val="18"/>
                <w:szCs w:val="18"/>
                <w:color w:val="auto"/>
                <w:w w:val="94"/>
              </w:rPr>
              <w:t>THIS RESTRICTED STOCK UNIT AGREEMENT (the “Agreement”), is made, effective as of the</w:t>
            </w:r>
          </w:p>
        </w:tc>
        <w:tc>
          <w:tcPr>
            <w:tcW w:w="480" w:type="dxa"/>
            <w:vAlign w:val="bottom"/>
          </w:tcPr>
          <w:p>
            <w:pPr>
              <w:spacing w:after="0"/>
              <w:rPr>
                <w:sz w:val="17"/>
                <w:szCs w:val="17"/>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day of</w:t>
            </w:r>
          </w:p>
        </w:tc>
        <w:tc>
          <w:tcPr>
            <w:tcW w:w="2080" w:type="dxa"/>
            <w:vAlign w:val="bottom"/>
            <w:gridSpan w:val="2"/>
          </w:tcPr>
          <w:p>
            <w:pPr>
              <w:ind w:left="80"/>
              <w:spacing w:after="0"/>
              <w:rPr>
                <w:sz w:val="20"/>
                <w:szCs w:val="20"/>
                <w:color w:val="auto"/>
              </w:rPr>
            </w:pPr>
            <w:r>
              <w:rPr>
                <w:rFonts w:ascii="Arial" w:cs="Arial" w:eastAsia="Arial" w:hAnsi="Arial"/>
                <w:sz w:val="18"/>
                <w:szCs w:val="18"/>
                <w:color w:val="auto"/>
                <w:w w:val="93"/>
              </w:rPr>
              <w:t>, 20  (hereinafter the “Date</w:t>
            </w:r>
          </w:p>
        </w:tc>
      </w:tr>
      <w:tr>
        <w:trPr>
          <w:trHeight w:val="20"/>
        </w:trPr>
        <w:tc>
          <w:tcPr>
            <w:tcW w:w="6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96"/>
        </w:trPr>
        <w:tc>
          <w:tcPr>
            <w:tcW w:w="7720" w:type="dxa"/>
            <w:vAlign w:val="bottom"/>
            <w:gridSpan w:val="6"/>
          </w:tcPr>
          <w:p>
            <w:pPr>
              <w:spacing w:after="0" w:line="196" w:lineRule="exact"/>
              <w:rPr>
                <w:sz w:val="20"/>
                <w:szCs w:val="20"/>
                <w:color w:val="auto"/>
              </w:rPr>
            </w:pPr>
            <w:r>
              <w:rPr>
                <w:rFonts w:ascii="Arial" w:cs="Arial" w:eastAsia="Arial" w:hAnsi="Arial"/>
                <w:sz w:val="18"/>
                <w:szCs w:val="18"/>
                <w:color w:val="auto"/>
                <w:w w:val="98"/>
              </w:rPr>
              <w:t>of Grant”) by and between ExlService Holdings, Inc. a Delaware corporation (the “Company”), and</w:t>
            </w:r>
          </w:p>
        </w:tc>
        <w:tc>
          <w:tcPr>
            <w:tcW w:w="150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94"/>
              </w:rPr>
              <w:t>(the “Participant”).</w:t>
            </w: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WHEREAS, the Company has adopted the ExlService Holdings, Inc. 2006 Omnibus Award Plan (the “</w:t>
      </w:r>
      <w:r>
        <w:rPr>
          <w:rFonts w:ascii="Arial" w:cs="Arial" w:eastAsia="Arial" w:hAnsi="Arial"/>
          <w:sz w:val="18"/>
          <w:szCs w:val="18"/>
          <w:u w:val="single" w:color="auto"/>
          <w:color w:val="auto"/>
        </w:rPr>
        <w:t>Plan</w:t>
      </w:r>
      <w:r>
        <w:rPr>
          <w:rFonts w:ascii="Arial" w:cs="Arial" w:eastAsia="Arial" w:hAnsi="Arial"/>
          <w:sz w:val="18"/>
          <w:szCs w:val="18"/>
          <w:color w:val="auto"/>
        </w:rPr>
        <w:t>”), pursuant to which awards of Restricted Stock Units may be granted; and</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WHEREAS, the Compensation Committee of the Board of Directors of the Company (the “</w:t>
      </w:r>
      <w:r>
        <w:rPr>
          <w:rFonts w:ascii="Arial" w:cs="Arial" w:eastAsia="Arial" w:hAnsi="Arial"/>
          <w:sz w:val="16"/>
          <w:szCs w:val="16"/>
          <w:u w:val="single" w:color="auto"/>
          <w:color w:val="auto"/>
        </w:rPr>
        <w:t>Committee</w:t>
      </w:r>
      <w:r>
        <w:rPr>
          <w:rFonts w:ascii="Arial" w:cs="Arial" w:eastAsia="Arial" w:hAnsi="Arial"/>
          <w:sz w:val="16"/>
          <w:szCs w:val="16"/>
          <w:color w:val="auto"/>
        </w:rPr>
        <w:t>”) has determined that it is in the best interests of the Company and its stockholders to grant to the Participant an award of Restricted Stock Units as provided herein and subject to the terms set forth herein.</w:t>
      </w:r>
    </w:p>
    <w:p>
      <w:pPr>
        <w:spacing w:after="0" w:line="124"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u w:val="single" w:color="auto"/>
          <w:color w:val="auto"/>
        </w:rPr>
        <w:t>Grant of Restricted Stock Units</w:t>
      </w:r>
      <w:r>
        <w:rPr>
          <w:rFonts w:ascii="Arial" w:cs="Arial" w:eastAsia="Arial" w:hAnsi="Arial"/>
          <w:sz w:val="17"/>
          <w:szCs w:val="17"/>
          <w:color w:val="auto"/>
        </w:rPr>
        <w:t>. The Company hereby grants on the Date of Grant, to the Participant a total of [—] Restricted Stock Units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on the terms and conditions set forth in this Agreement and as otherwise provided in the Plan. Such Restricted Stock Units shall be credited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separate account maintained for the Participant on the books of the Company (the “</w:t>
      </w:r>
      <w:r>
        <w:rPr>
          <w:rFonts w:ascii="Arial" w:cs="Arial" w:eastAsia="Arial" w:hAnsi="Arial"/>
          <w:sz w:val="16"/>
          <w:szCs w:val="16"/>
          <w:u w:val="single" w:color="auto"/>
          <w:color w:val="auto"/>
        </w:rPr>
        <w:t>Account</w:t>
      </w:r>
      <w:r>
        <w:rPr>
          <w:rFonts w:ascii="Arial" w:cs="Arial" w:eastAsia="Arial" w:hAnsi="Arial"/>
          <w:sz w:val="16"/>
          <w:szCs w:val="16"/>
          <w:color w:val="auto"/>
        </w:rPr>
        <w:t>”). On any given date, the value of each Restricted Stock Unit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comprising the Award shall equal the Fair Market Value of one share of Common Stock. The Award shall vest in accordance with Section 3 hereof and settle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Section 4 hereof.</w:t>
      </w:r>
    </w:p>
    <w:p>
      <w:pPr>
        <w:spacing w:after="0" w:line="211" w:lineRule="exact"/>
        <w:rPr>
          <w:sz w:val="20"/>
          <w:szCs w:val="20"/>
          <w:color w:val="auto"/>
        </w:rPr>
      </w:pPr>
    </w:p>
    <w:p>
      <w:pPr>
        <w:ind w:right="280" w:firstLine="464"/>
        <w:spacing w:after="0" w:line="257"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 Etc</w:t>
      </w:r>
      <w:r>
        <w:rPr>
          <w:rFonts w:ascii="Arial" w:cs="Arial" w:eastAsia="Arial" w:hAnsi="Arial"/>
          <w:sz w:val="18"/>
          <w:szCs w:val="18"/>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w:t>
      </w:r>
    </w:p>
    <w:p>
      <w:pPr>
        <w:spacing w:after="0" w:line="188" w:lineRule="exact"/>
        <w:rPr>
          <w:rFonts w:ascii="Arial" w:cs="Arial" w:eastAsia="Arial" w:hAnsi="Arial"/>
          <w:sz w:val="18"/>
          <w:szCs w:val="18"/>
          <w:color w:val="auto"/>
        </w:rPr>
      </w:pPr>
    </w:p>
    <w:p>
      <w:pPr>
        <w:jc w:val="both"/>
        <w:ind w:right="160" w:firstLine="464"/>
        <w:spacing w:after="0" w:line="259"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otherwise provided herein, fifty percent (50%) of the Award shall vest based on continued employment with the Company (the “</w:t>
      </w:r>
      <w:r>
        <w:rPr>
          <w:rFonts w:ascii="Arial" w:cs="Arial" w:eastAsia="Arial" w:hAnsi="Arial"/>
          <w:sz w:val="18"/>
          <w:szCs w:val="18"/>
          <w:u w:val="single" w:color="auto"/>
          <w:color w:val="auto"/>
        </w:rPr>
        <w:t>Time-Based RSUs</w:t>
      </w:r>
      <w:r>
        <w:rPr>
          <w:rFonts w:ascii="Arial" w:cs="Arial" w:eastAsia="Arial" w:hAnsi="Arial"/>
          <w:sz w:val="18"/>
          <w:szCs w:val="18"/>
          <w:color w:val="auto"/>
        </w:rPr>
        <w:t>”) and fifty percent (50%) of the Award shall vest based on continued employment with the Company and the achievement of specified performance criteria described herein (the “</w:t>
      </w:r>
      <w:r>
        <w:rPr>
          <w:rFonts w:ascii="Arial" w:cs="Arial" w:eastAsia="Arial" w:hAnsi="Arial"/>
          <w:sz w:val="18"/>
          <w:szCs w:val="18"/>
          <w:u w:val="single" w:color="auto"/>
          <w:color w:val="auto"/>
        </w:rPr>
        <w:t>Performance-Based RSUs</w:t>
      </w:r>
      <w:r>
        <w:rPr>
          <w:rFonts w:ascii="Arial" w:cs="Arial" w:eastAsia="Arial" w:hAnsi="Arial"/>
          <w:sz w:val="18"/>
          <w:szCs w:val="18"/>
          <w:color w:val="auto"/>
        </w:rPr>
        <w:t>”). Each day on which a portion of the Award vests in accordance with this Agreement is referred to as a “</w:t>
      </w:r>
      <w:r>
        <w:rPr>
          <w:rFonts w:ascii="Arial" w:cs="Arial" w:eastAsia="Arial" w:hAnsi="Arial"/>
          <w:sz w:val="18"/>
          <w:szCs w:val="18"/>
          <w:u w:val="single" w:color="auto"/>
          <w:color w:val="auto"/>
        </w:rPr>
        <w:t>Vesting Date</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35" w:name="page36"/>
    <w:bookmarkEnd w:id="35"/>
    <w:p>
      <w:pPr>
        <w:ind w:left="1120" w:hanging="239"/>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Time-Based RSUs.</w:t>
      </w:r>
    </w:p>
    <w:p>
      <w:pPr>
        <w:spacing w:after="0" w:line="117" w:lineRule="exact"/>
        <w:rPr>
          <w:rFonts w:ascii="Arial" w:cs="Arial" w:eastAsia="Arial" w:hAnsi="Arial"/>
          <w:sz w:val="18"/>
          <w:szCs w:val="18"/>
          <w:color w:val="auto"/>
        </w:rPr>
      </w:pPr>
    </w:p>
    <w:p>
      <w:pPr>
        <w:ind w:left="880" w:firstLine="421"/>
        <w:spacing w:after="0" w:line="277" w:lineRule="auto"/>
        <w:tabs>
          <w:tab w:leader="none" w:pos="1515"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Subject to the Participant’s continued employment with the Company through each applicable Vesting Date listed in the chart below (the “</w:t>
      </w:r>
      <w:r>
        <w:rPr>
          <w:rFonts w:ascii="Arial" w:cs="Arial" w:eastAsia="Arial" w:hAnsi="Arial"/>
          <w:sz w:val="18"/>
          <w:szCs w:val="18"/>
          <w:u w:val="single" w:color="auto"/>
          <w:color w:val="auto"/>
        </w:rPr>
        <w:t>Vesting Chart</w:t>
      </w:r>
      <w:r>
        <w:rPr>
          <w:rFonts w:ascii="Arial" w:cs="Arial" w:eastAsia="Arial" w:hAnsi="Arial"/>
          <w:sz w:val="18"/>
          <w:szCs w:val="18"/>
          <w:color w:val="auto"/>
        </w:rPr>
        <w:t>”), the Time-Based RSUs shall become vested as follows:</w:t>
      </w:r>
    </w:p>
    <w:p>
      <w:pPr>
        <w:spacing w:after="0" w:line="193" w:lineRule="exact"/>
        <w:rPr>
          <w:sz w:val="20"/>
          <w:szCs w:val="20"/>
          <w:color w:val="auto"/>
        </w:rPr>
      </w:pPr>
    </w:p>
    <w:tbl>
      <w:tblPr>
        <w:tblLayout w:type="fixed"/>
        <w:tblInd w:w="1800" w:type="dxa"/>
        <w:tblCellMar>
          <w:top w:w="0" w:type="dxa"/>
          <w:left w:w="0" w:type="dxa"/>
          <w:bottom w:w="0" w:type="dxa"/>
          <w:right w:w="0" w:type="dxa"/>
        </w:tblCellMar>
      </w:tblPr>
      <w:tr>
        <w:trPr>
          <w:trHeight w:val="167"/>
        </w:trPr>
        <w:tc>
          <w:tcPr>
            <w:tcW w:w="80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4"/>
                <w:szCs w:val="14"/>
                <w:color w:val="auto"/>
                <w:w w:val="90"/>
              </w:rPr>
              <w:t>Vested Percent of Time-Based RSUs</w:t>
            </w:r>
            <w:r>
              <w:rPr>
                <w:rFonts w:ascii="Arial" w:cs="Arial" w:eastAsia="Arial" w:hAnsi="Arial"/>
                <w:sz w:val="12"/>
                <w:szCs w:val="12"/>
                <w:color w:val="auto"/>
                <w:w w:val="90"/>
              </w:rPr>
              <w:t>1</w:t>
            </w:r>
          </w:p>
        </w:tc>
        <w:tc>
          <w:tcPr>
            <w:tcW w:w="394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Vesting Date</w:t>
            </w:r>
          </w:p>
        </w:tc>
      </w:tr>
      <w:tr>
        <w:trPr>
          <w:trHeight w:val="20"/>
        </w:trPr>
        <w:tc>
          <w:tcPr>
            <w:tcW w:w="8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4780" w:type="dxa"/>
            <w:vAlign w:val="bottom"/>
            <w:gridSpan w:val="3"/>
            <w:shd w:val="clear" w:color="auto" w:fill="CCEEFF"/>
          </w:tcPr>
          <w:p>
            <w:pPr>
              <w:jc w:val="center"/>
              <w:ind w:left="3750"/>
              <w:spacing w:after="0"/>
              <w:rPr>
                <w:sz w:val="20"/>
                <w:szCs w:val="20"/>
                <w:color w:val="auto"/>
              </w:rPr>
            </w:pPr>
            <w:r>
              <w:rPr>
                <w:rFonts w:ascii="Arial" w:cs="Arial" w:eastAsia="Arial" w:hAnsi="Arial"/>
                <w:sz w:val="18"/>
                <w:szCs w:val="18"/>
                <w:color w:val="auto"/>
                <w:w w:val="91"/>
              </w:rPr>
              <w:t>[Insert Date]</w:t>
            </w:r>
          </w:p>
        </w:tc>
      </w:tr>
      <w:tr>
        <w:trPr>
          <w:trHeight w:val="216"/>
        </w:trPr>
        <w:tc>
          <w:tcPr>
            <w:tcW w:w="2980" w:type="dxa"/>
            <w:vAlign w:val="bottom"/>
            <w:gridSpan w:val="2"/>
          </w:tcPr>
          <w:p>
            <w:pPr>
              <w:jc w:val="center"/>
              <w:ind w:left="710"/>
              <w:spacing w:after="0"/>
              <w:rPr>
                <w:sz w:val="20"/>
                <w:szCs w:val="20"/>
                <w:color w:val="auto"/>
              </w:rPr>
            </w:pPr>
            <w:r>
              <w:rPr>
                <w:rFonts w:ascii="Arial" w:cs="Arial" w:eastAsia="Arial" w:hAnsi="Arial"/>
                <w:sz w:val="18"/>
                <w:szCs w:val="18"/>
                <w:color w:val="auto"/>
                <w:w w:val="94"/>
              </w:rPr>
              <w:t>30%</w:t>
            </w:r>
          </w:p>
        </w:tc>
        <w:tc>
          <w:tcPr>
            <w:tcW w:w="4780" w:type="dxa"/>
            <w:vAlign w:val="bottom"/>
            <w:gridSpan w:val="3"/>
          </w:tcPr>
          <w:p>
            <w:pPr>
              <w:jc w:val="center"/>
              <w:ind w:left="3750"/>
              <w:spacing w:after="0"/>
              <w:rPr>
                <w:sz w:val="20"/>
                <w:szCs w:val="20"/>
                <w:color w:val="auto"/>
              </w:rPr>
            </w:pPr>
            <w:r>
              <w:rPr>
                <w:rFonts w:ascii="Arial" w:cs="Arial" w:eastAsia="Arial" w:hAnsi="Arial"/>
                <w:sz w:val="18"/>
                <w:szCs w:val="18"/>
                <w:color w:val="auto"/>
                <w:w w:val="91"/>
              </w:rPr>
              <w:t>[Insert Date]</w:t>
            </w:r>
          </w:p>
        </w:tc>
      </w:tr>
      <w:tr>
        <w:trPr>
          <w:trHeight w:val="216"/>
        </w:trPr>
        <w:tc>
          <w:tcPr>
            <w:tcW w:w="2980" w:type="dxa"/>
            <w:vAlign w:val="bottom"/>
            <w:gridSpan w:val="2"/>
            <w:shd w:val="clear" w:color="auto" w:fill="CCEEFF"/>
          </w:tcPr>
          <w:p>
            <w:pPr>
              <w:jc w:val="center"/>
              <w:ind w:left="710"/>
              <w:spacing w:after="0"/>
              <w:rPr>
                <w:sz w:val="20"/>
                <w:szCs w:val="20"/>
                <w:color w:val="auto"/>
              </w:rPr>
            </w:pPr>
            <w:r>
              <w:rPr>
                <w:rFonts w:ascii="Arial" w:cs="Arial" w:eastAsia="Arial" w:hAnsi="Arial"/>
                <w:sz w:val="18"/>
                <w:szCs w:val="18"/>
                <w:color w:val="auto"/>
                <w:w w:val="94"/>
              </w:rPr>
              <w:t>60%</w:t>
            </w:r>
          </w:p>
        </w:tc>
        <w:tc>
          <w:tcPr>
            <w:tcW w:w="4780" w:type="dxa"/>
            <w:vAlign w:val="bottom"/>
            <w:gridSpan w:val="3"/>
            <w:shd w:val="clear" w:color="auto" w:fill="CCEEFF"/>
          </w:tcPr>
          <w:p>
            <w:pPr>
              <w:jc w:val="center"/>
              <w:ind w:left="3750"/>
              <w:spacing w:after="0"/>
              <w:rPr>
                <w:sz w:val="20"/>
                <w:szCs w:val="20"/>
                <w:color w:val="auto"/>
              </w:rPr>
            </w:pPr>
            <w:r>
              <w:rPr>
                <w:rFonts w:ascii="Arial" w:cs="Arial" w:eastAsia="Arial" w:hAnsi="Arial"/>
                <w:sz w:val="18"/>
                <w:szCs w:val="18"/>
                <w:color w:val="auto"/>
                <w:w w:val="91"/>
              </w:rPr>
              <w:t>[Insert Date]</w:t>
            </w:r>
          </w:p>
        </w:tc>
      </w:tr>
      <w:tr>
        <w:trPr>
          <w:trHeight w:val="230"/>
        </w:trPr>
        <w:tc>
          <w:tcPr>
            <w:tcW w:w="2980" w:type="dxa"/>
            <w:vAlign w:val="bottom"/>
            <w:gridSpan w:val="2"/>
          </w:tcPr>
          <w:p>
            <w:pPr>
              <w:jc w:val="center"/>
              <w:ind w:left="710"/>
              <w:spacing w:after="0"/>
              <w:rPr>
                <w:sz w:val="20"/>
                <w:szCs w:val="20"/>
                <w:color w:val="auto"/>
              </w:rPr>
            </w:pPr>
            <w:r>
              <w:rPr>
                <w:rFonts w:ascii="Arial" w:cs="Arial" w:eastAsia="Arial" w:hAnsi="Arial"/>
                <w:sz w:val="18"/>
                <w:szCs w:val="18"/>
                <w:color w:val="auto"/>
                <w:w w:val="91"/>
              </w:rPr>
              <w:t>100%</w:t>
            </w:r>
          </w:p>
        </w:tc>
        <w:tc>
          <w:tcPr>
            <w:tcW w:w="4780" w:type="dxa"/>
            <w:vAlign w:val="bottom"/>
            <w:gridSpan w:val="3"/>
          </w:tcPr>
          <w:p>
            <w:pPr>
              <w:jc w:val="center"/>
              <w:ind w:left="3750"/>
              <w:spacing w:after="0"/>
              <w:rPr>
                <w:sz w:val="20"/>
                <w:szCs w:val="20"/>
                <w:color w:val="auto"/>
              </w:rPr>
            </w:pPr>
            <w:r>
              <w:rPr>
                <w:rFonts w:ascii="Arial" w:cs="Arial" w:eastAsia="Arial" w:hAnsi="Arial"/>
                <w:sz w:val="18"/>
                <w:szCs w:val="18"/>
                <w:color w:val="auto"/>
                <w:w w:val="91"/>
              </w:rPr>
              <w:t>[Insert Date]</w:t>
            </w:r>
          </w:p>
        </w:tc>
      </w:tr>
    </w:tbl>
    <w:p>
      <w:pPr>
        <w:spacing w:after="0" w:line="187" w:lineRule="exact"/>
        <w:rPr>
          <w:sz w:val="20"/>
          <w:szCs w:val="20"/>
          <w:color w:val="auto"/>
        </w:rPr>
      </w:pPr>
    </w:p>
    <w:p>
      <w:pPr>
        <w:ind w:left="880" w:right="120" w:firstLine="421"/>
        <w:spacing w:after="0" w:line="297" w:lineRule="auto"/>
        <w:tabs>
          <w:tab w:leader="none" w:pos="1565"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(A) Notwithstanding the foregoing, in the event that a “Change in Control” (which for purposes of this Agreement shall have the meaning set forth in the Plan as modified by the language at the end of this Section 3) occurs at a time when any portion of the Time-Based RSUs remain unvested, then effective upon the consummation of the Change in Control, the vesting of the portion of the Time-Based RSUs which is not then fully vested shall accelerate such that any portion of the Time-Based RSUs which would have become vested during the one-year period following the Change in Control shall become vested effective as of the consummation of the Change in Control.</w:t>
      </w:r>
    </w:p>
    <w:p>
      <w:pPr>
        <w:spacing w:after="0" w:line="50" w:lineRule="exact"/>
        <w:rPr>
          <w:rFonts w:ascii="Arial" w:cs="Arial" w:eastAsia="Arial" w:hAnsi="Arial"/>
          <w:sz w:val="16"/>
          <w:szCs w:val="16"/>
          <w:color w:val="auto"/>
        </w:rPr>
      </w:pPr>
    </w:p>
    <w:p>
      <w:pPr>
        <w:ind w:left="1460" w:right="100" w:firstLine="389"/>
        <w:spacing w:after="0" w:line="255" w:lineRule="auto"/>
        <w:tabs>
          <w:tab w:leader="none" w:pos="2142" w:val="left"/>
        </w:tabs>
        <w:numPr>
          <w:ilvl w:val="2"/>
          <w:numId w:val="13"/>
        </w:numPr>
        <w:rPr>
          <w:rFonts w:ascii="Arial" w:cs="Arial" w:eastAsia="Arial" w:hAnsi="Arial"/>
          <w:sz w:val="18"/>
          <w:szCs w:val="18"/>
          <w:color w:val="auto"/>
        </w:rPr>
      </w:pPr>
      <w:r>
        <w:rPr>
          <w:rFonts w:ascii="Arial" w:cs="Arial" w:eastAsia="Arial" w:hAnsi="Arial"/>
          <w:sz w:val="18"/>
          <w:szCs w:val="18"/>
          <w:color w:val="auto"/>
        </w:rPr>
        <w:t>In addition: (1) in the event that Participant’s employment by the Company is terminated by the Company without Cause (as defined in the Plan) (x) at any time following a Change in Control or (y) in specific contemplation of a Change in Control or (2) in the event Participant resigns with “Good Reason” (as defined below) at any time following a Change in Control, Participant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any portion of the Time-Based RSUs which is unvested as of the termination date.</w:t>
      </w:r>
    </w:p>
    <w:p>
      <w:pPr>
        <w:spacing w:after="0" w:line="81" w:lineRule="exact"/>
        <w:rPr>
          <w:rFonts w:ascii="Arial" w:cs="Arial" w:eastAsia="Arial" w:hAnsi="Arial"/>
          <w:sz w:val="18"/>
          <w:szCs w:val="18"/>
          <w:color w:val="auto"/>
        </w:rPr>
      </w:pPr>
    </w:p>
    <w:p>
      <w:pPr>
        <w:ind w:left="1460" w:right="360" w:firstLine="389"/>
        <w:spacing w:after="0" w:line="264" w:lineRule="auto"/>
        <w:tabs>
          <w:tab w:leader="none" w:pos="2142"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term “Good Reason” shall have the meaning set forth in any employment, consulting or other agreement between the Company or an Affiliate and the Participant in effect on the date hereof, or, in the absence of such definition therein, the occurrence, without Participant’s prior written consent, of any of the following events:</w:t>
      </w:r>
    </w:p>
    <w:p>
      <w:pPr>
        <w:spacing w:after="0" w:line="73" w:lineRule="exact"/>
        <w:rPr>
          <w:rFonts w:ascii="Arial" w:cs="Arial" w:eastAsia="Arial" w:hAnsi="Arial"/>
          <w:sz w:val="18"/>
          <w:szCs w:val="18"/>
          <w:color w:val="auto"/>
        </w:rPr>
      </w:pPr>
    </w:p>
    <w:p>
      <w:pPr>
        <w:ind w:left="2540" w:hanging="253"/>
        <w:spacing w:after="0"/>
        <w:tabs>
          <w:tab w:leader="none" w:pos="2540" w:val="left"/>
        </w:tabs>
        <w:numPr>
          <w:ilvl w:val="3"/>
          <w:numId w:val="13"/>
        </w:numPr>
        <w:rPr>
          <w:rFonts w:ascii="Arial" w:cs="Arial" w:eastAsia="Arial" w:hAnsi="Arial"/>
          <w:sz w:val="18"/>
          <w:szCs w:val="18"/>
          <w:color w:val="auto"/>
        </w:rPr>
      </w:pPr>
      <w:r>
        <w:rPr>
          <w:rFonts w:ascii="Arial" w:cs="Arial" w:eastAsia="Arial" w:hAnsi="Arial"/>
          <w:sz w:val="18"/>
          <w:szCs w:val="18"/>
          <w:color w:val="auto"/>
        </w:rPr>
        <w:t>a substantial reduction of Participant’s duties or responsibilities, or Participant being required to report to any</w:t>
      </w:r>
    </w:p>
    <w:p>
      <w:pPr>
        <w:spacing w:after="0" w:line="319" w:lineRule="exact"/>
        <w:rPr>
          <w:rFonts w:ascii="Arial" w:cs="Arial" w:eastAsia="Arial" w:hAnsi="Arial"/>
          <w:sz w:val="18"/>
          <w:szCs w:val="18"/>
          <w:color w:val="auto"/>
        </w:rPr>
      </w:pPr>
    </w:p>
    <w:p>
      <w:pPr>
        <w:ind w:left="420" w:right="460" w:hanging="446"/>
        <w:spacing w:after="0" w:line="277"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The vesting schedule provided in this chart applies to grants of Time-Based RSUs to all Named Executive Officers, except for Rahit Kapoor. The applicable vesting schedule for Time-Based RSUs granted to Mr. Kapoor is 25%, 50%, 75%, and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-327660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74" w:right="279" w:bottom="1440" w:gutter="0" w:footer="0" w:header="0"/>
        </w:sectPr>
      </w:pPr>
    </w:p>
    <w:bookmarkStart w:id="36" w:name="page37"/>
    <w:bookmarkEnd w:id="36"/>
    <w:p>
      <w:pPr>
        <w:jc w:val="both"/>
        <w:ind w:left="102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 other than the Board or the Company’s Chief Executive Officer or President;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a constitute a significant reduction of Participant’s duties and authorities hereunder;</w:t>
      </w:r>
    </w:p>
    <w:p>
      <w:pPr>
        <w:spacing w:after="0" w:line="79" w:lineRule="exact"/>
        <w:rPr>
          <w:sz w:val="20"/>
          <w:szCs w:val="20"/>
          <w:color w:val="auto"/>
        </w:rPr>
      </w:pPr>
    </w:p>
    <w:p>
      <w:pPr>
        <w:ind w:left="1020" w:right="200" w:firstLine="387"/>
        <w:spacing w:after="0" w:line="259" w:lineRule="auto"/>
        <w:tabs>
          <w:tab w:leader="none" w:pos="1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Participant’s job title is adversely changed,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constitute a significant reduction of Participant’s duties and authorities hereunder;</w:t>
      </w:r>
    </w:p>
    <w:p>
      <w:pPr>
        <w:spacing w:after="0" w:line="78" w:lineRule="exact"/>
        <w:rPr>
          <w:rFonts w:ascii="Arial" w:cs="Arial" w:eastAsia="Arial" w:hAnsi="Arial"/>
          <w:sz w:val="18"/>
          <w:szCs w:val="18"/>
          <w:color w:val="auto"/>
        </w:rPr>
      </w:pPr>
    </w:p>
    <w:p>
      <w:pPr>
        <w:ind w:left="1020" w:right="20" w:firstLine="387"/>
        <w:spacing w:after="0" w:line="277" w:lineRule="auto"/>
        <w:tabs>
          <w:tab w:leader="none" w:pos="1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following a Change in Control, a change in the office or location where Participant is based of more than thirty (30) miles, which new location is more than thirty (30) miles from Participant’s primary residence; or</w:t>
      </w:r>
    </w:p>
    <w:p>
      <w:pPr>
        <w:spacing w:after="0" w:line="62" w:lineRule="exact"/>
        <w:rPr>
          <w:rFonts w:ascii="Arial" w:cs="Arial" w:eastAsia="Arial" w:hAnsi="Arial"/>
          <w:sz w:val="18"/>
          <w:szCs w:val="18"/>
          <w:color w:val="auto"/>
        </w:rPr>
      </w:pPr>
    </w:p>
    <w:p>
      <w:pPr>
        <w:ind w:left="1020" w:right="140" w:firstLine="387"/>
        <w:spacing w:after="0" w:line="277" w:lineRule="auto"/>
        <w:tabs>
          <w:tab w:leader="none" w:pos="1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following a Change in Control, a breach by the Company of any material term of any employment, consulting, or similar agreement between the Company and Participant;</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provided that, a termination by Participant with Good Reason shall be effective only if, within thirty (30) days following Participant’s first becoming aware of the circumstances giving rise to Good Reason, Participant delivers a “notice of termination” for Good Reason to the Company, and the Company within fifteen (15) days following its receipt of such notification has failed to cure the circumstances giving rise to Good Reason.</w:t>
      </w:r>
    </w:p>
    <w:p>
      <w:pPr>
        <w:spacing w:after="0" w:line="187" w:lineRule="exact"/>
        <w:rPr>
          <w:sz w:val="20"/>
          <w:szCs w:val="20"/>
          <w:color w:val="auto"/>
        </w:rPr>
      </w:pPr>
    </w:p>
    <w:p>
      <w:pPr>
        <w:ind w:left="260" w:hanging="259"/>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Performance-Based RSUs.</w:t>
      </w:r>
    </w:p>
    <w:p>
      <w:pPr>
        <w:spacing w:after="0" w:line="117" w:lineRule="exact"/>
        <w:rPr>
          <w:rFonts w:ascii="Arial" w:cs="Arial" w:eastAsia="Arial" w:hAnsi="Arial"/>
          <w:sz w:val="18"/>
          <w:szCs w:val="18"/>
          <w:color w:val="auto"/>
        </w:rPr>
      </w:pPr>
    </w:p>
    <w:p>
      <w:pPr>
        <w:ind w:firstLine="421"/>
        <w:spacing w:after="0" w:line="273" w:lineRule="auto"/>
        <w:tabs>
          <w:tab w:leader="none" w:pos="635"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xml:space="preserve">. Except as otherwise provided herein, fifty percent (50%) of the Performance-Based RSUs shall cliff vest on December 31, 2016, based on continuous service with the Company through such Vesting Date and the achievement of Company revenues against the annual revenue targets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Revenue-Based RSUs</w:t>
      </w:r>
      <w:r>
        <w:rPr>
          <w:rFonts w:ascii="Arial" w:cs="Arial" w:eastAsia="Arial" w:hAnsi="Arial"/>
          <w:sz w:val="17"/>
          <w:szCs w:val="17"/>
          <w:color w:val="auto"/>
        </w:rPr>
        <w:t>”); and fifty percent (50%) of the Performance-Based RSUs shall cliff vest on December 31, 2016, based on continuous service with the Company through such Vesting Date and the achievement of relative total stockholder return (“</w:t>
      </w:r>
      <w:r>
        <w:rPr>
          <w:rFonts w:ascii="Arial" w:cs="Arial" w:eastAsia="Arial" w:hAnsi="Arial"/>
          <w:sz w:val="17"/>
          <w:szCs w:val="17"/>
          <w:u w:val="single" w:color="auto"/>
          <w:color w:val="auto"/>
        </w:rPr>
        <w:t>TSR</w:t>
      </w:r>
      <w:r>
        <w:rPr>
          <w:rFonts w:ascii="Arial" w:cs="Arial" w:eastAsia="Arial" w:hAnsi="Arial"/>
          <w:sz w:val="17"/>
          <w:szCs w:val="17"/>
          <w:color w:val="auto"/>
        </w:rPr>
        <w:t xml:space="preserve">”) performance of the Company against the Peer Group (as defined on </w:t>
      </w:r>
      <w:r>
        <w:rPr>
          <w:rFonts w:ascii="Arial" w:cs="Arial" w:eastAsia="Arial" w:hAnsi="Arial"/>
          <w:sz w:val="17"/>
          <w:szCs w:val="17"/>
          <w:u w:val="single" w:color="auto"/>
          <w:color w:val="auto"/>
        </w:rPr>
        <w:t>Exhibit B</w:t>
      </w:r>
      <w:r>
        <w:rPr>
          <w:rFonts w:ascii="Arial" w:cs="Arial" w:eastAsia="Arial" w:hAnsi="Arial"/>
          <w:sz w:val="17"/>
          <w:szCs w:val="17"/>
          <w:color w:val="auto"/>
        </w:rPr>
        <w:t>) over the period from January 31, 2014 through December 31, 2016 (the “</w:t>
      </w:r>
      <w:r>
        <w:rPr>
          <w:rFonts w:ascii="Arial" w:cs="Arial" w:eastAsia="Arial" w:hAnsi="Arial"/>
          <w:sz w:val="17"/>
          <w:szCs w:val="17"/>
          <w:u w:val="single" w:color="auto"/>
          <w:color w:val="auto"/>
        </w:rPr>
        <w:t>TSR Performance Period</w:t>
      </w:r>
      <w:r>
        <w:rPr>
          <w:rFonts w:ascii="Arial" w:cs="Arial" w:eastAsia="Arial" w:hAnsi="Arial"/>
          <w:sz w:val="17"/>
          <w:szCs w:val="17"/>
          <w:color w:val="auto"/>
        </w:rPr>
        <w:t xml:space="preserve">”) as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TSR-Based RSUs</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680" w:hanging="259"/>
        <w:spacing w:after="0"/>
        <w:tabs>
          <w:tab w:leader="none" w:pos="680"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Notwithstanding the foregoing:</w:t>
      </w:r>
    </w:p>
    <w:p>
      <w:pPr>
        <w:spacing w:after="0" w:line="117" w:lineRule="exact"/>
        <w:rPr>
          <w:rFonts w:ascii="Arial" w:cs="Arial" w:eastAsia="Arial" w:hAnsi="Arial"/>
          <w:sz w:val="18"/>
          <w:szCs w:val="18"/>
          <w:color w:val="auto"/>
        </w:rPr>
      </w:pPr>
    </w:p>
    <w:p>
      <w:pPr>
        <w:ind w:left="1260" w:hanging="291"/>
        <w:spacing w:after="0"/>
        <w:tabs>
          <w:tab w:leader="none" w:pos="1260" w:val="left"/>
        </w:tabs>
        <w:numPr>
          <w:ilvl w:val="2"/>
          <w:numId w:val="15"/>
        </w:numPr>
        <w:rPr>
          <w:rFonts w:ascii="Arial" w:cs="Arial" w:eastAsia="Arial" w:hAnsi="Arial"/>
          <w:sz w:val="17"/>
          <w:szCs w:val="17"/>
          <w:color w:val="auto"/>
        </w:rPr>
      </w:pPr>
      <w:r>
        <w:rPr>
          <w:rFonts w:ascii="Arial" w:cs="Arial" w:eastAsia="Arial" w:hAnsi="Arial"/>
          <w:sz w:val="17"/>
          <w:szCs w:val="17"/>
          <w:u w:val="single" w:color="auto"/>
          <w:color w:val="auto"/>
        </w:rPr>
        <w:t>Revenue-Based RSUs</w:t>
      </w:r>
      <w:r>
        <w:rPr>
          <w:rFonts w:ascii="Arial" w:cs="Arial" w:eastAsia="Arial" w:hAnsi="Arial"/>
          <w:sz w:val="17"/>
          <w:szCs w:val="17"/>
          <w:color w:val="auto"/>
        </w:rPr>
        <w:t>. In the event that a Change in Control occurs before December 31, 2016, one hundred percent</w:t>
      </w:r>
    </w:p>
    <w:p>
      <w:pPr>
        <w:spacing w:after="0" w:line="16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0"/>
          </w:cols>
          <w:pgMar w:left="1160" w:top="274" w:right="239" w:bottom="1440" w:gutter="0" w:footer="0" w:header="0"/>
        </w:sectPr>
      </w:pPr>
    </w:p>
    <w:bookmarkStart w:id="37" w:name="page38"/>
    <w:bookmarkEnd w:id="37"/>
    <w:p>
      <w:pPr>
        <w:ind w:left="300"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(100%) of the Revenue-Based RSUs will be deemed earned as of the date of the Change in Control. For the avoidance of doubt, in such event, the Participant will be unable to earn any additional Revenue-Based RSUs.</w:t>
      </w:r>
    </w:p>
    <w:p>
      <w:pPr>
        <w:spacing w:after="0" w:line="62" w:lineRule="exact"/>
        <w:rPr>
          <w:sz w:val="20"/>
          <w:szCs w:val="20"/>
          <w:color w:val="auto"/>
        </w:rPr>
      </w:pPr>
    </w:p>
    <w:p>
      <w:pPr>
        <w:ind w:left="300" w:firstLine="389"/>
        <w:spacing w:after="0" w:line="270" w:lineRule="auto"/>
        <w:tabs>
          <w:tab w:leader="none" w:pos="982"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TSR-Based RSUs</w:t>
      </w:r>
      <w:r>
        <w:rPr>
          <w:rFonts w:ascii="Arial" w:cs="Arial" w:eastAsia="Arial" w:hAnsi="Arial"/>
          <w:sz w:val="17"/>
          <w:szCs w:val="17"/>
          <w:color w:val="auto"/>
        </w:rPr>
        <w:t xml:space="preserve">. In the event that a Change in Control occurs on or before the first anniversary of the Date of Grant, one hundred percent (100%) of the TSR-Based RSUs will be deemed earned. For the avoidance of doubt, in such event, the Participant will be unable to earn any additional TSR-Based RSUs. In the event that a Change in Control occurs after the first anniversary of the Date of Grant, then (i) the TSR Performance Period shall be deemed to end on the date of the Change in Control, and the Committee shall determine the TSR of the Company and the Peer Group (as defined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as of such date, and shall determine the number of TSR-Based RSUs earned by the Participant; and (ii) for purposes of determination of the Company’s TSR for the TSR Performance Period, the Company’s stock price shall be equal to the consideration paid per share of the Company’s common stock in the Change in Control transaction, as determined by the Committee (and shall not be equal to the 30-day average of the Company’s stock price on the last day of the TSR Performance Period, as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300" w:right="40" w:firstLine="389"/>
        <w:spacing w:after="0" w:line="273" w:lineRule="auto"/>
        <w:tabs>
          <w:tab w:leader="none" w:pos="982"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Revenue-Based RSUs and the TSR-Based RSUs deemed earned in accordance with the foregoing provisions of this Section 3(b)(ii) will each be treated as immediately vested in accordance with the schedule set forth in the special Change in Control vesting chart below (the “</w:t>
      </w:r>
      <w:r>
        <w:rPr>
          <w:rFonts w:ascii="Arial" w:cs="Arial" w:eastAsia="Arial" w:hAnsi="Arial"/>
          <w:sz w:val="17"/>
          <w:szCs w:val="17"/>
          <w:u w:val="single" w:color="auto"/>
          <w:color w:val="auto"/>
        </w:rPr>
        <w:t>Special CIC Vesting Chart</w:t>
      </w:r>
      <w:r>
        <w:rPr>
          <w:rFonts w:ascii="Arial" w:cs="Arial" w:eastAsia="Arial" w:hAnsi="Arial"/>
          <w:sz w:val="17"/>
          <w:szCs w:val="17"/>
          <w:color w:val="auto"/>
        </w:rPr>
        <w:t>”) as well as additional vesting based on the methodology set forth in Section 3(a)(ii) (A), subject to the Participant’s continuous employment with the Company or an Affiliate through the consummation of the Change in Control, assuming for such purpose that such deemed earned Performance-Based RSUs had originally been subject only to time-based vesting, as set forth in the Special CIC Vesting Chart.</w:t>
      </w:r>
    </w:p>
    <w:p>
      <w:pPr>
        <w:spacing w:after="0" w:line="201" w:lineRule="exact"/>
        <w:rPr>
          <w:sz w:val="20"/>
          <w:szCs w:val="20"/>
          <w:color w:val="auto"/>
        </w:rPr>
      </w:pPr>
    </w:p>
    <w:tbl>
      <w:tblPr>
        <w:tblLayout w:type="fixed"/>
        <w:tblInd w:w="640" w:type="dxa"/>
        <w:tblCellMar>
          <w:top w:w="0" w:type="dxa"/>
          <w:left w:w="0" w:type="dxa"/>
          <w:bottom w:w="0" w:type="dxa"/>
          <w:right w:w="0" w:type="dxa"/>
        </w:tblCellMar>
      </w:tblPr>
      <w:tr>
        <w:trPr>
          <w:trHeight w:val="181"/>
        </w:trPr>
        <w:tc>
          <w:tcPr>
            <w:tcW w:w="98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91"/>
              </w:rPr>
              <w:t>Vested Percent of Deemed Earned</w:t>
            </w:r>
          </w:p>
        </w:tc>
        <w:tc>
          <w:tcPr>
            <w:tcW w:w="40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Vesting</w:t>
            </w:r>
          </w:p>
        </w:tc>
      </w:tr>
      <w:tr>
        <w:trPr>
          <w:trHeight w:val="135"/>
        </w:trPr>
        <w:tc>
          <w:tcPr>
            <w:tcW w:w="980" w:type="dxa"/>
            <w:vAlign w:val="bottom"/>
          </w:tcPr>
          <w:p>
            <w:pPr>
              <w:spacing w:after="0"/>
              <w:rPr>
                <w:sz w:val="11"/>
                <w:szCs w:val="11"/>
                <w:color w:val="auto"/>
              </w:rPr>
            </w:pPr>
          </w:p>
        </w:tc>
        <w:tc>
          <w:tcPr>
            <w:tcW w:w="198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3"/>
                <w:szCs w:val="13"/>
                <w:color w:val="auto"/>
                <w:w w:val="97"/>
              </w:rPr>
              <w:t>Performance-Based RSUs</w:t>
            </w:r>
          </w:p>
        </w:tc>
        <w:tc>
          <w:tcPr>
            <w:tcW w:w="408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color w:val="auto"/>
                <w:w w:val="87"/>
              </w:rPr>
              <w:t>Date</w:t>
            </w:r>
          </w:p>
        </w:tc>
      </w:tr>
      <w:tr>
        <w:trPr>
          <w:trHeight w:val="21"/>
        </w:trPr>
        <w:tc>
          <w:tcPr>
            <w:tcW w:w="98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0"/>
        </w:trPr>
        <w:tc>
          <w:tcPr>
            <w:tcW w:w="29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88"/>
              </w:rPr>
              <w:t>33.33%</w:t>
            </w:r>
          </w:p>
        </w:tc>
        <w:tc>
          <w:tcPr>
            <w:tcW w:w="40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12/31/14</w:t>
            </w:r>
          </w:p>
        </w:tc>
      </w:tr>
      <w:tr>
        <w:trPr>
          <w:trHeight w:val="216"/>
        </w:trPr>
        <w:tc>
          <w:tcPr>
            <w:tcW w:w="2960" w:type="dxa"/>
            <w:vAlign w:val="bottom"/>
            <w:gridSpan w:val="2"/>
          </w:tcPr>
          <w:p>
            <w:pPr>
              <w:jc w:val="center"/>
              <w:ind w:left="890"/>
              <w:spacing w:after="0"/>
              <w:rPr>
                <w:sz w:val="20"/>
                <w:szCs w:val="20"/>
                <w:color w:val="auto"/>
              </w:rPr>
            </w:pPr>
            <w:r>
              <w:rPr>
                <w:rFonts w:ascii="Arial" w:cs="Arial" w:eastAsia="Arial" w:hAnsi="Arial"/>
                <w:sz w:val="18"/>
                <w:szCs w:val="18"/>
                <w:color w:val="auto"/>
                <w:w w:val="88"/>
              </w:rPr>
              <w:t>66.67%</w:t>
            </w:r>
          </w:p>
        </w:tc>
        <w:tc>
          <w:tcPr>
            <w:tcW w:w="4800" w:type="dxa"/>
            <w:vAlign w:val="bottom"/>
            <w:gridSpan w:val="2"/>
          </w:tcPr>
          <w:p>
            <w:pPr>
              <w:jc w:val="center"/>
              <w:ind w:left="3990"/>
              <w:spacing w:after="0"/>
              <w:rPr>
                <w:sz w:val="20"/>
                <w:szCs w:val="20"/>
                <w:color w:val="auto"/>
              </w:rPr>
            </w:pPr>
            <w:r>
              <w:rPr>
                <w:rFonts w:ascii="Arial" w:cs="Arial" w:eastAsia="Arial" w:hAnsi="Arial"/>
                <w:sz w:val="18"/>
                <w:szCs w:val="18"/>
                <w:color w:val="auto"/>
                <w:w w:val="91"/>
              </w:rPr>
              <w:t>12/31/15</w:t>
            </w:r>
          </w:p>
        </w:tc>
      </w:tr>
      <w:tr>
        <w:trPr>
          <w:trHeight w:val="216"/>
        </w:trPr>
        <w:tc>
          <w:tcPr>
            <w:tcW w:w="29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91"/>
              </w:rPr>
              <w:t>100%</w:t>
            </w:r>
          </w:p>
        </w:tc>
        <w:tc>
          <w:tcPr>
            <w:tcW w:w="4800" w:type="dxa"/>
            <w:vAlign w:val="bottom"/>
            <w:gridSpan w:val="2"/>
            <w:shd w:val="clear" w:color="auto" w:fill="CCEEFF"/>
          </w:tcPr>
          <w:p>
            <w:pPr>
              <w:jc w:val="center"/>
              <w:ind w:left="3990"/>
              <w:spacing w:after="0"/>
              <w:rPr>
                <w:sz w:val="20"/>
                <w:szCs w:val="20"/>
                <w:color w:val="auto"/>
              </w:rPr>
            </w:pPr>
            <w:r>
              <w:rPr>
                <w:rFonts w:ascii="Arial" w:cs="Arial" w:eastAsia="Arial" w:hAnsi="Arial"/>
                <w:sz w:val="18"/>
                <w:szCs w:val="18"/>
                <w:color w:val="auto"/>
                <w:w w:val="91"/>
              </w:rPr>
              <w:t>12/31/16</w:t>
            </w:r>
          </w:p>
        </w:tc>
      </w:tr>
    </w:tbl>
    <w:p>
      <w:pPr>
        <w:spacing w:after="0" w:line="202" w:lineRule="exact"/>
        <w:rPr>
          <w:sz w:val="20"/>
          <w:szCs w:val="20"/>
          <w:color w:val="auto"/>
        </w:rPr>
      </w:pPr>
    </w:p>
    <w:p>
      <w:pPr>
        <w:ind w:left="300" w:right="20"/>
        <w:spacing w:after="0" w:line="293" w:lineRule="auto"/>
        <w:rPr>
          <w:sz w:val="20"/>
          <w:szCs w:val="20"/>
          <w:color w:val="auto"/>
        </w:rPr>
      </w:pPr>
      <w:r>
        <w:rPr>
          <w:rFonts w:ascii="Arial" w:cs="Arial" w:eastAsia="Arial" w:hAnsi="Arial"/>
          <w:sz w:val="16"/>
          <w:szCs w:val="16"/>
          <w:color w:val="auto"/>
        </w:rPr>
        <w:t>Accordingly, for example, the Special CIC Vesting Chart and the methodology of Section 3(a)(ii)(A) shall be applied effective as of the consummation of the Change in Control so that: (x) to the extent that any of the Vesting Dates set forth in the Special CIC Vesting Chart occurred prior to the date of the occurrence of the Change in Control, then a portion (as set forth in such chart) of such deemed earned Performance-Based RSUs shall be immediately vested effective upon the consummation of the Change in Control; and (y) after taking into account any accelerated vesting pursuant to the immediately preceding clause (x), effective upon the consummation of the Change in Control, the vesting of the portion of such deemed earned Performance-Based RSUs that are not then fully vested shall accelerate such</w:t>
      </w:r>
    </w:p>
    <w:p>
      <w:pPr>
        <w:spacing w:after="0" w:line="9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20"/>
          </w:cols>
          <w:pgMar w:left="1440" w:top="274" w:right="239" w:bottom="1440" w:gutter="0" w:footer="0" w:header="0"/>
        </w:sectPr>
      </w:pPr>
    </w:p>
    <w:bookmarkStart w:id="38" w:name="page39"/>
    <w:bookmarkEnd w:id="38"/>
    <w:p>
      <w:pPr>
        <w:ind w:left="1480"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any portion of those deemed earned Performance-Based RSUs which would have become vested during the one-year period following the Change in Control (based on the application of the Special CIC Vesting Chart to such Performance-Based RSUs), shall become vested effective as of the consummation of the Change in Control. The remaining portion of the deemed earned Performance-Based RSUs shall cliff vest on December 31, 2016, subject to the Participant’s continuous employment with the Company or an Affiliate through such date; provided that (1) in the event that Participant’s employment by the Company is terminated by the Company without Cause (x) at any time following a Change in Control or (y) in specific contemplation of a Change in Control or (2) in the event Participant resigns with Good Reason at any time following a Change in Control, Participant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the remaining portion of the deemed earned Performance-Based RSUs which is unvested as of the termination date.</w:t>
      </w:r>
    </w:p>
    <w:p>
      <w:pPr>
        <w:spacing w:after="0" w:line="183" w:lineRule="exact"/>
        <w:rPr>
          <w:sz w:val="20"/>
          <w:szCs w:val="20"/>
          <w:color w:val="auto"/>
        </w:rPr>
      </w:pPr>
    </w:p>
    <w:p>
      <w:pPr>
        <w:ind w:left="-20" w:firstLine="921"/>
        <w:spacing w:after="0" w:line="259" w:lineRule="auto"/>
        <w:tabs>
          <w:tab w:leader="none" w:pos="1137"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Special 409A Rule.</w:t>
      </w:r>
      <w:r>
        <w:rPr>
          <w:rFonts w:ascii="Arial" w:cs="Arial" w:eastAsia="Arial" w:hAnsi="Arial"/>
          <w:sz w:val="18"/>
          <w:szCs w:val="18"/>
          <w:color w:val="auto"/>
        </w:rPr>
        <w:t xml:space="preserve"> Notwithstanding anything to the contrary in this Section 3, to the extent necessary to comply with Section 409A of the Code, a Change in Control hereunder shall not give rise to any acceleration of the vesting of any portion of an Award hereunder unless such event satisfies the definition of a change in the ownership or effective control of a corporation, or a change in the ownership of a substantial portion of the assets of a corporation pursuant to Section 409A of the Code and any Treasury Regulations promulgated thereunder.</w:t>
      </w:r>
    </w:p>
    <w:p>
      <w:pPr>
        <w:spacing w:after="0" w:line="186" w:lineRule="exact"/>
        <w:rPr>
          <w:rFonts w:ascii="Arial" w:cs="Arial" w:eastAsia="Arial" w:hAnsi="Arial"/>
          <w:sz w:val="18"/>
          <w:szCs w:val="18"/>
          <w:color w:val="auto"/>
        </w:rPr>
      </w:pPr>
    </w:p>
    <w:p>
      <w:pPr>
        <w:ind w:left="620" w:hanging="176"/>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Terms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921"/>
        <w:spacing w:after="0" w:line="271" w:lineRule="auto"/>
        <w:tabs>
          <w:tab w:leader="none" w:pos="1137"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As soon as practicable following each applicable Vesting Date (including as applicable the date of consummation of a Change in Control and certain terminations of employment upon or following a Change in Control, as applicable), the Company shall settle the portion of the Award that is vested on such date and shall therefore (i) issue and deliver to the Participant one share of Common Stock for each Restricted Stock Unit subject to the Award that has vested (the “</w:t>
      </w:r>
      <w:r>
        <w:rPr>
          <w:rFonts w:ascii="Arial" w:cs="Arial" w:eastAsia="Arial" w:hAnsi="Arial"/>
          <w:sz w:val="17"/>
          <w:szCs w:val="17"/>
          <w:u w:val="single" w:color="auto"/>
          <w:color w:val="auto"/>
        </w:rPr>
        <w:t>RSU Shares</w:t>
      </w:r>
      <w:r>
        <w:rPr>
          <w:rFonts w:ascii="Arial" w:cs="Arial" w:eastAsia="Arial" w:hAnsi="Arial"/>
          <w:sz w:val="17"/>
          <w:szCs w:val="17"/>
          <w:color w:val="auto"/>
        </w:rPr>
        <w:t>”), with any fractional shares paid out in cash (and, upon such settlement, the Restricted Stock Units shall cease to be credited to the Account) and (ii) enter the Participant’s name as a stockholder of record with respect to the RSU Shares on the books of the Company. The Committee shall make all determinations with respect to the Performance-Based RSUs as soon as administratively practicable after December 31, 2016 (or as of the Change in Control, as applicable) such that settlement of the earned and vested Performance-Based RSUs shall be made within the applicable short-term deferral period for purposes of Section 409A of the Code.</w:t>
      </w:r>
    </w:p>
    <w:p>
      <w:pPr>
        <w:spacing w:after="0" w:line="178" w:lineRule="exact"/>
        <w:rPr>
          <w:rFonts w:ascii="Arial" w:cs="Arial" w:eastAsia="Arial" w:hAnsi="Arial"/>
          <w:sz w:val="17"/>
          <w:szCs w:val="17"/>
          <w:color w:val="auto"/>
        </w:rPr>
      </w:pPr>
    </w:p>
    <w:p>
      <w:pPr>
        <w:ind w:left="-20" w:right="200" w:firstLine="921"/>
        <w:spacing w:after="0" w:line="259" w:lineRule="auto"/>
        <w:tabs>
          <w:tab w:leader="none" w:pos="1148"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If on any date that Restricted Stock Units remain credited to the Account, dividends are paid by the Company on outstanding shares of its Common Stock (“</w:t>
      </w:r>
      <w:r>
        <w:rPr>
          <w:rFonts w:ascii="Arial" w:cs="Arial" w:eastAsia="Arial" w:hAnsi="Arial"/>
          <w:sz w:val="18"/>
          <w:szCs w:val="18"/>
          <w:u w:val="single" w:color="auto"/>
          <w:color w:val="auto"/>
        </w:rPr>
        <w:t>Shares</w:t>
      </w:r>
      <w:r>
        <w:rPr>
          <w:rFonts w:ascii="Arial" w:cs="Arial" w:eastAsia="Arial" w:hAnsi="Arial"/>
          <w:sz w:val="18"/>
          <w:szCs w:val="18"/>
          <w:color w:val="auto"/>
        </w:rPr>
        <w:t>”) (each, a “</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then the Participant’s Account shall, as of each such Dividend Payment Date, be credited with an amount (each such amount, a “</w:t>
      </w:r>
      <w:r>
        <w:rPr>
          <w:rFonts w:ascii="Arial" w:cs="Arial" w:eastAsia="Arial" w:hAnsi="Arial"/>
          <w:sz w:val="18"/>
          <w:szCs w:val="18"/>
          <w:u w:val="single" w:color="auto"/>
          <w:color w:val="auto"/>
        </w:rPr>
        <w:t>Dividend Equivalent Amount</w:t>
      </w:r>
      <w:r>
        <w:rPr>
          <w:rFonts w:ascii="Arial" w:cs="Arial" w:eastAsia="Arial" w:hAnsi="Arial"/>
          <w:sz w:val="18"/>
          <w:szCs w:val="18"/>
          <w:color w:val="auto"/>
        </w:rPr>
        <w:t>”) equal to the product of (i) the number of Restricted Stock Units in the Account as of the Dividend Payment Date and (ii)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74" w:right="259" w:bottom="1440" w:gutter="0" w:footer="0" w:header="0"/>
        </w:sectPr>
      </w:pPr>
    </w:p>
    <w:bookmarkStart w:id="39" w:name="page40"/>
    <w:bookmarkEnd w:id="3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 Share cash amount of such dividend (or, in the case of a dividend payable in Shares or other property, the per Share equivalent cash value of such dividend as determined in good faith by the Committee). On each applicable Vesting Date, in connection with the settlement and delivery of RSU Shares as contemplated by Section 4(a), the Participant shall be entitled to receive a payment, without interest, of an amount in cash equal to the accumulated Dividend Equivalent Amounts in respect of the RSU Shares so delivered.</w:t>
      </w:r>
    </w:p>
    <w:p>
      <w:pPr>
        <w:spacing w:after="0" w:line="187" w:lineRule="exact"/>
        <w:rPr>
          <w:sz w:val="20"/>
          <w:szCs w:val="20"/>
          <w:color w:val="auto"/>
        </w:rPr>
      </w:pPr>
    </w:p>
    <w:p>
      <w:pPr>
        <w:ind w:right="80" w:firstLine="921"/>
        <w:spacing w:after="0" w:line="290" w:lineRule="auto"/>
        <w:tabs>
          <w:tab w:leader="none" w:pos="1157"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Taxes and Withholding</w:t>
      </w:r>
      <w:r>
        <w:rPr>
          <w:rFonts w:ascii="Arial" w:cs="Arial" w:eastAsia="Arial" w:hAnsi="Arial"/>
          <w:sz w:val="16"/>
          <w:szCs w:val="16"/>
          <w:color w:val="auto"/>
        </w:rPr>
        <w:t xml:space="preserve">. Upon the settlement of the Award in accordance with Section 4(a) hereof, the Participant shall recognize taxable income in respect of the Award, and the Company shall report such taxable income to the appropriate taxing authorities in respect of the Award as it determines to be necessary and appropriate. Upon the settlement of the Award in RSU Shares, the Participant shall be required as a condition of such settlement to pay to the Company by check or wire transfer the amount of any income, payroll, or social tax withholding that the Company determines is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Participant may elect to satisfy such tax withholding obligation by having the Company withhold from the settlement that number of RSU Shares having a Fair Market Value equal to the amount of such withholding;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number of RSU Shares that may be so withheld by the Company shall be limited to that number of RSU Shares having an aggregate Fair Market Value on the date of such withholding equal to the aggregate amount of the Participant’s income, payroll and social tax liabilities based upon the applicable minimum withholding rates.</w:t>
      </w:r>
    </w:p>
    <w:p>
      <w:pPr>
        <w:spacing w:after="0" w:line="166" w:lineRule="exact"/>
        <w:rPr>
          <w:rFonts w:ascii="Arial" w:cs="Arial" w:eastAsia="Arial" w:hAnsi="Arial"/>
          <w:sz w:val="16"/>
          <w:szCs w:val="16"/>
          <w:color w:val="auto"/>
        </w:rPr>
      </w:pPr>
    </w:p>
    <w:p>
      <w:pPr>
        <w:ind w:right="40" w:firstLine="921"/>
        <w:spacing w:after="0" w:line="259" w:lineRule="auto"/>
        <w:tabs>
          <w:tab w:leader="none" w:pos="1168"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Services</w:t>
      </w:r>
      <w:r>
        <w:rPr>
          <w:rFonts w:ascii="Arial" w:cs="Arial" w:eastAsia="Arial" w:hAnsi="Arial"/>
          <w:sz w:val="18"/>
          <w:szCs w:val="18"/>
          <w:color w:val="auto"/>
        </w:rPr>
        <w:t>. Except as otherwise provided in the Plan, or as set forth in any employment, consulting or other agreement between the Company or an Affiliate and the Participant in effect on the date hereof, if the Participant’s employment with the Company terminates prior to any Vesting Date for any reason, all remaining Restricted Stock Units credited to the Account shall be forfeited without further consideration to the Participant.</w:t>
      </w:r>
    </w:p>
    <w:p>
      <w:pPr>
        <w:spacing w:after="0" w:line="186" w:lineRule="exact"/>
        <w:rPr>
          <w:rFonts w:ascii="Arial" w:cs="Arial" w:eastAsia="Arial" w:hAnsi="Arial"/>
          <w:sz w:val="18"/>
          <w:szCs w:val="18"/>
          <w:color w:val="auto"/>
        </w:rPr>
      </w:pPr>
    </w:p>
    <w:p>
      <w:pPr>
        <w:ind w:right="220" w:firstLine="921"/>
        <w:spacing w:after="0" w:line="259" w:lineRule="auto"/>
        <w:tabs>
          <w:tab w:leader="none" w:pos="1157"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Award granted hereunder may not be sold, pledged or otherwise transferred (other than by will or the laws of descent and distribution) and may not be subject to lien, garnishment, attachment or other legal process. The Participant acknowledges and agrees that, with respect to each Restricted Stock Unit credited to his Account, he has no voting rights with respect to the Company unless and until each such Restricted Stock Unit is settled in RSU Shares pursuant to Section 4(a) hereof.</w:t>
      </w:r>
    </w:p>
    <w:p>
      <w:pPr>
        <w:spacing w:after="0" w:line="186" w:lineRule="exact"/>
        <w:rPr>
          <w:rFonts w:ascii="Arial" w:cs="Arial" w:eastAsia="Arial" w:hAnsi="Arial"/>
          <w:sz w:val="18"/>
          <w:szCs w:val="18"/>
          <w:color w:val="auto"/>
        </w:rPr>
      </w:pPr>
    </w:p>
    <w:p>
      <w:pPr>
        <w:ind w:firstLine="921"/>
        <w:spacing w:after="0" w:line="279" w:lineRule="auto"/>
        <w:tabs>
          <w:tab w:leader="none" w:pos="1138"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Rights as a Stockholder</w:t>
      </w:r>
      <w:r>
        <w:rPr>
          <w:rFonts w:ascii="Arial" w:cs="Arial" w:eastAsia="Arial" w:hAnsi="Arial"/>
          <w:sz w:val="17"/>
          <w:szCs w:val="17"/>
          <w:color w:val="auto"/>
        </w:rPr>
        <w:t>. Upon and following each Vesting Date, the Participant shall be the record owner of the RSU Shares settled upon such applicable date unless and until such RSU Shares are sold or otherwise disposed of, and as record owner shall be entitled to all rights of a common stockholder of the Company, including, without limitation, voting rights, if any, with respect to the RSU Shares. Prior to the first Vesting Date, the Participant shall not be deemed for any purpose to be the owner of shares of Common Stock underlying the Restricted Stock Units.</w:t>
      </w:r>
    </w:p>
    <w:p>
      <w:pPr>
        <w:spacing w:after="0" w:line="171" w:lineRule="exact"/>
        <w:rPr>
          <w:rFonts w:ascii="Arial" w:cs="Arial" w:eastAsia="Arial" w:hAnsi="Arial"/>
          <w:sz w:val="17"/>
          <w:szCs w:val="17"/>
          <w:color w:val="auto"/>
        </w:rPr>
      </w:pPr>
    </w:p>
    <w:p>
      <w:pPr>
        <w:ind w:left="640" w:hanging="17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921"/>
        <w:spacing w:after="0" w:line="308" w:lineRule="auto"/>
        <w:tabs>
          <w:tab w:leader="none" w:pos="1157"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General Assets</w:t>
      </w:r>
      <w:r>
        <w:rPr>
          <w:rFonts w:ascii="Arial" w:cs="Arial" w:eastAsia="Arial" w:hAnsi="Arial"/>
          <w:sz w:val="17"/>
          <w:szCs w:val="17"/>
          <w:color w:val="auto"/>
        </w:rPr>
        <w:t>. All amounts credited to the Account under this Agreement shall continue for all purposes to be part of the general assets of the Company. The Participant’s interest in the Account shall make the Participant only a general, unsecured creditor of the Company.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40" w:name="page41"/>
    <w:bookmarkEnd w:id="40"/>
    <w:p>
      <w:pPr>
        <w:ind w:right="580" w:firstLine="921"/>
        <w:spacing w:after="0" w:line="277" w:lineRule="auto"/>
        <w:tabs>
          <w:tab w:leader="none" w:pos="1168"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Arial" w:cs="Arial" w:eastAsia="Arial" w:hAnsi="Arial"/>
          <w:sz w:val="18"/>
          <w:szCs w:val="18"/>
          <w:color w:val="auto"/>
        </w:rPr>
        <w:t>. All notices, demands and other communications provided for or permitted hereunder shall be made in writing and shall be by registered or certified first-class mail, return receipt requested, telecopier, courier service or personal delivery:</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ExlService Holdings,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to the Participant, at the Participant’s last known address on file with the Company.</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spacing w:after="0" w:line="181" w:lineRule="exact"/>
        <w:rPr>
          <w:sz w:val="20"/>
          <w:szCs w:val="20"/>
          <w:color w:val="auto"/>
        </w:rPr>
      </w:pPr>
    </w:p>
    <w:p>
      <w:pPr>
        <w:ind w:right="680" w:firstLine="464"/>
        <w:spacing w:after="0" w:line="342" w:lineRule="auto"/>
        <w:tabs>
          <w:tab w:leader="none" w:pos="636"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23" w:lineRule="exact"/>
        <w:rPr>
          <w:rFonts w:ascii="Arial" w:cs="Arial" w:eastAsia="Arial" w:hAnsi="Arial"/>
          <w:sz w:val="16"/>
          <w:szCs w:val="16"/>
          <w:color w:val="auto"/>
        </w:rPr>
      </w:pPr>
    </w:p>
    <w:p>
      <w:pPr>
        <w:ind w:right="60" w:firstLine="464"/>
        <w:spacing w:after="0" w:line="286" w:lineRule="auto"/>
        <w:tabs>
          <w:tab w:leader="none" w:pos="636"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No Rights to Employment</w:t>
      </w:r>
      <w:r>
        <w:rPr>
          <w:rFonts w:ascii="Arial" w:cs="Arial" w:eastAsia="Arial" w:hAnsi="Arial"/>
          <w:sz w:val="17"/>
          <w:szCs w:val="17"/>
          <w:color w:val="auto"/>
        </w:rPr>
        <w:t>. Nothing contained in this Agreement shall be construed as giving the Participant any right to be retained, in any position, as an employee, consultant or director of the Company or its Affiliates or shall interfere with or restrict in any way the right of the Company or its Affiliates, which are hereby expressly reserved, to remove, terminate or discharge the Participant at any time for any reason whatsoever.</w:t>
      </w:r>
    </w:p>
    <w:p>
      <w:pPr>
        <w:spacing w:after="0" w:line="165" w:lineRule="exact"/>
        <w:rPr>
          <w:rFonts w:ascii="Arial" w:cs="Arial" w:eastAsia="Arial" w:hAnsi="Arial"/>
          <w:sz w:val="17"/>
          <w:szCs w:val="17"/>
          <w:color w:val="auto"/>
        </w:rPr>
      </w:pPr>
    </w:p>
    <w:p>
      <w:pPr>
        <w:ind w:firstLine="464"/>
        <w:spacing w:after="0" w:line="264" w:lineRule="auto"/>
        <w:tabs>
          <w:tab w:leader="none" w:pos="63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 The Participant may file with the Committee a written designation of a beneficiary on such form as may be prescribed by the Committee and may, from time to time, amend or revoke such designation. If no designated beneficiary survives the Participant, the Participant’s estate shall be deemed to be the Participant’s beneficiary.</w:t>
      </w:r>
    </w:p>
    <w:p>
      <w:pPr>
        <w:spacing w:after="0" w:line="181" w:lineRule="exact"/>
        <w:rPr>
          <w:rFonts w:ascii="Arial" w:cs="Arial" w:eastAsia="Arial" w:hAnsi="Arial"/>
          <w:sz w:val="18"/>
          <w:szCs w:val="18"/>
          <w:color w:val="auto"/>
        </w:rPr>
      </w:pPr>
    </w:p>
    <w:p>
      <w:pPr>
        <w:ind w:right="320" w:firstLine="464"/>
        <w:spacing w:after="0" w:line="277" w:lineRule="auto"/>
        <w:tabs>
          <w:tab w:leader="none" w:pos="63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and its successors and assigns, and to the Participant and the beneficiaries, executors, administrators, heirs and successors of the Participant.</w:t>
      </w:r>
    </w:p>
    <w:p>
      <w:pPr>
        <w:spacing w:after="0" w:line="170" w:lineRule="exact"/>
        <w:rPr>
          <w:rFonts w:ascii="Arial" w:cs="Arial" w:eastAsia="Arial" w:hAnsi="Arial"/>
          <w:sz w:val="18"/>
          <w:szCs w:val="18"/>
          <w:color w:val="auto"/>
        </w:rPr>
      </w:pPr>
    </w:p>
    <w:p>
      <w:pPr>
        <w:ind w:firstLine="464"/>
        <w:spacing w:after="0" w:line="264" w:lineRule="auto"/>
        <w:tabs>
          <w:tab w:leader="none" w:pos="72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is in writing and signed by the parties hereto.</w:t>
      </w:r>
    </w:p>
    <w:p>
      <w:pPr>
        <w:spacing w:after="0" w:line="181" w:lineRule="exact"/>
        <w:rPr>
          <w:rFonts w:ascii="Arial" w:cs="Arial" w:eastAsia="Arial" w:hAnsi="Arial"/>
          <w:sz w:val="18"/>
          <w:szCs w:val="18"/>
          <w:color w:val="auto"/>
        </w:rPr>
      </w:pPr>
    </w:p>
    <w:p>
      <w:pPr>
        <w:ind w:right="400" w:firstLine="464"/>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Bound by Plan</w:t>
      </w:r>
      <w:r>
        <w:rPr>
          <w:rFonts w:ascii="Arial" w:cs="Arial" w:eastAsia="Arial" w:hAnsi="Arial"/>
          <w:sz w:val="18"/>
          <w:szCs w:val="18"/>
          <w:color w:val="auto"/>
        </w:rPr>
        <w:t>. By signing this Agreement, the Participant acknowledges that he has received a copy of the Plan and has had an opportunity to review the Plan and agrees to be bound by all the terms and provisions of the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41" w:name="page42"/>
    <w:bookmarkEnd w:id="41"/>
    <w:p>
      <w:pPr>
        <w:ind w:left="-20" w:right="700" w:firstLine="464"/>
        <w:spacing w:after="0" w:line="264" w:lineRule="auto"/>
        <w:tabs>
          <w:tab w:leader="none" w:pos="70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r>
        <w:rPr>
          <w:rFonts w:ascii="Arial" w:cs="Arial" w:eastAsia="Arial" w:hAnsi="Arial"/>
          <w:sz w:val="18"/>
          <w:szCs w:val="18"/>
          <w:color w:val="auto"/>
        </w:rPr>
        <w:t>. This Agreement shall be construed and interpreted in accordance with the laws of the State of Delaware without regard to principles of conflicts of law thereof, or principles of conflicts of laws of any other jurisdiction which could cause the application of the laws of any jurisdiction other than the State of Delaware.</w:t>
      </w:r>
    </w:p>
    <w:p>
      <w:pPr>
        <w:spacing w:after="0" w:line="181" w:lineRule="exact"/>
        <w:rPr>
          <w:rFonts w:ascii="Arial" w:cs="Arial" w:eastAsia="Arial" w:hAnsi="Arial"/>
          <w:sz w:val="18"/>
          <w:szCs w:val="18"/>
          <w:color w:val="auto"/>
        </w:rPr>
      </w:pPr>
    </w:p>
    <w:p>
      <w:pPr>
        <w:ind w:left="-20" w:right="240" w:firstLine="464"/>
        <w:spacing w:after="0" w:line="277" w:lineRule="auto"/>
        <w:tabs>
          <w:tab w:leader="none" w:pos="70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JURY TRIAL WAIVER</w:t>
      </w:r>
      <w:r>
        <w:rPr>
          <w:rFonts w:ascii="Arial" w:cs="Arial" w:eastAsia="Arial" w:hAnsi="Arial"/>
          <w:sz w:val="18"/>
          <w:szCs w:val="18"/>
          <w:color w:val="auto"/>
        </w:rPr>
        <w:t>. THE PARTIES EXPRESSLY AND KNOWINGLY WAIVE ANY RIGHT TO A JURY TRIAL IN THE EVENT ANY ACTION ARISING UNDER OR IN CONNECTION WITH THIS AGREEMENT IS LITIGATED OR HEARD IN ANY COURT.</w:t>
      </w:r>
    </w:p>
    <w:p>
      <w:pPr>
        <w:spacing w:after="0" w:line="170" w:lineRule="exact"/>
        <w:rPr>
          <w:rFonts w:ascii="Arial" w:cs="Arial" w:eastAsia="Arial" w:hAnsi="Arial"/>
          <w:sz w:val="18"/>
          <w:szCs w:val="18"/>
          <w:color w:val="auto"/>
        </w:rPr>
      </w:pPr>
    </w:p>
    <w:p>
      <w:pPr>
        <w:ind w:left="-20" w:right="80" w:firstLine="464"/>
        <w:spacing w:after="0" w:line="259" w:lineRule="auto"/>
        <w:tabs>
          <w:tab w:leader="none" w:pos="70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has decided to deliver documents related to current or future participation in the Plan by electronic means and to request Participant’s consent to participate in the Plan by electronic means. Participant hereby consents to receive such documents by electronic delivery and agrees to participate in the Plan through the current plan administrator’s on-line system, or any other on-line system or electronic means that the Company may decide, in its sole discretion, to use in the future.</w:t>
      </w:r>
    </w:p>
    <w:p>
      <w:pPr>
        <w:spacing w:after="0" w:line="186" w:lineRule="exact"/>
        <w:rPr>
          <w:rFonts w:ascii="Arial" w:cs="Arial" w:eastAsia="Arial" w:hAnsi="Arial"/>
          <w:sz w:val="18"/>
          <w:szCs w:val="18"/>
          <w:color w:val="auto"/>
        </w:rPr>
      </w:pPr>
    </w:p>
    <w:p>
      <w:pPr>
        <w:ind w:left="-20" w:right="200" w:firstLine="464"/>
        <w:spacing w:after="0" w:line="277" w:lineRule="auto"/>
        <w:tabs>
          <w:tab w:leader="none" w:pos="70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hereof are provided for convenience only and are not to serve as a basis for interpretation or construction, and shall not constitute a part, of this Agreement.</w:t>
      </w:r>
    </w:p>
    <w:p>
      <w:pPr>
        <w:spacing w:after="0" w:line="170" w:lineRule="exact"/>
        <w:rPr>
          <w:rFonts w:ascii="Arial" w:cs="Arial" w:eastAsia="Arial" w:hAnsi="Arial"/>
          <w:sz w:val="18"/>
          <w:szCs w:val="18"/>
          <w:color w:val="auto"/>
        </w:rPr>
      </w:pPr>
    </w:p>
    <w:p>
      <w:pPr>
        <w:ind w:left="-20" w:firstLine="464"/>
        <w:spacing w:after="0" w:line="279" w:lineRule="auto"/>
        <w:tabs>
          <w:tab w:leader="none" w:pos="706"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Signature in Counterparts</w:t>
      </w:r>
      <w:r>
        <w:rPr>
          <w:rFonts w:ascii="Arial" w:cs="Arial" w:eastAsia="Arial" w:hAnsi="Arial"/>
          <w:sz w:val="17"/>
          <w:szCs w:val="17"/>
          <w:color w:val="auto"/>
        </w:rPr>
        <w:t xml:space="preserve">. This Agreement may be signed in counterparts, each of which shall be an original, with the same effect as if the signatures thereto and hereto were upon the same instrument. </w:t>
      </w:r>
      <w:r>
        <w:rPr>
          <w:rFonts w:ascii="Arial" w:cs="Arial" w:eastAsia="Arial" w:hAnsi="Arial"/>
          <w:sz w:val="17"/>
          <w:szCs w:val="17"/>
          <w:b w:val="1"/>
          <w:bCs w:val="1"/>
          <w:color w:val="auto"/>
        </w:rPr>
        <w:t>PLEASE NOTE</w:t>
      </w:r>
      <w:r>
        <w:rPr>
          <w:rFonts w:ascii="Arial" w:cs="Arial" w:eastAsia="Arial" w:hAnsi="Arial"/>
          <w:sz w:val="17"/>
          <w:szCs w:val="17"/>
          <w:color w:val="auto"/>
        </w:rPr>
        <w:t>: Participant’s designation/election via the current plan administrator’s website that Participant has read and accepted the terms of this Agreement and the terms and conditions of the Plan is considered Participant’s electronic signature and Participant’s express consent to this Agreement and the terms and conditions set forth in the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 signature page to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7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Agreement.</w:t>
      </w:r>
    </w:p>
    <w:p>
      <w:pPr>
        <w:spacing w:after="0" w:line="252" w:lineRule="exact"/>
        <w:rPr>
          <w:sz w:val="20"/>
          <w:szCs w:val="20"/>
          <w:color w:val="auto"/>
        </w:rPr>
      </w:pPr>
    </w:p>
    <w:p>
      <w:pPr>
        <w:jc w:val="right"/>
        <w:ind w:right="1499"/>
        <w:spacing w:after="0"/>
        <w:rPr>
          <w:sz w:val="20"/>
          <w:szCs w:val="20"/>
          <w:color w:val="auto"/>
        </w:rPr>
      </w:pPr>
      <w:r>
        <w:rPr>
          <w:rFonts w:ascii="Arial" w:cs="Arial" w:eastAsia="Arial" w:hAnsi="Arial"/>
          <w:sz w:val="18"/>
          <w:szCs w:val="18"/>
          <w:color w:val="auto"/>
        </w:rPr>
        <w:t>ExlService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186690</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1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186055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Participant</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759"/>
          </w:cols>
          <w:pgMar w:left="700" w:top="274" w:right="1440"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 Revenue-Based RSUs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Except as may otherwise be provided herein, the Revenue-Based RSUs shall vest based on the achievement of Company revenues against annual targets, as set forth herein. For purposes of this Exhibit A, “revenue” shall have the meaning given such term in the Board-approved budget for the fiscal year in which the Award is granted.</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Committee will determine the percentage of Revenue-Based RSUs earned for each calendar year based on a straight-line interpolation to the extent the actual Company revenue for a given year is in between the applicable revenue thresholds for such year. The Compensation Committee shall make appropriate adjustments to the annual Company revenue targets for divestitures and acquisitions in a manner compliant with Internal Revenue Code Section 162(m). The Company revenue thresholds for 2014, 2015 and 2016 are as follows (all amounts in millions):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calendar year </w:t>
      </w:r>
      <w:r>
        <w:rPr>
          <w:rFonts w:ascii="Arial" w:cs="Arial" w:eastAsia="Arial" w:hAnsi="Arial"/>
          <w:sz w:val="18"/>
          <w:szCs w:val="18"/>
          <w:b w:val="1"/>
          <w:bCs w:val="1"/>
          <w:color w:val="auto"/>
        </w:rPr>
        <w:t>2014</w:t>
      </w: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60" w:type="dxa"/>
            <w:vAlign w:val="bottom"/>
            <w:gridSpan w:val="3"/>
          </w:tcPr>
          <w:p>
            <w:pPr>
              <w:ind w:left="1840"/>
              <w:spacing w:after="0"/>
              <w:rPr>
                <w:sz w:val="20"/>
                <w:szCs w:val="20"/>
                <w:color w:val="auto"/>
              </w:rPr>
            </w:pPr>
            <w:r>
              <w:rPr>
                <w:rFonts w:ascii="Arial" w:cs="Arial" w:eastAsia="Arial" w:hAnsi="Arial"/>
                <w:sz w:val="14"/>
                <w:szCs w:val="14"/>
                <w:color w:val="auto"/>
                <w:w w:val="90"/>
              </w:rPr>
              <w:t>Revenue Threshold</w:t>
            </w:r>
          </w:p>
        </w:tc>
        <w:tc>
          <w:tcPr>
            <w:tcW w:w="4080" w:type="dxa"/>
            <w:vAlign w:val="bottom"/>
          </w:tcPr>
          <w:p>
            <w:pPr>
              <w:spacing w:after="0"/>
              <w:rPr>
                <w:sz w:val="14"/>
                <w:szCs w:val="14"/>
                <w:color w:val="auto"/>
              </w:rPr>
            </w:pPr>
          </w:p>
        </w:tc>
        <w:tc>
          <w:tcPr>
            <w:tcW w:w="2560" w:type="dxa"/>
            <w:vAlign w:val="bottom"/>
          </w:tcPr>
          <w:p>
            <w:pPr>
              <w:jc w:val="right"/>
              <w:spacing w:after="0"/>
              <w:rPr>
                <w:sz w:val="20"/>
                <w:szCs w:val="20"/>
                <w:color w:val="auto"/>
              </w:rPr>
            </w:pPr>
            <w:r>
              <w:rPr>
                <w:rFonts w:ascii="Arial" w:cs="Arial" w:eastAsia="Arial" w:hAnsi="Arial"/>
                <w:sz w:val="14"/>
                <w:szCs w:val="14"/>
                <w:color w:val="auto"/>
                <w:w w:val="90"/>
              </w:rPr>
              <w:t>Percentage of Revenue-Based RSUs Earned</w:t>
            </w:r>
          </w:p>
        </w:tc>
      </w:tr>
      <w:tr>
        <w:trPr>
          <w:trHeight w:val="210"/>
        </w:trPr>
        <w:tc>
          <w:tcPr>
            <w:tcW w:w="1840" w:type="dxa"/>
            <w:vAlign w:val="bottom"/>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4080" w:type="dxa"/>
            <w:vAlign w:val="bottom"/>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8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664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4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6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432"/>
        </w:trPr>
        <w:tc>
          <w:tcPr>
            <w:tcW w:w="2160" w:type="dxa"/>
            <w:vAlign w:val="bottom"/>
            <w:gridSpan w:val="2"/>
          </w:tcPr>
          <w:p>
            <w:pPr>
              <w:spacing w:after="0"/>
              <w:rPr>
                <w:sz w:val="20"/>
                <w:szCs w:val="20"/>
                <w:color w:val="auto"/>
              </w:rPr>
            </w:pPr>
            <w:r>
              <w:rPr>
                <w:rFonts w:ascii="Arial" w:cs="Arial" w:eastAsia="Arial" w:hAnsi="Arial"/>
                <w:sz w:val="18"/>
                <w:szCs w:val="18"/>
                <w:color w:val="auto"/>
              </w:rPr>
              <w:t xml:space="preserve">For calendar year </w:t>
            </w:r>
            <w:r>
              <w:rPr>
                <w:rFonts w:ascii="Arial" w:cs="Arial" w:eastAsia="Arial" w:hAnsi="Arial"/>
                <w:sz w:val="18"/>
                <w:szCs w:val="18"/>
                <w:b w:val="1"/>
                <w:bCs w:val="1"/>
                <w:color w:val="auto"/>
              </w:rPr>
              <w:t>2015</w:t>
            </w: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92"/>
        </w:trPr>
        <w:tc>
          <w:tcPr>
            <w:tcW w:w="2960" w:type="dxa"/>
            <w:vAlign w:val="bottom"/>
            <w:gridSpan w:val="3"/>
          </w:tcPr>
          <w:p>
            <w:pPr>
              <w:ind w:left="1840"/>
              <w:spacing w:after="0"/>
              <w:rPr>
                <w:sz w:val="20"/>
                <w:szCs w:val="20"/>
                <w:color w:val="auto"/>
              </w:rPr>
            </w:pPr>
            <w:r>
              <w:rPr>
                <w:rFonts w:ascii="Arial" w:cs="Arial" w:eastAsia="Arial" w:hAnsi="Arial"/>
                <w:sz w:val="14"/>
                <w:szCs w:val="14"/>
                <w:color w:val="auto"/>
                <w:w w:val="90"/>
              </w:rPr>
              <w:t>Revenue Threshold</w:t>
            </w:r>
          </w:p>
        </w:tc>
        <w:tc>
          <w:tcPr>
            <w:tcW w:w="408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4"/>
                <w:szCs w:val="14"/>
                <w:color w:val="auto"/>
                <w:w w:val="90"/>
              </w:rPr>
              <w:t>Percentage of Revenue-Based RSUs Earned</w:t>
            </w:r>
          </w:p>
        </w:tc>
      </w:tr>
      <w:tr>
        <w:trPr>
          <w:trHeight w:val="210"/>
        </w:trPr>
        <w:tc>
          <w:tcPr>
            <w:tcW w:w="1840" w:type="dxa"/>
            <w:vAlign w:val="bottom"/>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4080" w:type="dxa"/>
            <w:vAlign w:val="bottom"/>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8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664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4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6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432"/>
        </w:trPr>
        <w:tc>
          <w:tcPr>
            <w:tcW w:w="2160" w:type="dxa"/>
            <w:vAlign w:val="bottom"/>
            <w:gridSpan w:val="2"/>
          </w:tcPr>
          <w:p>
            <w:pPr>
              <w:spacing w:after="0"/>
              <w:rPr>
                <w:sz w:val="20"/>
                <w:szCs w:val="20"/>
                <w:color w:val="auto"/>
              </w:rPr>
            </w:pPr>
            <w:r>
              <w:rPr>
                <w:rFonts w:ascii="Arial" w:cs="Arial" w:eastAsia="Arial" w:hAnsi="Arial"/>
                <w:sz w:val="18"/>
                <w:szCs w:val="18"/>
                <w:color w:val="auto"/>
              </w:rPr>
              <w:t xml:space="preserve">For calendar year </w:t>
            </w:r>
            <w:r>
              <w:rPr>
                <w:rFonts w:ascii="Arial" w:cs="Arial" w:eastAsia="Arial" w:hAnsi="Arial"/>
                <w:sz w:val="18"/>
                <w:szCs w:val="18"/>
                <w:b w:val="1"/>
                <w:bCs w:val="1"/>
                <w:color w:val="auto"/>
              </w:rPr>
              <w:t>2016</w:t>
            </w: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92"/>
        </w:trPr>
        <w:tc>
          <w:tcPr>
            <w:tcW w:w="2960" w:type="dxa"/>
            <w:vAlign w:val="bottom"/>
            <w:gridSpan w:val="3"/>
          </w:tcPr>
          <w:p>
            <w:pPr>
              <w:ind w:left="1840"/>
              <w:spacing w:after="0"/>
              <w:rPr>
                <w:sz w:val="20"/>
                <w:szCs w:val="20"/>
                <w:color w:val="auto"/>
              </w:rPr>
            </w:pPr>
            <w:r>
              <w:rPr>
                <w:rFonts w:ascii="Arial" w:cs="Arial" w:eastAsia="Arial" w:hAnsi="Arial"/>
                <w:sz w:val="14"/>
                <w:szCs w:val="14"/>
                <w:color w:val="auto"/>
                <w:w w:val="90"/>
              </w:rPr>
              <w:t>Revenue Threshold</w:t>
            </w:r>
          </w:p>
        </w:tc>
        <w:tc>
          <w:tcPr>
            <w:tcW w:w="408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4"/>
                <w:szCs w:val="14"/>
                <w:color w:val="auto"/>
                <w:w w:val="90"/>
              </w:rPr>
              <w:t>Percentage of Revenue-Based RSUs Earned</w:t>
            </w:r>
          </w:p>
        </w:tc>
      </w:tr>
      <w:tr>
        <w:trPr>
          <w:trHeight w:val="210"/>
        </w:trPr>
        <w:tc>
          <w:tcPr>
            <w:tcW w:w="1840" w:type="dxa"/>
            <w:vAlign w:val="bottom"/>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4080" w:type="dxa"/>
            <w:vAlign w:val="bottom"/>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18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64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184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8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64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4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The Participant may earn up to one-third of the Revenue-Based RSUs based on the Company revenue performance in each of 2014 and 2015 (“</w:t>
      </w:r>
      <w:r>
        <w:rPr>
          <w:rFonts w:ascii="Arial" w:cs="Arial" w:eastAsia="Arial" w:hAnsi="Arial"/>
          <w:sz w:val="16"/>
          <w:szCs w:val="16"/>
          <w:u w:val="single" w:color="auto"/>
          <w:color w:val="auto"/>
        </w:rPr>
        <w:t>Banked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Revenue-Based RSUs</w:t>
      </w:r>
      <w:r>
        <w:rPr>
          <w:rFonts w:ascii="Arial" w:cs="Arial" w:eastAsia="Arial" w:hAnsi="Arial"/>
          <w:sz w:val="16"/>
          <w:szCs w:val="16"/>
          <w:color w:val="auto"/>
        </w:rPr>
        <w:t>”). The ultimate amount of Revenue-Based RSUs the Participant earns will be equal to the greater of (x) the number of Revenue-Based RSUs earned based on actual Company revenue performance in 2016 and (y) the sum of the Banked Revenue-Based RSUs from 2014 and 2015.</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0" w:right="27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 TSR-Based RSUs</w:t>
      </w:r>
    </w:p>
    <w:p>
      <w:pPr>
        <w:spacing w:after="0" w:line="22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Committee has designated the following peer group of public companies in the Company’s 8-digit Global Industry Classification Standard sub-industry group (the “</w:t>
      </w:r>
      <w:r>
        <w:rPr>
          <w:rFonts w:ascii="Arial" w:cs="Arial" w:eastAsia="Arial" w:hAnsi="Arial"/>
          <w:sz w:val="18"/>
          <w:szCs w:val="18"/>
          <w:u w:val="single" w:color="auto"/>
          <w:color w:val="auto"/>
        </w:rPr>
        <w:t>Peer Group</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insert companies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Company’s TSR for the TSR Performance Period will be computed and then compared to the TSR of the companies in the Peer Group. A participant shall earn 200%, 100% or 0% of the TSR-Based RSUs, as applicable, if the Company’s TSR for the Performance Period equals or exceeds the 80th, 50th or 20th percentile, respectively, of the Peer Group, when ranked by TSR for the TSR Performance Period. The percentage of TSR-Based RSUs earned will be determined based on straight-line interpolation to the extent the Company’s TSR falls in between the 20th and 80th percentiles, as per the chart below:</w:t>
      </w:r>
    </w:p>
    <w:p>
      <w:pPr>
        <w:spacing w:after="0" w:line="211"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1280" w:type="dxa"/>
            <w:vAlign w:val="bottom"/>
            <w:gridSpan w:val="3"/>
          </w:tcPr>
          <w:p>
            <w:pPr>
              <w:spacing w:after="0"/>
              <w:rPr>
                <w:sz w:val="20"/>
                <w:szCs w:val="20"/>
                <w:color w:val="auto"/>
              </w:rPr>
            </w:pPr>
            <w:r>
              <w:rPr>
                <w:rFonts w:ascii="Arial" w:cs="Arial" w:eastAsia="Arial" w:hAnsi="Arial"/>
                <w:sz w:val="14"/>
                <w:szCs w:val="14"/>
                <w:color w:val="auto"/>
                <w:w w:val="90"/>
              </w:rPr>
              <w:t>Peer Group Percentile</w:t>
            </w:r>
          </w:p>
        </w:tc>
        <w:tc>
          <w:tcPr>
            <w:tcW w:w="416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Arial" w:cs="Arial" w:eastAsia="Arial" w:hAnsi="Arial"/>
                <w:sz w:val="14"/>
                <w:szCs w:val="14"/>
                <w:color w:val="auto"/>
                <w:w w:val="90"/>
              </w:rPr>
              <w:t>Percentage of TSR-Based RSUs Earned</w:t>
            </w:r>
          </w:p>
        </w:tc>
      </w:tr>
      <w:tr>
        <w:trPr>
          <w:trHeight w:val="210"/>
        </w:trPr>
        <w:tc>
          <w:tcPr>
            <w:tcW w:w="20" w:type="dxa"/>
            <w:vAlign w:val="bottom"/>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4160" w:type="dxa"/>
            <w:vAlign w:val="bottom"/>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TSR shall be determined in the customary manner based on the percentage increase in a company’s stock price (taking into account assumed immediate reinvestment of dividends) from the first day of the TSR Performance Period to the last day of the TSR Performance Period. For this purpose, a company’s stock price on the applicable date will be determined as the 30 calendar day average closing stock price ending on the applicable date (or the immediately preceding trading day if the applicable date is not a trading day), except as provided in Section 3(b) in the event of a Change in Control.</w:t>
      </w:r>
    </w:p>
    <w:p>
      <w:pPr>
        <w:spacing w:after="0" w:line="154"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Companies in the Peer Group that are not publicly traded on the last day of the TSR Performance Period shall not be taken into account for TSR purposes (except that any such company that goes bankrupt will be deemed to have a negative 100% TSR).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0" w:right="2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13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sz w:val="20"/>
          <w:szCs w:val="20"/>
          <w:color w:val="auto"/>
        </w:rPr>
      </w:pPr>
    </w:p>
    <w:p>
      <w:pPr>
        <w:ind w:left="460" w:right="460" w:hanging="452"/>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sz w:val="20"/>
          <w:szCs w:val="20"/>
          <w:color w:val="auto"/>
        </w:rPr>
      </w:pPr>
    </w:p>
    <w:p>
      <w:pPr>
        <w:ind w:left="460" w:right="80" w:hanging="452"/>
        <w:spacing w:after="0" w:line="26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20" w:hanging="452"/>
        <w:spacing w:after="0" w:line="308"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R</w:t>
      </w:r>
      <w:r>
        <w:rPr>
          <w:rFonts w:ascii="Arial" w:cs="Arial" w:eastAsia="Arial" w:hAnsi="Arial"/>
          <w:sz w:val="15"/>
          <w:szCs w:val="15"/>
          <w:color w:val="auto"/>
        </w:rPr>
        <w:t>OHIT</w:t>
      </w:r>
      <w:r>
        <w:rPr>
          <w:rFonts w:ascii="Arial" w:cs="Arial" w:eastAsia="Arial" w:hAnsi="Arial"/>
          <w:sz w:val="18"/>
          <w:szCs w:val="18"/>
          <w:color w:val="auto"/>
        </w:rPr>
        <w:t xml:space="preserve"> K</w:t>
      </w:r>
      <w:r>
        <w:rPr>
          <w:rFonts w:ascii="Arial" w:cs="Arial" w:eastAsia="Arial" w:hAnsi="Arial"/>
          <w:sz w:val="15"/>
          <w:szCs w:val="15"/>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Rohit Kapoor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Vice Chairman and Chief Executive Officer</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Vishal Chhibbar, certify that:</w:t>
      </w:r>
    </w:p>
    <w:p>
      <w:pPr>
        <w:spacing w:after="0" w:line="13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20" w:hanging="452"/>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V</w:t>
      </w:r>
      <w:r>
        <w:rPr>
          <w:rFonts w:ascii="Arial" w:cs="Arial" w:eastAsia="Arial" w:hAnsi="Arial"/>
          <w:sz w:val="15"/>
          <w:szCs w:val="15"/>
          <w:color w:val="auto"/>
        </w:rPr>
        <w:t>ISHAL</w:t>
      </w:r>
      <w:r>
        <w:rPr>
          <w:rFonts w:ascii="Arial" w:cs="Arial" w:eastAsia="Arial" w:hAnsi="Arial"/>
          <w:sz w:val="18"/>
          <w:szCs w:val="18"/>
          <w:color w:val="auto"/>
        </w:rPr>
        <w:t xml:space="preserve"> C</w:t>
      </w:r>
      <w:r>
        <w:rPr>
          <w:rFonts w:ascii="Arial" w:cs="Arial" w:eastAsia="Arial" w:hAnsi="Arial"/>
          <w:sz w:val="15"/>
          <w:szCs w:val="15"/>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Vishal Chhibbar</w:t>
      </w:r>
    </w:p>
    <w:p>
      <w:pPr>
        <w:spacing w:after="0" w:line="226" w:lineRule="auto"/>
        <w:rPr>
          <w:sz w:val="20"/>
          <w:szCs w:val="20"/>
          <w:color w:val="auto"/>
        </w:rPr>
      </w:pPr>
      <w:r>
        <w:rPr>
          <w:rFonts w:ascii="Arial" w:cs="Arial" w:eastAsia="Arial" w:hAnsi="Arial"/>
          <w:sz w:val="14"/>
          <w:szCs w:val="14"/>
          <w:b w:val="1"/>
          <w:bCs w:val="1"/>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March 31, 2014, as filed with the Securities and Exchange Commission on the date hereof (the “Report”), I, Rohit Kapoor, Vice Chairman and Chief Executive Officer of the Company, certify, pursuant to 18 U.S.C. Section 1350, as adopted pursuant to Section 906 of the Sarbanes-Oxley Act of 2002, that:</w:t>
      </w:r>
    </w:p>
    <w:p>
      <w:pPr>
        <w:spacing w:after="0" w:line="71"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R</w:t>
      </w:r>
      <w:r>
        <w:rPr>
          <w:rFonts w:ascii="Arial" w:cs="Arial" w:eastAsia="Arial" w:hAnsi="Arial"/>
          <w:sz w:val="15"/>
          <w:szCs w:val="15"/>
          <w:color w:val="auto"/>
        </w:rPr>
        <w:t>OHIT</w:t>
      </w:r>
      <w:r>
        <w:rPr>
          <w:rFonts w:ascii="Arial" w:cs="Arial" w:eastAsia="Arial" w:hAnsi="Arial"/>
          <w:sz w:val="18"/>
          <w:szCs w:val="18"/>
          <w:color w:val="auto"/>
        </w:rPr>
        <w:t xml:space="preserve"> K</w:t>
      </w:r>
      <w:r>
        <w:rPr>
          <w:rFonts w:ascii="Arial" w:cs="Arial" w:eastAsia="Arial" w:hAnsi="Arial"/>
          <w:sz w:val="15"/>
          <w:szCs w:val="15"/>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Rohit Kapoor</w:t>
      </w:r>
    </w:p>
    <w:p>
      <w:pPr>
        <w:spacing w:after="0" w:line="226" w:lineRule="auto"/>
        <w:rPr>
          <w:sz w:val="20"/>
          <w:szCs w:val="20"/>
          <w:color w:val="auto"/>
        </w:rPr>
      </w:pPr>
      <w:r>
        <w:rPr>
          <w:rFonts w:ascii="Arial" w:cs="Arial" w:eastAsia="Arial" w:hAnsi="Arial"/>
          <w:sz w:val="14"/>
          <w:szCs w:val="14"/>
          <w:b w:val="1"/>
          <w:bCs w:val="1"/>
          <w:color w:val="auto"/>
        </w:rPr>
        <w:t>Vice Chairman 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Chief Executive Officer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May 1, 2014</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March 31, 2014, as filed with the Securities and Exchange Commission on the date hereof (the “Report”), I, Vishal Chhibbar, Executive Vice President and Chief Financial Officer of the Company, certify, pursuant to 18 U.S.C. Section 1350, as adopted pursuant to Section 906 of the Sarbanes-Oxley Act of 2002, that:</w:t>
      </w:r>
    </w:p>
    <w:p>
      <w:pPr>
        <w:spacing w:after="0" w:line="71"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V</w:t>
      </w:r>
      <w:r>
        <w:rPr>
          <w:rFonts w:ascii="Arial" w:cs="Arial" w:eastAsia="Arial" w:hAnsi="Arial"/>
          <w:sz w:val="15"/>
          <w:szCs w:val="15"/>
          <w:color w:val="auto"/>
        </w:rPr>
        <w:t>ISHAL</w:t>
      </w:r>
      <w:r>
        <w:rPr>
          <w:rFonts w:ascii="Arial" w:cs="Arial" w:eastAsia="Arial" w:hAnsi="Arial"/>
          <w:sz w:val="18"/>
          <w:szCs w:val="18"/>
          <w:color w:val="auto"/>
        </w:rPr>
        <w:t xml:space="preserve"> C</w:t>
      </w:r>
      <w:r>
        <w:rPr>
          <w:rFonts w:ascii="Arial" w:cs="Arial" w:eastAsia="Arial" w:hAnsi="Arial"/>
          <w:sz w:val="15"/>
          <w:szCs w:val="15"/>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Vishal Chhibbar</w:t>
      </w:r>
    </w:p>
    <w:p>
      <w:pPr>
        <w:spacing w:after="0" w:line="226" w:lineRule="auto"/>
        <w:rPr>
          <w:sz w:val="20"/>
          <w:szCs w:val="20"/>
          <w:color w:val="auto"/>
        </w:rPr>
      </w:pPr>
      <w:r>
        <w:rPr>
          <w:rFonts w:ascii="Arial" w:cs="Arial" w:eastAsia="Arial" w:hAnsi="Arial"/>
          <w:sz w:val="14"/>
          <w:szCs w:val="14"/>
          <w:b w:val="1"/>
          <w:bCs w:val="1"/>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Chief Financial Officer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May 1,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2"/>
    </w:lvl>
  </w:abstractNum>
  <w:abstractNum w:abstractNumId="11">
    <w:nsid w:val="436C6125"/>
    <w:multiLevelType w:val="hybridMultilevel"/>
    <w:lvl w:ilvl="0">
      <w:lvlJc w:val="left"/>
      <w:lvlText w:val="(%1)"/>
      <w:numFmt w:val="lowerLetter"/>
      <w:start w:val="1"/>
    </w:lvl>
    <w:lvl w:ilvl="1">
      <w:lvlJc w:val="left"/>
      <w:lvlText w:val="(%2)"/>
      <w:numFmt w:val="lowerLetter"/>
      <w:start w:val="9"/>
    </w:lvl>
  </w:abstractNum>
  <w:abstractNum w:abstractNumId="12">
    <w:nsid w:val="628C895D"/>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2"/>
    </w:lvl>
    <w:lvl w:ilvl="3">
      <w:lvlJc w:val="left"/>
      <w:lvlText w:val="(%4)"/>
      <w:numFmt w:val="decimal"/>
      <w:start w:val="1"/>
    </w:lvl>
  </w:abstractNum>
  <w:abstractNum w:abstractNumId="13">
    <w:nsid w:val="333AB105"/>
    <w:multiLevelType w:val="hybridMultilevel"/>
    <w:lvl w:ilvl="0">
      <w:lvlJc w:val="left"/>
      <w:lvlText w:val="(%1)"/>
      <w:numFmt w:val="decimal"/>
      <w:start w:val="2"/>
    </w:lvl>
  </w:abstractNum>
  <w:abstractNum w:abstractNumId="14">
    <w:nsid w:val="721DA31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5">
    <w:nsid w:val="2443A858"/>
    <w:multiLevelType w:val="hybridMultilevel"/>
    <w:lvl w:ilvl="0">
      <w:lvlJc w:val="left"/>
      <w:lvlText w:val="(%1)"/>
      <w:numFmt w:val="upperLetter"/>
      <w:start w:val="2"/>
    </w:lvl>
  </w:abstractNum>
  <w:abstractNum w:abstractNumId="16">
    <w:nsid w:val="2D1D5AE9"/>
    <w:multiLevelType w:val="hybridMultilevel"/>
    <w:lvl w:ilvl="0">
      <w:lvlJc w:val="left"/>
      <w:lvlText w:val="%1"/>
      <w:numFmt w:val="decimal"/>
      <w:start w:val="1"/>
    </w:lvl>
    <w:lvl w:ilvl="1">
      <w:lvlJc w:val="left"/>
      <w:lvlText w:val="(%2)"/>
      <w:numFmt w:val="lowerLetter"/>
      <w:start w:val="3"/>
    </w:lvl>
  </w:abstractNum>
  <w:abstractNum w:abstractNumId="17">
    <w:nsid w:val="6763845E"/>
    <w:multiLevelType w:val="hybridMultilevel"/>
    <w:lvl w:ilvl="0">
      <w:lvlJc w:val="left"/>
      <w:lvlText w:val="%1."/>
      <w:numFmt w:val="decimal"/>
      <w:start w:val="4"/>
    </w:lvl>
    <w:lvl w:ilvl="1">
      <w:lvlJc w:val="left"/>
      <w:lvlText w:val="(%2)"/>
      <w:numFmt w:val="lowerLetter"/>
      <w:start w:val="1"/>
    </w:lvl>
  </w:abstractNum>
  <w:abstractNum w:abstractNumId="18">
    <w:nsid w:val="75A2A8D4"/>
    <w:multiLevelType w:val="hybridMultilevel"/>
    <w:lvl w:ilvl="0">
      <w:lvlJc w:val="left"/>
      <w:lvlText w:val="%1"/>
      <w:numFmt w:val="decimal"/>
      <w:start w:val="1"/>
    </w:lvl>
    <w:lvl w:ilvl="1">
      <w:lvlJc w:val="left"/>
      <w:lvlText w:val="(%2)"/>
      <w:numFmt w:val="lowerLetter"/>
      <w:start w:val="3"/>
    </w:lvl>
  </w:abstractNum>
  <w:abstractNum w:abstractNumId="19">
    <w:nsid w:val="8EDBDAB"/>
    <w:multiLevelType w:val="hybridMultilevel"/>
    <w:lvl w:ilvl="0">
      <w:lvlJc w:val="left"/>
      <w:lvlText w:val="%1."/>
      <w:numFmt w:val="decimal"/>
      <w:start w:val="5"/>
    </w:lvl>
    <w:lvl w:ilvl="1">
      <w:lvlJc w:val="left"/>
      <w:lvlText w:val="(%2)"/>
      <w:numFmt w:val="lowerLetter"/>
      <w:start w:val="1"/>
    </w:lvl>
  </w:abstractNum>
  <w:abstractNum w:abstractNumId="20">
    <w:nsid w:val="79838CB2"/>
    <w:multiLevelType w:val="hybridMultilevel"/>
    <w:lvl w:ilvl="0">
      <w:lvlJc w:val="left"/>
      <w:lvlText w:val="(%1)"/>
      <w:numFmt w:val="lowerLetter"/>
      <w:start w:val="2"/>
    </w:lvl>
  </w:abstractNum>
  <w:abstractNum w:abstractNumId="21">
    <w:nsid w:val="4353D0CD"/>
    <w:multiLevelType w:val="hybridMultilevel"/>
    <w:lvl w:ilvl="0">
      <w:lvlJc w:val="left"/>
      <w:lvlText w:val="%1."/>
      <w:numFmt w:val="decimal"/>
      <w:start w:val="6"/>
    </w:lvl>
  </w:abstractNum>
  <w:abstractNum w:abstractNumId="22">
    <w:nsid w:val="B03E0C6"/>
    <w:multiLevelType w:val="hybridMultilevel"/>
    <w:lvl w:ilvl="0">
      <w:lvlJc w:val="left"/>
      <w:lvlText w:val="%1."/>
      <w:numFmt w:val="decimal"/>
      <w:start w:val="12"/>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3"/>
      <w:numFmt w:val="bullet"/>
      <w:start w:val="1"/>
    </w:lvl>
  </w:abstractNum>
  <w:abstractNum w:abstractNumId="25">
    <w:nsid w:val="71F32454"/>
    <w:multiLevelType w:val="hybridMultilevel"/>
    <w:lvl w:ilvl="0">
      <w:lvlJc w:val="left"/>
      <w:lvlText w:val="%1."/>
      <w:numFmt w:val="decimal"/>
      <w:start w:val="4"/>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2019-12-07T08:11:16Z</dcterms:created>
  <dcterms:modified xsi:type="dcterms:W3CDTF">2019-12-07T08:11:16Z</dcterms:modified>
</cp:coreProperties>
</file>