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11,458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234,293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4,509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229,784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21,774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251,558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01/26/2026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8,569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42.64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242,989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15, 2023. Such shares of Common Stock were deemed earned on January 26, 2026, based on the Compensation and Talent Management Committee of the Board of Directors administering the award certifying the achievement of performance targets applicable to the PRSUs for the performance period ending on December 31, 2025.</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01/28/2026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2026-01-28T16:42:31Z</dcterms:created>
  <dcterms:modified xsi:type="dcterms:W3CDTF">2026-01-28T16:42:31Z</dcterms:modified>
</cp:coreProperties>
</file>