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8" w:lineRule="exact"/>
        <w:rPr>
          <w:sz w:val="24"/>
          <w:szCs w:val="24"/>
          <w:color w:val="auto"/>
        </w:rPr>
      </w:pPr>
    </w:p>
    <w:p>
      <w:pPr>
        <w:ind w:left="340" w:right="8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-230505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-619760</wp:posOffset>
            </wp:positionV>
            <wp:extent cx="57785" cy="6330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095"/>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-619760</wp:posOffset>
            </wp:positionV>
            <wp:extent cx="57785" cy="6330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309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735330</wp:posOffset>
            </wp:positionV>
            <wp:extent cx="7047230" cy="55689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5568950"/>
                    </a:xfrm>
                    <a:prstGeom prst="rect">
                      <a:avLst/>
                    </a:prstGeom>
                    <a:noFill/>
                  </pic:spPr>
                </pic:pic>
              </a:graphicData>
            </a:graphic>
          </wp:anchor>
        </w:drawing>
      </w:r>
    </w:p>
    <w:p>
      <w:pPr>
        <w:spacing w:after="0" w:line="1208" w:lineRule="exact"/>
        <w:rPr>
          <w:sz w:val="24"/>
          <w:szCs w:val="24"/>
          <w:color w:val="auto"/>
        </w:rPr>
      </w:pPr>
    </w:p>
    <w:p>
      <w:pPr>
        <w:sectPr>
          <w:pgSz w:w="11900" w:h="16838" w:orient="portrait"/>
          <w:cols w:equalWidth="0" w:num="2">
            <w:col w:w="2300" w:space="300"/>
            <w:col w:w="8480"/>
          </w:cols>
          <w:pgMar w:left="460" w:top="216" w:right="359" w:bottom="605" w:gutter="0" w:footer="0" w:header="0"/>
        </w:sectPr>
      </w:pPr>
    </w:p>
    <w:p>
      <w:pPr>
        <w:spacing w:after="0" w:line="1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Harrison Pamela M</w:t>
        </w:r>
      </w:hyperlink>
    </w:p>
    <w:p>
      <w:pPr>
        <w:spacing w:after="0" w:line="29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right="840"/>
        <w:spacing w:after="0" w:line="324" w:lineRule="auto"/>
        <w:rPr>
          <w:sz w:val="20"/>
          <w:szCs w:val="20"/>
          <w:color w:val="auto"/>
        </w:rPr>
      </w:pPr>
      <w:r>
        <w:rPr>
          <w:rFonts w:ascii="Times New Roman" w:cs="Times New Roman" w:eastAsia="Times New Roman" w:hAnsi="Times New Roman"/>
          <w:sz w:val="16"/>
          <w:szCs w:val="16"/>
          <w:color w:val="0000FF"/>
        </w:rPr>
        <w:t>EXLSERVICE HOLDINGS INC 320 PARK AVENUE, 29TH FL</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ExlService Holdings,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EXLS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02/19/2026</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4" w:right="660" w:hanging="4"/>
        <w:spacing w:after="0" w:line="254"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 w:lineRule="exact"/>
        <w:rPr>
          <w:sz w:val="24"/>
          <w:szCs w:val="24"/>
          <w:color w:val="auto"/>
        </w:rPr>
      </w:pPr>
    </w:p>
    <w:p>
      <w:pPr>
        <w:ind w:left="524"/>
        <w:spacing w:after="0"/>
        <w:tabs>
          <w:tab w:leader="none" w:pos="2063"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2" w:lineRule="exact"/>
        <w:rPr>
          <w:sz w:val="24"/>
          <w:szCs w:val="24"/>
          <w:color w:val="auto"/>
        </w:rPr>
      </w:pPr>
    </w:p>
    <w:p>
      <w:pPr>
        <w:ind w:left="524"/>
        <w:spacing w:after="0"/>
        <w:tabs>
          <w:tab w:leader="none" w:pos="2063"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24"/>
        <w:spacing w:after="0"/>
        <w:tabs>
          <w:tab w:leader="none" w:pos="2063"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0" w:lineRule="exact"/>
        <w:rPr>
          <w:sz w:val="24"/>
          <w:szCs w:val="24"/>
          <w:color w:val="auto"/>
        </w:rPr>
      </w:pPr>
    </w:p>
    <w:p>
      <w:pPr>
        <w:ind w:left="144"/>
        <w:spacing w:after="0"/>
        <w:rPr>
          <w:sz w:val="20"/>
          <w:szCs w:val="20"/>
          <w:color w:val="auto"/>
        </w:rPr>
      </w:pPr>
      <w:r>
        <w:rPr>
          <w:rFonts w:ascii="Times New Roman" w:cs="Times New Roman" w:eastAsia="Times New Roman" w:hAnsi="Times New Roman"/>
          <w:sz w:val="16"/>
          <w:szCs w:val="16"/>
          <w:color w:val="0000FF"/>
        </w:rPr>
        <w:t>CHIEF HUMAN RESOURCES OFFICER</w:t>
      </w:r>
    </w:p>
    <w:p>
      <w:pPr>
        <w:spacing w:after="0" w:line="441" w:lineRule="exact"/>
        <w:rPr>
          <w:sz w:val="24"/>
          <w:szCs w:val="24"/>
          <w:color w:val="auto"/>
        </w:rPr>
      </w:pPr>
    </w:p>
    <w:p>
      <w:pPr>
        <w:sectPr>
          <w:pgSz w:w="11900" w:h="16838" w:orient="portrait"/>
          <w:cols w:equalWidth="0" w:num="3">
            <w:col w:w="3180" w:space="720"/>
            <w:col w:w="3116" w:space="720"/>
            <w:col w:w="3344"/>
          </w:cols>
          <w:pgMar w:left="460" w:top="216" w:right="359" w:bottom="605" w:gutter="0" w:footer="0" w:header="0"/>
          <w:type w:val="continuous"/>
        </w:sectPr>
      </w:pPr>
    </w:p>
    <w:tbl>
      <w:tblPr>
        <w:tblLayout w:type="fixed"/>
        <w:tblInd w:w="0" w:type="dxa"/>
        <w:tblCellMar>
          <w:top w:w="0" w:type="dxa"/>
          <w:left w:w="0" w:type="dxa"/>
          <w:bottom w:w="0" w:type="dxa"/>
          <w:right w:w="0" w:type="dxa"/>
        </w:tblCellMar>
      </w:tblP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700" w:type="dxa"/>
            <w:vAlign w:val="bottom"/>
            <w:gridSpan w:val="6"/>
          </w:tcPr>
          <w:p>
            <w:pPr>
              <w:ind w:left="140"/>
              <w:spacing w:after="0" w:line="109" w:lineRule="exact"/>
              <w:rPr>
                <w:sz w:val="20"/>
                <w:szCs w:val="20"/>
                <w:color w:val="auto"/>
              </w:rPr>
            </w:pPr>
            <w:r>
              <w:rPr>
                <w:rFonts w:ascii="Arial" w:cs="Arial" w:eastAsia="Arial" w:hAnsi="Arial"/>
                <w:sz w:val="12"/>
                <w:szCs w:val="12"/>
                <w:color w:val="auto"/>
              </w:rPr>
              <w:t>4. If Amendment, Date of Original Filed (Month/Day/Year)</w:t>
            </w:r>
          </w:p>
        </w:tc>
        <w:tc>
          <w:tcPr>
            <w:tcW w:w="3620" w:type="dxa"/>
            <w:vAlign w:val="bottom"/>
            <w:gridSpan w:val="10"/>
          </w:tcPr>
          <w:p>
            <w:pPr>
              <w:ind w:left="280"/>
              <w:spacing w:after="0" w:line="109"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gridSpan w:val="2"/>
          </w:tcPr>
          <w:p>
            <w:pPr>
              <w:ind w:left="28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0" w:type="dxa"/>
            <w:vAlign w:val="bottom"/>
          </w:tcPr>
          <w:p>
            <w:pPr>
              <w:spacing w:after="0"/>
              <w:rPr>
                <w:sz w:val="7"/>
                <w:szCs w:val="7"/>
                <w:color w:val="auto"/>
              </w:rPr>
            </w:pPr>
          </w:p>
        </w:tc>
        <w:tc>
          <w:tcPr>
            <w:tcW w:w="78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4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7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10022</w:t>
            </w: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4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4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0" w:type="dxa"/>
            <w:vAlign w:val="bottom"/>
          </w:tcPr>
          <w:p>
            <w:pPr>
              <w:spacing w:after="0"/>
              <w:rPr>
                <w:sz w:val="6"/>
                <w:szCs w:val="6"/>
                <w:color w:val="auto"/>
              </w:rPr>
            </w:pPr>
          </w:p>
        </w:tc>
        <w:tc>
          <w:tcPr>
            <w:tcW w:w="78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4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60" w:type="dxa"/>
            <w:vAlign w:val="bottom"/>
            <w:tcBorders>
              <w:bottom w:val="single" w:sz="8" w:color="9A9A9A"/>
            </w:tcBorders>
          </w:tcPr>
          <w:p>
            <w:pPr>
              <w:spacing w:after="0"/>
              <w:rPr>
                <w:sz w:val="6"/>
                <w:szCs w:val="6"/>
                <w:color w:val="auto"/>
              </w:rPr>
            </w:pPr>
          </w:p>
        </w:tc>
        <w:tc>
          <w:tcPr>
            <w:tcW w:w="74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0" w:type="dxa"/>
            <w:vAlign w:val="bottom"/>
          </w:tcPr>
          <w:p>
            <w:pPr>
              <w:spacing w:after="0"/>
              <w:rPr>
                <w:sz w:val="6"/>
                <w:szCs w:val="6"/>
                <w:color w:val="auto"/>
              </w:rPr>
            </w:pPr>
          </w:p>
        </w:tc>
        <w:tc>
          <w:tcPr>
            <w:tcW w:w="78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7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0" w:type="dxa"/>
            <w:vAlign w:val="bottom"/>
          </w:tcPr>
          <w:p>
            <w:pPr>
              <w:spacing w:after="0"/>
              <w:rPr>
                <w:sz w:val="6"/>
                <w:szCs w:val="6"/>
                <w:color w:val="auto"/>
              </w:rPr>
            </w:pPr>
          </w:p>
        </w:tc>
        <w:tc>
          <w:tcPr>
            <w:tcW w:w="78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4"/>
          </w:tcPr>
          <w:p>
            <w:pPr>
              <w:spacing w:after="0"/>
              <w:rPr>
                <w:sz w:val="10"/>
                <w:szCs w:val="10"/>
                <w:color w:val="auto"/>
              </w:rPr>
            </w:pPr>
          </w:p>
        </w:tc>
        <w:tc>
          <w:tcPr>
            <w:tcW w:w="4240" w:type="dxa"/>
            <w:vAlign w:val="bottom"/>
            <w:tcBorders>
              <w:bottom w:val="single" w:sz="8" w:color="2C2C2C"/>
            </w:tcBorders>
            <w:gridSpan w:val="7"/>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3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gridSpan w:val="3"/>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88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74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gridSpan w:val="2"/>
          </w:tcPr>
          <w:p>
            <w:pPr>
              <w:spacing w:after="0"/>
              <w:rPr>
                <w:sz w:val="20"/>
                <w:szCs w:val="20"/>
                <w:color w:val="auto"/>
              </w:rPr>
            </w:pPr>
            <w:r>
              <w:rPr>
                <w:rFonts w:ascii="Arial" w:cs="Arial" w:eastAsia="Arial" w:hAnsi="Arial"/>
                <w:sz w:val="11"/>
                <w:szCs w:val="11"/>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4"/>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0" w:type="dxa"/>
            <w:vAlign w:val="bottom"/>
            <w:gridSpan w:val="2"/>
          </w:tcPr>
          <w:p>
            <w:pPr>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4"/>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8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600" w:type="dxa"/>
            <w:vAlign w:val="bottom"/>
          </w:tcPr>
          <w:p>
            <w:pPr>
              <w:spacing w:after="0"/>
              <w:rPr>
                <w:sz w:val="20"/>
                <w:szCs w:val="20"/>
                <w:color w:val="auto"/>
              </w:rPr>
            </w:pPr>
            <w:r>
              <w:rPr>
                <w:rFonts w:ascii="Arial" w:cs="Arial" w:eastAsia="Arial" w:hAnsi="Arial"/>
                <w:sz w:val="11"/>
                <w:szCs w:val="11"/>
                <w:b w:val="1"/>
                <w:bCs w:val="1"/>
                <w:color w:val="auto"/>
              </w:rPr>
              <w:t>if any</w:t>
            </w:r>
          </w:p>
        </w:tc>
        <w:tc>
          <w:tcPr>
            <w:tcW w:w="40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0" w:type="dxa"/>
            <w:vAlign w:val="bottom"/>
            <w:gridSpan w:val="2"/>
          </w:tcPr>
          <w:p>
            <w:pPr>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6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3240" w:type="dxa"/>
            <w:vAlign w:val="bottom"/>
            <w:tcBorders>
              <w:bottom w:val="single" w:sz="8" w:color="2C2C2C"/>
            </w:tcBorders>
            <w:gridSpan w:val="6"/>
          </w:tcPr>
          <w:p>
            <w:pPr>
              <w:spacing w:after="0"/>
              <w:rPr>
                <w:sz w:val="3"/>
                <w:szCs w:val="3"/>
                <w:color w:val="auto"/>
              </w:rPr>
            </w:pPr>
          </w:p>
        </w:tc>
        <w:tc>
          <w:tcPr>
            <w:tcW w:w="1080" w:type="dxa"/>
            <w:vAlign w:val="bottom"/>
            <w:tcBorders>
              <w:bottom w:val="single" w:sz="8" w:color="2C2C2C"/>
            </w:tcBorders>
            <w:gridSpan w:val="3"/>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324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080" w:type="dxa"/>
            <w:vAlign w:val="bottom"/>
            <w:tcBorders>
              <w:bottom w:val="single" w:sz="8" w:color="2C2C2C"/>
            </w:tcBorders>
            <w:gridSpan w:val="3"/>
          </w:tcPr>
          <w:p>
            <w:pPr>
              <w:jc w:val="right"/>
              <w:ind w:right="159"/>
              <w:spacing w:after="0"/>
              <w:rPr>
                <w:sz w:val="20"/>
                <w:szCs w:val="20"/>
                <w:color w:val="auto"/>
              </w:rPr>
            </w:pPr>
            <w:r>
              <w:rPr>
                <w:rFonts w:ascii="Times New Roman" w:cs="Times New Roman" w:eastAsia="Times New Roman" w:hAnsi="Times New Roman"/>
                <w:sz w:val="17"/>
                <w:szCs w:val="17"/>
                <w:color w:val="0000FF"/>
              </w:rPr>
              <w:t>02/20/2026</w:t>
            </w:r>
          </w:p>
        </w:tc>
        <w:tc>
          <w:tcPr>
            <w:tcW w:w="6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68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3,161</w:t>
            </w:r>
          </w:p>
        </w:tc>
        <w:tc>
          <w:tcPr>
            <w:tcW w:w="66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5,893</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20" w:type="dxa"/>
            <w:vAlign w:val="bottom"/>
            <w:tcBorders>
              <w:bottom w:val="single" w:sz="8" w:color="2C2C2C"/>
            </w:tcBorders>
          </w:tcPr>
          <w:p>
            <w:pPr>
              <w:spacing w:after="0"/>
              <w:rPr>
                <w:sz w:val="24"/>
                <w:szCs w:val="24"/>
                <w:color w:val="auto"/>
              </w:rPr>
            </w:pPr>
          </w:p>
        </w:tc>
        <w:tc>
          <w:tcPr>
            <w:tcW w:w="324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080" w:type="dxa"/>
            <w:vAlign w:val="bottom"/>
            <w:tcBorders>
              <w:bottom w:val="single" w:sz="8" w:color="2C2C2C"/>
            </w:tcBorders>
            <w:gridSpan w:val="3"/>
          </w:tcPr>
          <w:p>
            <w:pPr>
              <w:jc w:val="right"/>
              <w:ind w:right="159"/>
              <w:spacing w:after="0"/>
              <w:rPr>
                <w:sz w:val="20"/>
                <w:szCs w:val="20"/>
                <w:color w:val="auto"/>
              </w:rPr>
            </w:pPr>
            <w:r>
              <w:rPr>
                <w:rFonts w:ascii="Times New Roman" w:cs="Times New Roman" w:eastAsia="Times New Roman" w:hAnsi="Times New Roman"/>
                <w:sz w:val="17"/>
                <w:szCs w:val="17"/>
                <w:color w:val="0000FF"/>
              </w:rPr>
              <w:t>02/20/2026</w:t>
            </w:r>
          </w:p>
        </w:tc>
        <w:tc>
          <w:tcPr>
            <w:tcW w:w="6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F</w:t>
            </w:r>
          </w:p>
        </w:tc>
        <w:tc>
          <w:tcPr>
            <w:tcW w:w="68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1,630</w:t>
            </w:r>
          </w:p>
        </w:tc>
        <w:tc>
          <w:tcPr>
            <w:tcW w:w="66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600" w:type="dxa"/>
            <w:vAlign w:val="bottom"/>
            <w:tcBorders>
              <w:bottom w:val="single" w:sz="8" w:color="2C2C2C"/>
            </w:tcBorders>
            <w:gridSpan w:val="2"/>
          </w:tcPr>
          <w:p>
            <w:pPr>
              <w:jc w:val="right"/>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30.41</w:t>
            </w:r>
            <w:r>
              <w:rPr>
                <w:rFonts w:ascii="Times New Roman" w:cs="Times New Roman" w:eastAsia="Times New Roman" w:hAnsi="Times New Roman"/>
                <w:sz w:val="21"/>
                <w:szCs w:val="21"/>
                <w:color w:val="008000"/>
                <w:w w:val="90"/>
                <w:vertAlign w:val="superscript"/>
              </w:rPr>
              <w:t>(2)</w:t>
            </w:r>
          </w:p>
        </w:tc>
        <w:tc>
          <w:tcPr>
            <w:tcW w:w="128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4,263</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2"/>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36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1000" w:type="dxa"/>
            <w:vAlign w:val="bottom"/>
            <w:gridSpan w:val="2"/>
          </w:tcPr>
          <w:p>
            <w:pPr>
              <w:ind w:left="14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1000" w:type="dxa"/>
            <w:vAlign w:val="bottom"/>
            <w:gridSpan w:val="2"/>
          </w:tcPr>
          <w:p>
            <w:pPr>
              <w:ind w:left="140"/>
              <w:spacing w:after="0"/>
              <w:rPr>
                <w:sz w:val="20"/>
                <w:szCs w:val="20"/>
                <w:color w:val="auto"/>
              </w:rPr>
            </w:pPr>
            <w:r>
              <w:rPr>
                <w:rFonts w:ascii="Arial" w:cs="Arial" w:eastAsia="Arial" w:hAnsi="Arial"/>
                <w:sz w:val="11"/>
                <w:szCs w:val="11"/>
                <w:b w:val="1"/>
                <w:bCs w:val="1"/>
                <w:color w:val="auto"/>
              </w:rPr>
              <w:t>Derivative</w:t>
            </w:r>
          </w:p>
        </w:tc>
        <w:tc>
          <w:tcPr>
            <w:tcW w:w="1460" w:type="dxa"/>
            <w:vAlign w:val="bottom"/>
            <w:gridSpan w:val="2"/>
          </w:tcPr>
          <w:p>
            <w:pPr>
              <w:ind w:left="40"/>
              <w:spacing w:after="0"/>
              <w:rPr>
                <w:sz w:val="20"/>
                <w:szCs w:val="20"/>
                <w:color w:val="auto"/>
              </w:rPr>
            </w:pPr>
            <w:r>
              <w:rPr>
                <w:rFonts w:ascii="Arial" w:cs="Arial" w:eastAsia="Arial" w:hAnsi="Arial"/>
                <w:sz w:val="11"/>
                <w:szCs w:val="11"/>
                <w:b w:val="1"/>
                <w:bCs w:val="1"/>
                <w:color w:val="auto"/>
              </w:rPr>
              <w:t>Expiration Date</w:t>
            </w:r>
          </w:p>
        </w:tc>
        <w:tc>
          <w:tcPr>
            <w:tcW w:w="126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8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360" w:type="dxa"/>
            <w:vAlign w:val="bottom"/>
          </w:tcPr>
          <w:p>
            <w:pPr>
              <w:spacing w:after="0"/>
              <w:rPr>
                <w:sz w:val="11"/>
                <w:szCs w:val="11"/>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1000" w:type="dxa"/>
            <w:vAlign w:val="bottom"/>
            <w:gridSpan w:val="2"/>
          </w:tcPr>
          <w:p>
            <w:pPr>
              <w:ind w:left="140"/>
              <w:spacing w:after="0"/>
              <w:rPr>
                <w:sz w:val="20"/>
                <w:szCs w:val="20"/>
                <w:color w:val="auto"/>
              </w:rPr>
            </w:pPr>
            <w:r>
              <w:rPr>
                <w:rFonts w:ascii="Arial" w:cs="Arial" w:eastAsia="Arial" w:hAnsi="Arial"/>
                <w:sz w:val="11"/>
                <w:szCs w:val="11"/>
                <w:b w:val="1"/>
                <w:bCs w:val="1"/>
                <w:color w:val="auto"/>
              </w:rPr>
              <w:t>Securities</w:t>
            </w:r>
          </w:p>
        </w:tc>
        <w:tc>
          <w:tcPr>
            <w:tcW w:w="146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1000" w:type="dxa"/>
            <w:vAlign w:val="bottom"/>
            <w:gridSpan w:val="2"/>
          </w:tcPr>
          <w:p>
            <w:pPr>
              <w:ind w:left="14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spacing w:after="0"/>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0" w:type="dxa"/>
            <w:vAlign w:val="bottom"/>
            <w:gridSpan w:val="2"/>
          </w:tcPr>
          <w:p>
            <w:pPr>
              <w:ind w:left="14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0" w:type="dxa"/>
            <w:vAlign w:val="bottom"/>
            <w:gridSpan w:val="2"/>
          </w:tcPr>
          <w:p>
            <w:pPr>
              <w:ind w:left="140"/>
              <w:spacing w:after="0"/>
              <w:rPr>
                <w:sz w:val="20"/>
                <w:szCs w:val="20"/>
                <w:color w:val="auto"/>
              </w:rPr>
            </w:pPr>
            <w:r>
              <w:rPr>
                <w:rFonts w:ascii="Arial" w:cs="Arial" w:eastAsia="Arial" w:hAnsi="Arial"/>
                <w:sz w:val="11"/>
                <w:szCs w:val="11"/>
                <w:b w:val="1"/>
                <w:bCs w:val="1"/>
                <w:color w:val="auto"/>
              </w:rPr>
              <w:t>of (D) (Instr. 3,</w:t>
            </w: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140"/>
              <w:spacing w:after="0"/>
              <w:rPr>
                <w:sz w:val="20"/>
                <w:szCs w:val="20"/>
                <w:color w:val="auto"/>
              </w:rPr>
            </w:pPr>
            <w:r>
              <w:rPr>
                <w:rFonts w:ascii="Arial" w:cs="Arial" w:eastAsia="Arial" w:hAnsi="Arial"/>
                <w:sz w:val="11"/>
                <w:szCs w:val="11"/>
                <w:b w:val="1"/>
                <w:bCs w:val="1"/>
                <w:color w:val="auto"/>
              </w:rPr>
              <w:t>4 and 5)</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ind w:left="20"/>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ind w:left="20"/>
              <w:spacing w:after="0"/>
              <w:rPr>
                <w:sz w:val="20"/>
                <w:szCs w:val="20"/>
                <w:color w:val="auto"/>
              </w:rPr>
            </w:pPr>
            <w:r>
              <w:rPr>
                <w:rFonts w:ascii="Arial" w:cs="Arial" w:eastAsia="Arial" w:hAnsi="Arial"/>
                <w:sz w:val="11"/>
                <w:szCs w:val="11"/>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ind w:left="20"/>
              <w:spacing w:after="0"/>
              <w:rPr>
                <w:sz w:val="20"/>
                <w:szCs w:val="20"/>
                <w:color w:val="auto"/>
              </w:rPr>
            </w:pPr>
            <w:r>
              <w:rPr>
                <w:rFonts w:ascii="Arial" w:cs="Arial" w:eastAsia="Arial" w:hAnsi="Arial"/>
                <w:sz w:val="11"/>
                <w:szCs w:val="11"/>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600" w:type="dxa"/>
            <w:vAlign w:val="bottom"/>
            <w:gridSpan w:val="2"/>
          </w:tcPr>
          <w:p>
            <w:pPr>
              <w:ind w:left="20"/>
              <w:spacing w:after="0"/>
              <w:rPr>
                <w:sz w:val="20"/>
                <w:szCs w:val="20"/>
                <w:color w:val="auto"/>
              </w:rPr>
            </w:pPr>
            <w:r>
              <w:rPr>
                <w:rFonts w:ascii="Arial" w:cs="Arial" w:eastAsia="Arial" w:hAnsi="Arial"/>
                <w:sz w:val="11"/>
                <w:szCs w:val="11"/>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00" w:type="dxa"/>
            <w:vAlign w:val="bottom"/>
          </w:tcPr>
          <w:p>
            <w:pPr>
              <w:ind w:left="140"/>
              <w:spacing w:after="0"/>
              <w:rPr>
                <w:sz w:val="20"/>
                <w:szCs w:val="20"/>
                <w:color w:val="auto"/>
              </w:rPr>
            </w:pPr>
            <w:r>
              <w:rPr>
                <w:rFonts w:ascii="Arial" w:cs="Arial" w:eastAsia="Arial" w:hAnsi="Arial"/>
                <w:sz w:val="11"/>
                <w:szCs w:val="11"/>
                <w:b w:val="1"/>
                <w:bCs w:val="1"/>
                <w:color w:val="auto"/>
              </w:rPr>
              <w:t>(A)</w:t>
            </w:r>
          </w:p>
        </w:tc>
        <w:tc>
          <w:tcPr>
            <w:tcW w:w="40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4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00" w:type="dxa"/>
            <w:vAlign w:val="bottom"/>
            <w:gridSpan w:val="2"/>
          </w:tcPr>
          <w:p>
            <w:pPr>
              <w:ind w:left="20"/>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(4)</w:t>
            </w:r>
          </w:p>
        </w:tc>
        <w:tc>
          <w:tcPr>
            <w:tcW w:w="68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660" w:type="dxa"/>
            <w:vAlign w:val="bottom"/>
          </w:tcPr>
          <w:p>
            <w:pPr>
              <w:ind w:left="14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w w:val="98"/>
              </w:rPr>
              <w:t>20,720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right"/>
              <w:ind w:right="156"/>
              <w:spacing w:after="0" w:line="141" w:lineRule="exact"/>
              <w:rPr>
                <w:sz w:val="20"/>
                <w:szCs w:val="20"/>
                <w:color w:val="auto"/>
              </w:rPr>
            </w:pPr>
            <w:r>
              <w:rPr>
                <w:rFonts w:ascii="Times New Roman" w:cs="Times New Roman" w:eastAsia="Times New Roman" w:hAnsi="Times New Roman"/>
                <w:sz w:val="13"/>
                <w:szCs w:val="13"/>
                <w:color w:val="0000FF"/>
              </w:rPr>
              <w:t>02/19/2026</w:t>
            </w: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ind w:right="399"/>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600" w:type="dxa"/>
            <w:vAlign w:val="bottom"/>
          </w:tcPr>
          <w:p>
            <w:pPr>
              <w:ind w:left="140"/>
              <w:spacing w:after="0" w:line="141" w:lineRule="exact"/>
              <w:rPr>
                <w:sz w:val="20"/>
                <w:szCs w:val="20"/>
                <w:color w:val="auto"/>
              </w:rPr>
            </w:pPr>
            <w:r>
              <w:rPr>
                <w:rFonts w:ascii="Times New Roman" w:cs="Times New Roman" w:eastAsia="Times New Roman" w:hAnsi="Times New Roman"/>
                <w:sz w:val="13"/>
                <w:szCs w:val="13"/>
                <w:color w:val="0000FF"/>
              </w:rPr>
              <w:t>20,720</w:t>
            </w:r>
          </w:p>
        </w:tc>
        <w:tc>
          <w:tcPr>
            <w:tcW w:w="4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60" w:type="dxa"/>
            <w:vAlign w:val="bottom"/>
          </w:tcPr>
          <w:p>
            <w:pPr>
              <w:ind w:left="80"/>
              <w:spacing w:after="0" w:line="141" w:lineRule="exact"/>
              <w:rPr>
                <w:sz w:val="20"/>
                <w:szCs w:val="20"/>
                <w:color w:val="auto"/>
              </w:rPr>
            </w:pPr>
            <w:r>
              <w:rPr>
                <w:rFonts w:ascii="Times New Roman" w:cs="Times New Roman" w:eastAsia="Times New Roman" w:hAnsi="Times New Roman"/>
                <w:sz w:val="13"/>
                <w:szCs w:val="13"/>
                <w:color w:val="0000FF"/>
              </w:rPr>
              <w:t>par value</w:t>
            </w:r>
          </w:p>
        </w:tc>
        <w:tc>
          <w:tcPr>
            <w:tcW w:w="5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tcPr>
          <w:p>
            <w:pPr>
              <w:jc w:val="right"/>
              <w:spacing w:after="0" w:line="141" w:lineRule="exact"/>
              <w:rPr>
                <w:sz w:val="20"/>
                <w:szCs w:val="20"/>
                <w:color w:val="auto"/>
              </w:rPr>
            </w:pPr>
            <w:r>
              <w:rPr>
                <w:rFonts w:ascii="Times New Roman" w:cs="Times New Roman" w:eastAsia="Times New Roman" w:hAnsi="Times New Roman"/>
                <w:sz w:val="13"/>
                <w:szCs w:val="13"/>
                <w:color w:val="0000FF"/>
              </w:rPr>
              <w:t>20,720</w:t>
            </w:r>
          </w:p>
        </w:tc>
        <w:tc>
          <w:tcPr>
            <w:tcW w:w="260" w:type="dxa"/>
            <w:vAlign w:val="bottom"/>
          </w:tcPr>
          <w:p>
            <w:pPr>
              <w:spacing w:after="0"/>
              <w:rPr>
                <w:sz w:val="12"/>
                <w:szCs w:val="12"/>
                <w:color w:val="auto"/>
              </w:rPr>
            </w:pPr>
          </w:p>
        </w:tc>
        <w:tc>
          <w:tcPr>
            <w:tcW w:w="660" w:type="dxa"/>
            <w:vAlign w:val="bottom"/>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ind w:left="140"/>
              <w:spacing w:after="0" w:line="141" w:lineRule="exact"/>
              <w:rPr>
                <w:sz w:val="20"/>
                <w:szCs w:val="20"/>
                <w:color w:val="auto"/>
              </w:rPr>
            </w:pPr>
            <w:r>
              <w:rPr>
                <w:rFonts w:ascii="Times New Roman" w:cs="Times New Roman" w:eastAsia="Times New Roman" w:hAnsi="Times New Roman"/>
                <w:sz w:val="13"/>
                <w:szCs w:val="13"/>
                <w:color w:val="0000FF"/>
              </w:rPr>
              <w:t>$0.001</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per share</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gridSpan w:val="2"/>
            <w:vMerge w:val="restart"/>
          </w:tcPr>
          <w:p>
            <w:pPr>
              <w:ind w:left="80"/>
              <w:spacing w:after="0" w:line="281" w:lineRule="exact"/>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(5)</w:t>
            </w:r>
          </w:p>
        </w:tc>
        <w:tc>
          <w:tcPr>
            <w:tcW w:w="68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(5)</w:t>
            </w:r>
          </w:p>
        </w:tc>
        <w:tc>
          <w:tcPr>
            <w:tcW w:w="660" w:type="dxa"/>
            <w:vAlign w:val="bottom"/>
          </w:tcPr>
          <w:p>
            <w:pPr>
              <w:ind w:left="14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3,161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right"/>
              <w:ind w:right="156"/>
              <w:spacing w:after="0" w:line="141" w:lineRule="exact"/>
              <w:rPr>
                <w:sz w:val="20"/>
                <w:szCs w:val="20"/>
                <w:color w:val="auto"/>
              </w:rPr>
            </w:pPr>
            <w:r>
              <w:rPr>
                <w:rFonts w:ascii="Times New Roman" w:cs="Times New Roman" w:eastAsia="Times New Roman" w:hAnsi="Times New Roman"/>
                <w:sz w:val="13"/>
                <w:szCs w:val="13"/>
                <w:color w:val="0000FF"/>
              </w:rPr>
              <w:t>02/20/2026</w:t>
            </w: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ind w:left="40"/>
              <w:spacing w:after="0" w:line="141" w:lineRule="exact"/>
              <w:rPr>
                <w:sz w:val="20"/>
                <w:szCs w:val="20"/>
                <w:color w:val="auto"/>
              </w:rPr>
            </w:pPr>
            <w:r>
              <w:rPr>
                <w:rFonts w:ascii="Times New Roman" w:cs="Times New Roman" w:eastAsia="Times New Roman" w:hAnsi="Times New Roman"/>
                <w:sz w:val="13"/>
                <w:szCs w:val="13"/>
                <w:color w:val="0000FF"/>
              </w:rPr>
              <w:t>3,161</w:t>
            </w:r>
          </w:p>
        </w:tc>
        <w:tc>
          <w:tcPr>
            <w:tcW w:w="78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60" w:type="dxa"/>
            <w:vAlign w:val="bottom"/>
          </w:tcPr>
          <w:p>
            <w:pPr>
              <w:ind w:left="80"/>
              <w:spacing w:after="0" w:line="141" w:lineRule="exact"/>
              <w:rPr>
                <w:sz w:val="20"/>
                <w:szCs w:val="20"/>
                <w:color w:val="auto"/>
              </w:rPr>
            </w:pPr>
            <w:r>
              <w:rPr>
                <w:rFonts w:ascii="Times New Roman" w:cs="Times New Roman" w:eastAsia="Times New Roman" w:hAnsi="Times New Roman"/>
                <w:sz w:val="13"/>
                <w:szCs w:val="13"/>
                <w:color w:val="0000FF"/>
              </w:rPr>
              <w:t>par value</w:t>
            </w:r>
          </w:p>
        </w:tc>
        <w:tc>
          <w:tcPr>
            <w:tcW w:w="5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tcPr>
          <w:p>
            <w:pPr>
              <w:jc w:val="right"/>
              <w:spacing w:after="0" w:line="141" w:lineRule="exact"/>
              <w:rPr>
                <w:sz w:val="20"/>
                <w:szCs w:val="20"/>
                <w:color w:val="auto"/>
              </w:rPr>
            </w:pPr>
            <w:r>
              <w:rPr>
                <w:rFonts w:ascii="Times New Roman" w:cs="Times New Roman" w:eastAsia="Times New Roman" w:hAnsi="Times New Roman"/>
                <w:sz w:val="13"/>
                <w:szCs w:val="13"/>
                <w:color w:val="0000FF"/>
              </w:rPr>
              <w:t>9,483</w:t>
            </w:r>
          </w:p>
        </w:tc>
        <w:tc>
          <w:tcPr>
            <w:tcW w:w="260" w:type="dxa"/>
            <w:vAlign w:val="bottom"/>
          </w:tcPr>
          <w:p>
            <w:pPr>
              <w:spacing w:after="0"/>
              <w:rPr>
                <w:sz w:val="12"/>
                <w:szCs w:val="12"/>
                <w:color w:val="auto"/>
              </w:rPr>
            </w:pPr>
          </w:p>
        </w:tc>
        <w:tc>
          <w:tcPr>
            <w:tcW w:w="660" w:type="dxa"/>
            <w:vAlign w:val="bottom"/>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$0.001</w:t>
            </w: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6880"/>
        <w:spacing w:after="0"/>
        <w:rPr>
          <w:sz w:val="20"/>
          <w:szCs w:val="20"/>
          <w:color w:val="auto"/>
        </w:rPr>
      </w:pPr>
      <w:r>
        <w:rPr>
          <w:rFonts w:ascii="Times New Roman" w:cs="Times New Roman" w:eastAsia="Times New Roman" w:hAnsi="Times New Roman"/>
          <w:sz w:val="13"/>
          <w:szCs w:val="13"/>
          <w:color w:val="0000FF"/>
        </w:rPr>
        <w:t>per share</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of ExlService Holdings, Inc. (the "Company") convert into common stock, par value $0.001 per share (the "Common Stock") on a one-for-one basis.</w:t>
      </w:r>
    </w:p>
    <w:p>
      <w:pPr>
        <w:spacing w:after="0" w:line="41" w:lineRule="exact"/>
        <w:rPr>
          <w:rFonts w:ascii="Times New Roman" w:cs="Times New Roman" w:eastAsia="Times New Roman" w:hAnsi="Times New Roman"/>
          <w:sz w:val="13"/>
          <w:szCs w:val="13"/>
          <w:color w:val="008000"/>
        </w:rPr>
      </w:pPr>
    </w:p>
    <w:p>
      <w:pPr>
        <w:ind w:left="40" w:right="260"/>
        <w:spacing w:after="0" w:line="251"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ExlService Holdings, Inc. 2018 Omnibus Incentive Plan, pursuant to which such restricted stock units were granted, the closing price of the Common Stock on the Nasdaq Global Select Market on the preceding day is used for purposes of computing tax reporting and withholding.</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the Company's common stock upon settlement.</w:t>
      </w:r>
    </w:p>
    <w:p>
      <w:pPr>
        <w:spacing w:after="0" w:line="41" w:lineRule="exact"/>
        <w:rPr>
          <w:rFonts w:ascii="Times New Roman" w:cs="Times New Roman" w:eastAsia="Times New Roman" w:hAnsi="Times New Roman"/>
          <w:sz w:val="13"/>
          <w:szCs w:val="13"/>
          <w:color w:val="008000"/>
        </w:rPr>
      </w:pPr>
    </w:p>
    <w:p>
      <w:pPr>
        <w:ind w:left="40" w:right="180"/>
        <w:spacing w:after="0" w:line="251"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will vest in four equal annual installments, beginning on February 19, 2027. Vesting will be accelerated upon certain termination of employment events and upon a "Change in Control" (as defined in the ExlService Holdings, Inc. 2025 Omnibus Incentive Plan).</w:t>
      </w:r>
    </w:p>
    <w:p>
      <w:pPr>
        <w:spacing w:after="0" w:line="19" w:lineRule="exact"/>
        <w:rPr>
          <w:rFonts w:ascii="Times New Roman" w:cs="Times New Roman" w:eastAsia="Times New Roman" w:hAnsi="Times New Roman"/>
          <w:sz w:val="13"/>
          <w:szCs w:val="13"/>
          <w:color w:val="008000"/>
        </w:rPr>
      </w:pPr>
    </w:p>
    <w:p>
      <w:pPr>
        <w:ind w:left="40" w:right="200"/>
        <w:spacing w:after="0" w:line="238"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17, 2025, the reporting person was granted 12,644 restricted stock units, vesting in four equal annual installments beginning on February 20, 2026. 25 percent of the restricted stock units became vested on February 20, 2026, an additional 25 percent of the restricted stock units will vest on February 20, 2027, an additional 25 percent of the restricted stock units will vest on February 20, 2028, and the remaining balance of 25 percent of the restricted stock units will vest on February 20, 2029.</w:t>
      </w:r>
    </w:p>
    <w:p>
      <w:pPr>
        <w:spacing w:after="0" w:line="2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4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Note: On February 19, 2026 the reporting person was also granted performance-based restricted stock units that are subject to material conditions beyond the reporting person's control, and, therefore, are not</w:t>
      </w:r>
    </w:p>
    <w:p>
      <w:pPr>
        <w:spacing w:after="0" w:line="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considered derivative securities for purposes of Section 16 of the Securities Exchange Act of 1934, as amended, and are excluded from this report. Remarks: Mr. Ayyappan is the Company's General Counsel.</w:t>
      </w:r>
    </w:p>
    <w:p>
      <w:pPr>
        <w:ind w:left="6600"/>
        <w:spacing w:after="0" w:line="185" w:lineRule="auto"/>
        <w:rPr>
          <w:sz w:val="20"/>
          <w:szCs w:val="20"/>
          <w:color w:val="auto"/>
        </w:rPr>
      </w:pPr>
      <w:r>
        <w:rPr>
          <w:rFonts w:ascii="Times New Roman" w:cs="Times New Roman" w:eastAsia="Times New Roman" w:hAnsi="Times New Roman"/>
          <w:sz w:val="16"/>
          <w:szCs w:val="16"/>
          <w:color w:val="0000FF"/>
        </w:rPr>
        <w:t xml:space="preserve">/s/ Ajay Ayyappan, Attorney-in- </w:t>
      </w:r>
      <w:r>
        <w:rPr>
          <w:rFonts w:ascii="Times New Roman" w:cs="Times New Roman" w:eastAsia="Times New Roman" w:hAnsi="Times New Roman"/>
          <w:sz w:val="31"/>
          <w:szCs w:val="31"/>
          <w:color w:val="0000FF"/>
          <w:vertAlign w:val="subscript"/>
        </w:rPr>
        <w:t>02/23/2026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-26670</wp:posOffset>
            </wp:positionV>
            <wp:extent cx="13595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953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-21590</wp:posOffset>
            </wp:positionV>
            <wp:extent cx="1816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161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-86360</wp:posOffset>
            </wp:positionV>
            <wp:extent cx="4800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0060" cy="8255"/>
                    </a:xfrm>
                    <a:prstGeom prst="rect">
                      <a:avLst/>
                    </a:prstGeom>
                    <a:noFill/>
                  </pic:spPr>
                </pic:pic>
              </a:graphicData>
            </a:graphic>
          </wp:anchor>
        </w:drawing>
      </w:r>
    </w:p>
    <w:p>
      <w:pPr>
        <w:spacing w:after="0" w:line="22"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60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726929" TargetMode="External"/><Relationship Id="rId14"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2026-02-23T17:53:47Z</dcterms:created>
  <dcterms:modified xsi:type="dcterms:W3CDTF">2026-02-23T17:53:47Z</dcterms:modified>
</cp:coreProperties>
</file>