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38" w:lineRule="auto"/>
        <w:rPr>
          <w:sz w:val="20"/>
          <w:szCs w:val="20"/>
          <w:color w:val="auto"/>
        </w:rPr>
      </w:pPr>
      <w:r>
        <w:rPr>
          <w:rFonts w:ascii="Courier New" w:cs="Courier New" w:eastAsia="Courier New" w:hAnsi="Courier New"/>
          <w:sz w:val="18"/>
          <w:szCs w:val="18"/>
          <w:color w:val="auto"/>
        </w:rPr>
        <w:t>ExlService Holdings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#302081104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#302081104</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2,249</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1,957,483</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1,957,483</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6.786%</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#302081104</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1,957,483</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1,957,483</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6.786%</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ExlService Holdings Inc</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350 Park Avenue</w:t>
      </w:r>
    </w:p>
    <w:p>
      <w:pPr>
        <w:ind w:left="1700"/>
        <w:spacing w:after="0" w:line="238" w:lineRule="auto"/>
        <w:rPr>
          <w:sz w:val="20"/>
          <w:szCs w:val="20"/>
          <w:color w:val="auto"/>
        </w:rPr>
      </w:pPr>
      <w:r>
        <w:rPr>
          <w:rFonts w:ascii="Courier New" w:cs="Courier New" w:eastAsia="Courier New" w:hAnsi="Courier New"/>
          <w:sz w:val="18"/>
          <w:szCs w:val="18"/>
          <w:color w:val="auto"/>
        </w:rPr>
        <w:t>10th Floor</w:t>
      </w:r>
    </w:p>
    <w:p>
      <w:pPr>
        <w:ind w:left="1700"/>
        <w:spacing w:after="0"/>
        <w:tabs>
          <w:tab w:leader="none" w:pos="3140" w:val="left"/>
        </w:tabs>
        <w:rPr>
          <w:sz w:val="20"/>
          <w:szCs w:val="20"/>
          <w:color w:val="auto"/>
        </w:rPr>
      </w:pPr>
      <w:r>
        <w:rPr>
          <w:rFonts w:ascii="Courier New" w:cs="Courier New" w:eastAsia="Courier New" w:hAnsi="Courier New"/>
          <w:sz w:val="18"/>
          <w:szCs w:val="18"/>
          <w:color w:val="auto"/>
        </w:rPr>
        <w:t>New York, NY</w:t>
        <w:tab/>
        <w:t>10022</w:t>
      </w:r>
    </w:p>
    <w:p>
      <w:pPr>
        <w:spacing w:after="0" w:line="200" w:lineRule="exact"/>
        <w:rPr>
          <w:sz w:val="24"/>
          <w:szCs w:val="24"/>
          <w:color w:val="auto"/>
        </w:rPr>
      </w:pPr>
    </w:p>
    <w:p>
      <w:pPr>
        <w:spacing w:after="0" w:line="203"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302081104</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1,957,483</w:t>
      </w:r>
    </w:p>
    <w:p>
      <w:pPr>
        <w:sectPr>
          <w:pgSz w:w="11900" w:h="16855"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6.786%</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2,249</w:t>
      </w:r>
    </w:p>
    <w:p>
      <w:pPr>
        <w:spacing w:after="0" w:line="200" w:lineRule="exact"/>
        <w:rPr>
          <w:sz w:val="20"/>
          <w:szCs w:val="20"/>
          <w:color w:val="auto"/>
        </w:rPr>
      </w:pPr>
    </w:p>
    <w:p>
      <w:pPr>
        <w:sectPr>
          <w:pgSz w:w="11900" w:h="16838" w:orient="portrait"/>
          <w:cols w:equalWidth="0" w:num="2">
            <w:col w:w="1160" w:space="540"/>
            <w:col w:w="8519"/>
          </w:cols>
          <w:pgMar w:left="240" w:top="339"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1,957,483</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ExlService Holdings Inc. No</w:t>
      </w:r>
    </w:p>
    <w:p>
      <w:pPr>
        <w:spacing w:after="0" w:line="6"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one person's interest in the Common Stock of ExlService Holdings Inc is more than five percent of the total outstanding Common Stock.</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November 07, 2008</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339" w:right="1440" w:bottom="0" w:gutter="0" w:footer="0" w:header="0"/>
          <w:type w:val="continuous"/>
        </w:sectPr>
      </w:pPr>
    </w:p>
    <w:bookmarkStart w:id="2" w:name="page3"/>
    <w:bookmarkEnd w:id="2"/>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w:t>
      </w:r>
    </w:p>
    <w:p>
      <w:pPr>
        <w:spacing w:after="0" w:line="6" w:lineRule="exact"/>
        <w:rPr>
          <w:sz w:val="20"/>
          <w:szCs w:val="20"/>
          <w:color w:val="auto"/>
        </w:rPr>
      </w:pPr>
    </w:p>
    <w:p>
      <w:pPr>
        <w:ind w:right="3679"/>
        <w:spacing w:after="0" w:line="273" w:lineRule="auto"/>
        <w:rPr>
          <w:sz w:val="20"/>
          <w:szCs w:val="20"/>
          <w:color w:val="auto"/>
        </w:rPr>
      </w:pPr>
      <w:r>
        <w:rPr>
          <w:rFonts w:ascii="Courier New" w:cs="Courier New" w:eastAsia="Courier New" w:hAnsi="Courier New"/>
          <w:sz w:val="16"/>
          <w:szCs w:val="16"/>
          <w:color w:val="auto"/>
        </w:rPr>
        <w:t>of 1940, is the beneficial owner of 1,955,234 shares or 6.778% of the Common Stock outstanding of ExlService Holdings Inc ("the Company") as a result of acting as investment adviser to various investment companies registered under Section 8 of the Investment Company Act of 1940.</w:t>
      </w:r>
    </w:p>
    <w:p>
      <w:pPr>
        <w:spacing w:after="0" w:line="185"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1,955,234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182"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Pyramis Global Advisors Trust Company ("PGATC"), 53 State Street, Boston, Massachusetts, 02109, an indirect wholly-owned subsidiary of FMR LLC and a bank as defined</w:t>
      </w:r>
    </w:p>
    <w:p>
      <w:pPr>
        <w:spacing w:after="0" w:line="1" w:lineRule="exact"/>
        <w:rPr>
          <w:sz w:val="20"/>
          <w:szCs w:val="20"/>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in Section 3(a)(6) of the Securities Exchange Act of 1934, is the beneficial owner of 2,249 shares or 0.008% of the outstanding Common Stock of the ExlService Holdings Inc as</w:t>
      </w:r>
    </w:p>
    <w:p>
      <w:pPr>
        <w:spacing w:after="0" w:line="6"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a result of its serving as investment manager of institutional accounts owning such shares.</w:t>
      </w:r>
    </w:p>
    <w:p>
      <w:pPr>
        <w:spacing w:after="0" w:line="208" w:lineRule="exact"/>
        <w:rPr>
          <w:sz w:val="20"/>
          <w:szCs w:val="20"/>
          <w:color w:val="auto"/>
        </w:rPr>
      </w:pPr>
    </w:p>
    <w:p>
      <w:pPr>
        <w:ind w:right="389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Pyramis Global Advisors Trust Company, each has sole dispositive power over 2,249 shares and sole power to vote or to direct the voting of 2,249 shares of Common Stock owned by the institutional accounts managed by PGATC as reported above.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persons, on November 07, 2008,</w:t>
      </w:r>
    </w:p>
    <w:p>
      <w:pPr>
        <w:spacing w:after="0" w:line="238" w:lineRule="auto"/>
        <w:rPr>
          <w:sz w:val="20"/>
          <w:szCs w:val="20"/>
          <w:color w:val="auto"/>
        </w:rPr>
      </w:pPr>
      <w:r>
        <w:rPr>
          <w:rFonts w:ascii="Courier New" w:cs="Courier New" w:eastAsia="Courier New" w:hAnsi="Courier New"/>
          <w:sz w:val="18"/>
          <w:szCs w:val="18"/>
          <w:color w:val="auto"/>
        </w:rPr>
        <w:t>agree and consent to the joint filing on their behalf of this</w:t>
      </w:r>
    </w:p>
    <w:p>
      <w:pPr>
        <w:spacing w:after="0"/>
        <w:rPr>
          <w:sz w:val="20"/>
          <w:szCs w:val="20"/>
          <w:color w:val="auto"/>
        </w:rPr>
      </w:pPr>
      <w:r>
        <w:rPr>
          <w:rFonts w:ascii="Courier New" w:cs="Courier New" w:eastAsia="Courier New" w:hAnsi="Courier New"/>
          <w:sz w:val="18"/>
          <w:szCs w:val="18"/>
          <w:color w:val="auto"/>
        </w:rPr>
        <w:t>Schedule 13G in connection with their beneficial ownership of</w:t>
      </w:r>
    </w:p>
    <w:p>
      <w:pPr>
        <w:spacing w:after="0" w:line="237" w:lineRule="auto"/>
        <w:rPr>
          <w:sz w:val="20"/>
          <w:szCs w:val="20"/>
          <w:color w:val="auto"/>
        </w:rPr>
      </w:pPr>
      <w:r>
        <w:rPr>
          <w:rFonts w:ascii="Courier New" w:cs="Courier New" w:eastAsia="Courier New" w:hAnsi="Courier New"/>
          <w:sz w:val="18"/>
          <w:szCs w:val="18"/>
          <w:color w:val="auto"/>
        </w:rPr>
        <w:t>the Common Stock of ExlService Holdings Inc at October 31,</w:t>
      </w:r>
    </w:p>
    <w:p>
      <w:pPr>
        <w:spacing w:after="0" w:line="238" w:lineRule="auto"/>
        <w:rPr>
          <w:sz w:val="20"/>
          <w:szCs w:val="20"/>
          <w:color w:val="auto"/>
        </w:rPr>
      </w:pPr>
      <w:r>
        <w:rPr>
          <w:rFonts w:ascii="Courier New" w:cs="Courier New" w:eastAsia="Courier New" w:hAnsi="Courier New"/>
          <w:sz w:val="18"/>
          <w:szCs w:val="18"/>
          <w:color w:val="auto"/>
        </w:rPr>
        <w:t>2008.</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ectPr>
          <w:pgSz w:w="11900" w:h="16838" w:orient="portrait"/>
          <w:cols w:equalWidth="0" w:num="1">
            <w:col w:w="10219"/>
          </w:cols>
          <w:pgMar w:left="240" w:top="547"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Fidelity Management &amp; Research Company</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Scott C. Goebel</w:t>
      </w:r>
    </w:p>
    <w:p>
      <w:pPr>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9359"/>
      </w:cols>
      <w:pgMar w:left="110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2019-12-19T21:23:14Z</dcterms:created>
  <dcterms:modified xsi:type="dcterms:W3CDTF">2019-12-19T21:23:14Z</dcterms:modified>
</cp:coreProperties>
</file>