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740"/>
          </w:cols>
          <w:pgMar w:left="240" w:top="226" w:right="29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Saltzman Nancy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06/14/2018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46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63"/>
        <w:spacing w:after="0"/>
        <w:rPr>
          <w:sz w:val="20"/>
          <w:szCs w:val="20"/>
          <w:color w:val="auto"/>
        </w:rPr>
      </w:pPr>
      <w:r>
        <w:rPr>
          <w:rFonts w:ascii="Arial" w:cs="Arial" w:eastAsia="Arial" w:hAnsi="Arial"/>
          <w:sz w:val="16"/>
          <w:szCs w:val="16"/>
          <w:color w:val="0000FF"/>
        </w:rPr>
        <w:t>EVP &amp; Gen. Counsel/Corp. Sec'y</w:t>
      </w:r>
    </w:p>
    <w:p>
      <w:pPr>
        <w:spacing w:after="0" w:line="338" w:lineRule="exact"/>
        <w:rPr>
          <w:sz w:val="24"/>
          <w:szCs w:val="24"/>
          <w:color w:val="auto"/>
        </w:rPr>
      </w:pPr>
    </w:p>
    <w:p>
      <w:pPr>
        <w:sectPr>
          <w:pgSz w:w="11900" w:h="16838" w:orient="portrait"/>
          <w:cols w:equalWidth="0" w:num="3">
            <w:col w:w="3360" w:space="720"/>
            <w:col w:w="3257" w:space="720"/>
            <w:col w:w="3303"/>
          </w:cols>
          <w:pgMar w:left="240" w:top="226" w:right="29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280"/>
          </w:cols>
          <w:pgMar w:left="240" w:top="226"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2500" w:type="dxa"/>
            <w:vAlign w:val="bottom"/>
          </w:tcPr>
          <w:p>
            <w:pPr>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7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sectPr>
          <w:pgSz w:w="11900" w:h="16838" w:orient="portrait"/>
          <w:cols w:equalWidth="0" w:num="1">
            <w:col w:w="11360"/>
          </w:cols>
          <w:pgMar w:left="240" w:top="226" w:right="299" w:bottom="1440" w:gutter="0" w:footer="0" w:header="0"/>
          <w:type w:val="continuous"/>
        </w:sectPr>
      </w:pPr>
    </w:p>
    <w:p>
      <w:pPr>
        <w:spacing w:after="0" w:line="6" w:lineRule="exact"/>
        <w:rPr>
          <w:sz w:val="24"/>
          <w:szCs w:val="24"/>
          <w:color w:val="auto"/>
        </w:rPr>
      </w:pPr>
    </w:p>
    <w:p>
      <w:pPr>
        <w:spacing w:after="0"/>
        <w:rPr>
          <w:sz w:val="20"/>
          <w:szCs w:val="20"/>
          <w:color w:val="auto"/>
        </w:rPr>
      </w:pPr>
      <w:r>
        <w:rPr>
          <w:sz w:val="1"/>
          <w:szCs w:val="1"/>
          <w:color w:val="auto"/>
        </w:rPr>
        <w:drawing>
          <wp:inline distT="0" distB="0" distL="0" distR="0">
            <wp:extent cx="34290" cy="2482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4290" cy="248285"/>
                    </a:xfrm>
                    <a:prstGeom prst="rect">
                      <a:avLst/>
                    </a:prstGeom>
                    <a:noFill/>
                    <a:ln>
                      <a:noFill/>
                    </a:ln>
                  </pic:spPr>
                </pic:pic>
              </a:graphicData>
            </a:graphic>
          </wp:inline>
        </w:drawing>
      </w:r>
      <w:r>
        <w:rPr>
          <w:rFonts w:ascii="Arial" w:cs="Arial" w:eastAsia="Arial" w:hAnsi="Arial"/>
          <w:sz w:val="15"/>
          <w:szCs w:val="15"/>
          <w:color w:val="0000FF"/>
        </w:rPr>
        <w:t xml:space="preserve"> Common Stock, par value $0.001 per share </w:t>
      </w:r>
      <w:r>
        <w:rPr>
          <w:sz w:val="1"/>
          <w:szCs w:val="1"/>
          <w:color w:val="auto"/>
        </w:rPr>
        <w:drawing>
          <wp:inline distT="0" distB="0" distL="0" distR="0">
            <wp:extent cx="42545" cy="24828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545" cy="248285"/>
                    </a:xfrm>
                    <a:prstGeom prst="rect">
                      <a:avLst/>
                    </a:prstGeom>
                    <a:noFill/>
                    <a:ln>
                      <a:noFill/>
                    </a:ln>
                  </pic:spPr>
                </pic:pic>
              </a:graphicData>
            </a:graphic>
          </wp:inline>
        </w:drawing>
      </w:r>
      <w:r>
        <w:rPr>
          <w:rFonts w:ascii="Arial" w:cs="Arial" w:eastAsia="Arial" w:hAnsi="Arial"/>
          <w:sz w:val="15"/>
          <w:szCs w:val="15"/>
          <w:color w:val="0000FF"/>
        </w:rPr>
        <w:t xml:space="preserve">  06/14/2018</w:t>
      </w:r>
    </w:p>
    <w:p>
      <w:pPr>
        <w:spacing w:after="0" w:line="20" w:lineRule="exact"/>
        <w:rPr>
          <w:sz w:val="24"/>
          <w:szCs w:val="24"/>
          <w:color w:val="auto"/>
        </w:rPr>
      </w:pPr>
      <w:r>
        <w:rPr>
          <w:sz w:val="24"/>
          <w:szCs w:val="24"/>
          <w:color w:val="auto"/>
        </w:rPr>
        <w:br w:type="column"/>
      </w:r>
    </w:p>
    <w:p>
      <w:pPr>
        <w:spacing w:after="0"/>
        <w:tabs>
          <w:tab w:leader="none" w:pos="217" w:val="left"/>
        </w:tabs>
        <w:rPr>
          <w:sz w:val="20"/>
          <w:szCs w:val="20"/>
          <w:color w:val="auto"/>
        </w:rPr>
      </w:pPr>
      <w:r>
        <w:rPr>
          <w:rFonts w:ascii="Arial" w:cs="Arial" w:eastAsia="Arial" w:hAnsi="Arial"/>
          <w:sz w:val="14"/>
          <w:szCs w:val="14"/>
          <w:color w:val="0000FF"/>
        </w:rPr>
        <w:t>S</w:t>
      </w:r>
      <w:r>
        <w:rPr>
          <w:sz w:val="20"/>
          <w:szCs w:val="20"/>
          <w:color w:val="auto"/>
        </w:rPr>
        <w:tab/>
      </w:r>
      <w:r>
        <w:rPr>
          <w:sz w:val="1"/>
          <w:szCs w:val="1"/>
          <w:color w:val="auto"/>
        </w:rPr>
        <w:drawing>
          <wp:inline distT="0" distB="0" distL="0" distR="0">
            <wp:extent cx="42545" cy="23812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drawing>
          <wp:inline distT="0" distB="0" distL="0" distR="0">
            <wp:extent cx="42545" cy="2381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2,000  </w:t>
      </w:r>
      <w:r>
        <w:rPr>
          <w:sz w:val="1"/>
          <w:szCs w:val="1"/>
          <w:color w:val="auto"/>
        </w:rPr>
        <w:drawing>
          <wp:inline distT="0" distB="0" distL="0" distR="0">
            <wp:extent cx="42545" cy="2381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  </w:t>
      </w:r>
      <w:r>
        <w:rPr>
          <w:sz w:val="1"/>
          <w:szCs w:val="1"/>
          <w:color w:val="auto"/>
        </w:rPr>
        <w:drawing>
          <wp:inline distT="0" distB="0" distL="0" distR="0">
            <wp:extent cx="42545" cy="23812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auto"/>
        </w:rPr>
        <w:t xml:space="preserve"> $</w:t>
      </w:r>
      <w:r>
        <w:rPr>
          <w:rFonts w:ascii="Arial" w:cs="Arial" w:eastAsia="Arial" w:hAnsi="Arial"/>
          <w:sz w:val="18"/>
          <w:szCs w:val="18"/>
          <w:color w:val="0000FF"/>
        </w:rPr>
        <w:t>59.07</w:t>
      </w:r>
      <w:r>
        <w:rPr>
          <w:rFonts w:ascii="Arial" w:cs="Arial" w:eastAsia="Arial" w:hAnsi="Arial"/>
          <w:sz w:val="22"/>
          <w:szCs w:val="22"/>
          <w:color w:val="008000"/>
          <w:vertAlign w:val="superscript"/>
        </w:rPr>
        <w:t xml:space="preserve">(1) </w:t>
      </w:r>
      <w:r>
        <w:rPr>
          <w:sz w:val="1"/>
          <w:szCs w:val="1"/>
          <w:color w:val="auto"/>
        </w:rPr>
        <w:drawing>
          <wp:inline distT="0" distB="0" distL="0" distR="0">
            <wp:extent cx="42545" cy="2381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8,585    </w:t>
      </w:r>
      <w:r>
        <w:rPr>
          <w:sz w:val="1"/>
          <w:szCs w:val="1"/>
          <w:color w:val="auto"/>
        </w:rPr>
        <w:drawing>
          <wp:inline distT="0" distB="0" distL="0" distR="0">
            <wp:extent cx="42545" cy="238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2545" cy="238125"/>
                    </a:xfrm>
                    <a:prstGeom prst="rect">
                      <a:avLst/>
                    </a:prstGeom>
                    <a:noFill/>
                    <a:ln>
                      <a:noFill/>
                    </a:ln>
                  </pic:spPr>
                </pic:pic>
              </a:graphicData>
            </a:graphic>
          </wp:inline>
        </w:drawing>
      </w:r>
      <w:r>
        <w:rPr>
          <w:rFonts w:ascii="Arial" w:cs="Arial" w:eastAsia="Arial" w:hAnsi="Arial"/>
          <w:sz w:val="18"/>
          <w:szCs w:val="18"/>
          <w:color w:val="0000FF"/>
        </w:rPr>
        <w:t xml:space="preserve">    D</w:t>
      </w:r>
    </w:p>
    <w:p>
      <w:pPr>
        <w:spacing w:after="0" w:line="64" w:lineRule="exact"/>
        <w:rPr>
          <w:sz w:val="24"/>
          <w:szCs w:val="24"/>
          <w:color w:val="auto"/>
        </w:rPr>
      </w:pPr>
    </w:p>
    <w:p>
      <w:pPr>
        <w:sectPr>
          <w:pgSz w:w="11900" w:h="16838" w:orient="portrait"/>
          <w:cols w:equalWidth="0" w:num="2">
            <w:col w:w="5000" w:space="720"/>
            <w:col w:w="5640"/>
          </w:cols>
          <w:pgMar w:left="240" w:top="226" w:right="2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2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$59.00 to $59.18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2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60"/>
      </w:cols>
      <w:pgMar w:left="240" w:top="226"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12" Type="http://schemas.openxmlformats.org/officeDocument/2006/relationships/hyperlink" Target="http://www.sec.gov/cgi-bin/browse-edgar?action=getcompany&amp;CIK=000160645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2019-12-04T01:54:08Z</dcterms:created>
  <dcterms:modified xsi:type="dcterms:W3CDTF">2019-12-04T01:54:08Z</dcterms:modified>
</cp:coreProperties>
</file>