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PANDIT VIKRAM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OROGEN GROUP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ROCKEFELLER PLAZA SUITE 2416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11,293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11,293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84,378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vest upon the earlier of (i) the first anniversary of the date of grant, (ii) the date on which the reporting person's term as a member of the Board of Directors of the issuer (the "Board") expires if the reporting person is not subsequently elected to a new term on the Board, and (iii) the occurrence of a "Change in Control", as defined in the ExlService Holdings, Inc. 2025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Vikram S. Pandit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3417" TargetMode="External"/><Relationship Id="rId5" Type="http://schemas.openxmlformats.org/officeDocument/2006/relationships/hyperlink" Target="http://www.sec.gov/cgi-bin/browse-edgar?action=getcompany&amp;CIK=0001297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749</Words>
  <Characters>3912</Characters>
  <CharactersWithSpaces>4598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