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Date of Report (Date of earliest event reported): August 2, 2018</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10017</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(Zip code)</w:t>
      </w:r>
    </w:p>
    <w:p>
      <w:pPr>
        <w:spacing w:after="0" w:line="897" w:lineRule="exact"/>
        <w:rPr>
          <w:sz w:val="24"/>
          <w:szCs w:val="24"/>
          <w:color w:val="auto"/>
        </w:rPr>
      </w:pPr>
    </w:p>
    <w:p>
      <w:pPr>
        <w:sectPr>
          <w:pgSz w:w="11900" w:h="16838" w:orient="portrait"/>
          <w:cols w:equalWidth="0" w:num="2">
            <w:col w:w="8700" w:space="720"/>
            <w:col w:w="1980"/>
          </w:cols>
          <w:pgMar w:left="240" w:top="999" w:right="259" w:bottom="1440" w:gutter="0" w:footer="0" w:header="0"/>
          <w:type w:val="continuous"/>
        </w:sectPr>
      </w:pP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address, if changed since last report)</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7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 2018, ExlService Holdings, Inc. (the “Company”) reported its results of operations for the three months ended June 30, 2018.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820" w:type="dxa"/>
            <w:vAlign w:val="bottom"/>
            <w:gridSpan w:val="5"/>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100" w:type="dxa"/>
            <w:vAlign w:val="bottom"/>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August 2, 2018 (furnished pursuant to Item 2.02)</w:t>
              </w:r>
            </w:hyperlink>
            <w:r>
              <w:rPr>
                <w:rFonts w:ascii="Arial" w:cs="Arial" w:eastAsia="Arial" w:hAnsi="Arial"/>
                <w:sz w:val="18"/>
                <w:szCs w:val="18"/>
                <w:color w:val="000000"/>
                <w:w w:val="89"/>
              </w:rPr>
              <w:t>.</w:t>
            </w:r>
          </w:p>
        </w:tc>
      </w:tr>
      <w:tr>
        <w:trPr>
          <w:trHeight w:val="20"/>
        </w:trPr>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0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300" w:type="dxa"/>
            <w:vAlign w:val="bottom"/>
          </w:tcPr>
          <w:p>
            <w:pPr>
              <w:spacing w:after="0"/>
              <w:rPr>
                <w:sz w:val="20"/>
                <w:szCs w:val="20"/>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300" w:type="dxa"/>
            <w:vAlign w:val="bottom"/>
          </w:tcPr>
          <w:p>
            <w:pPr>
              <w:spacing w:after="0"/>
              <w:rPr>
                <w:sz w:val="20"/>
                <w:szCs w:val="20"/>
                <w:color w:val="auto"/>
              </w:rPr>
            </w:pPr>
            <w:r>
              <w:rPr>
                <w:rFonts w:ascii="Arial" w:cs="Arial" w:eastAsia="Arial" w:hAnsi="Arial"/>
                <w:sz w:val="18"/>
                <w:szCs w:val="18"/>
                <w:color w:val="auto"/>
              </w:rPr>
              <w:t>Date: August 2, 2018</w:t>
            </w:r>
          </w:p>
        </w:tc>
        <w:tc>
          <w:tcPr>
            <w:tcW w:w="3060" w:type="dxa"/>
            <w:vAlign w:val="bottom"/>
          </w:tcPr>
          <w:p>
            <w:pPr>
              <w:ind w:left="17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300" w:type="dxa"/>
            <w:vAlign w:val="bottom"/>
          </w:tcPr>
          <w:p>
            <w:pPr>
              <w:spacing w:after="0"/>
              <w:rPr>
                <w:sz w:val="21"/>
                <w:szCs w:val="21"/>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300" w:type="dxa"/>
            <w:vAlign w:val="bottom"/>
          </w:tcPr>
          <w:p>
            <w:pPr>
              <w:spacing w:after="0"/>
              <w:rPr>
                <w:sz w:val="23"/>
                <w:szCs w:val="23"/>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Deputy 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2018 SECOND QUARTER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2018 Second Quarter Revenues of $210.1 Million, up 11.1%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Diluted EPS (GAAP) of $0.41, down from $0.58 in Q2 of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Q2 Adjusted Diluted EPS (Non-GAAP) of $0.67, down from $0.70 in Q2 of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August 2, 2018 - ExlService Holdings, Inc. (NASDAQ: EXLS), a leading operations management and analytics company, today announced its financial results for the quarter ended June 30, 2018.</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Rohit Kapoor, Vice Chairman and Chief Executive Officer, said, “EXL generated revenues of $210.1 million, up 11.1% year-over-year, and adjusted diluted EPS was $0.67. Our revenue growth was broad-based, led by a 15.6% increase in Analytics revenues and a 9.5% increase in our Operations Management businesses driven by double-digit revenues growth in Insurance and Finance &amp; Accounting.</w:t>
      </w: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“Our investments in domain expertise, data capabilities and emerging technologies made over the past several years are positioning EXL as the strategic digital transformation partner for our clients, resulting in several strategic deal wins and creating a strong pipeline of opportunities. As previously announced, the acquisition of SCIO Health Analytics closed on July 1, 2018. This strategic acquisition accelerates our market position in the growing healthcare analytics market and expands EXL’s capabilities across the healthcare continuum.”</w:t>
      </w:r>
    </w:p>
    <w:p>
      <w:pPr>
        <w:spacing w:after="0" w:line="227"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Vishal Chhibbar, Chief Financial Officer, said, “We are increasing our revenue guidance for 2018 to $878 million - $892 million from $835 million - $855 million reflecting the addition of revenue from SCIO Health Analytics, better performance in the second quarter and an improved outlook for the year, despite foreign exchange headwinds. Our guidance represents annual revenue growth of 15% to 17% on a constant currency basis. Our adjusted diluted EPS guidance for 2018 remains unchanged at $2.70 - $2.80. Our cash and short-term investments were $233 million on June 30, 2018.”</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Second Quarter 2018</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2018 increased to $210.1 million compared to $189.1 million for the second quarter of 2017, an increase of 11.1% on a reported basis and 11.3% on a constant currency basis from the second quarter of 2017, as well as an increase of 1.5% sequentially on a reported basis and 2.4% on a constant currency basis, from the quarter ended March 31, 2018.</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Gross Margin</w:t>
            </w:r>
          </w:p>
        </w:tc>
        <w:tc>
          <w:tcPr>
            <w:tcW w:w="94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8"/>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90"/>
              </w:rPr>
              <w:t>Three months ended</w:t>
            </w: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94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1360" w:type="dxa"/>
            <w:vAlign w:val="bottom"/>
            <w:gridSpan w:val="3"/>
          </w:tcPr>
          <w:p>
            <w:pPr>
              <w:ind w:left="260"/>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March 31,</w:t>
            </w:r>
          </w:p>
        </w:tc>
      </w:tr>
      <w:tr>
        <w:trPr>
          <w:trHeight w:val="243"/>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1100" w:type="dxa"/>
            <w:vAlign w:val="bottom"/>
            <w:tcBorders>
              <w:bottom w:val="single" w:sz="8" w:color="auto"/>
            </w:tcBorders>
          </w:tcPr>
          <w:p>
            <w:pPr>
              <w:ind w:left="260"/>
              <w:spacing w:after="0" w:line="243" w:lineRule="exact"/>
              <w:rPr>
                <w:sz w:val="20"/>
                <w:szCs w:val="20"/>
                <w:color w:val="auto"/>
              </w:rPr>
            </w:pPr>
            <w:r>
              <w:rPr>
                <w:rFonts w:ascii="Arial" w:cs="Arial" w:eastAsia="Arial" w:hAnsi="Arial"/>
                <w:sz w:val="28"/>
                <w:szCs w:val="28"/>
                <w:b w:val="1"/>
                <w:bCs w:val="1"/>
                <w:color w:val="auto"/>
                <w:vertAlign w:val="subscript"/>
              </w:rPr>
              <w:t>2017</w:t>
            </w:r>
            <w:r>
              <w:rPr>
                <w:rFonts w:ascii="Arial" w:cs="Arial" w:eastAsia="Arial" w:hAnsi="Arial"/>
                <w:sz w:val="10"/>
                <w:szCs w:val="10"/>
                <w:b w:val="1"/>
                <w:bCs w:val="1"/>
                <w:color w:val="auto"/>
              </w:rPr>
              <w:t>(1)(2)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2018</w:t>
            </w:r>
          </w:p>
        </w:tc>
      </w:tr>
      <w:tr>
        <w:trPr>
          <w:trHeight w:val="231"/>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gridSpan w:val="8"/>
          </w:tcPr>
          <w:p>
            <w:pPr>
              <w:jc w:val="center"/>
              <w:ind w:right="940"/>
              <w:spacing w:after="0"/>
              <w:rPr>
                <w:sz w:val="20"/>
                <w:szCs w:val="20"/>
                <w:color w:val="auto"/>
              </w:rPr>
            </w:pPr>
            <w:r>
              <w:rPr>
                <w:rFonts w:ascii="Arial" w:cs="Arial" w:eastAsia="Arial" w:hAnsi="Arial"/>
                <w:sz w:val="16"/>
                <w:szCs w:val="16"/>
                <w:b w:val="1"/>
                <w:bCs w:val="1"/>
                <w:color w:val="auto"/>
                <w:w w:val="92"/>
              </w:rPr>
              <w:t>(dollars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32.1%</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33.6%</w:t>
            </w: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980" w:type="dxa"/>
            <w:vAlign w:val="bottom"/>
          </w:tcPr>
          <w:p>
            <w:pPr>
              <w:ind w:left="500"/>
              <w:spacing w:after="0"/>
              <w:rPr>
                <w:sz w:val="20"/>
                <w:szCs w:val="20"/>
                <w:color w:val="auto"/>
              </w:rPr>
            </w:pPr>
            <w:r>
              <w:rPr>
                <w:rFonts w:ascii="Arial" w:cs="Arial" w:eastAsia="Arial" w:hAnsi="Arial"/>
                <w:sz w:val="16"/>
                <w:szCs w:val="16"/>
                <w:color w:val="auto"/>
              </w:rPr>
              <w:t>15.7%</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24.4%</w:t>
            </w:r>
          </w:p>
        </w:tc>
      </w:tr>
      <w:tr>
        <w:trPr>
          <w:trHeight w:val="33"/>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42.7%</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40.3%</w:t>
            </w:r>
          </w:p>
        </w:tc>
      </w:tr>
      <w:tr>
        <w:trPr>
          <w:trHeight w:val="237"/>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980" w:type="dxa"/>
            <w:vAlign w:val="bottom"/>
          </w:tcPr>
          <w:p>
            <w:pPr>
              <w:ind w:left="500"/>
              <w:spacing w:after="0"/>
              <w:rPr>
                <w:sz w:val="20"/>
                <w:szCs w:val="20"/>
                <w:color w:val="auto"/>
              </w:rPr>
            </w:pPr>
            <w:r>
              <w:rPr>
                <w:rFonts w:ascii="Arial" w:cs="Arial" w:eastAsia="Arial" w:hAnsi="Arial"/>
                <w:sz w:val="16"/>
                <w:szCs w:val="16"/>
                <w:color w:val="auto"/>
              </w:rPr>
              <w:t>40.0%</w:t>
            </w:r>
          </w:p>
        </w:tc>
        <w:tc>
          <w:tcPr>
            <w:tcW w:w="1200" w:type="dxa"/>
            <w:vAlign w:val="bottom"/>
            <w:gridSpan w:val="2"/>
          </w:tcPr>
          <w:p>
            <w:pPr>
              <w:ind w:left="720"/>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38.6%</w:t>
            </w:r>
          </w:p>
        </w:tc>
      </w:tr>
      <w:tr>
        <w:trPr>
          <w:trHeight w:val="33"/>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34.7%</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30.0%</w:t>
            </w:r>
          </w:p>
        </w:tc>
      </w:tr>
      <w:tr>
        <w:trPr>
          <w:trHeight w:val="324"/>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35.2%</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33.3%</w:t>
            </w:r>
          </w:p>
        </w:tc>
      </w:tr>
      <w:tr>
        <w:trPr>
          <w:trHeight w:val="244"/>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207.0</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rPr>
              <w:t>33.5%</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b w:val="1"/>
                <w:bCs w:val="1"/>
                <w:color w:val="auto"/>
              </w:rPr>
              <w:t>34.6%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33.3%</w:t>
            </w: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margin for the quarter ended June 30, 2018 was 8.1% compared to 9.7% in the second quarter of 2017 and 7.3% for the quarter ended March 31, 2018. Adjusted operating income margin for the quarter ended June 30, 2018 was 13.6% compared to 14.2% in the second quarter of 2017 and 13.0% for the quarter ended March 31, 2018.</w:t>
      </w:r>
    </w:p>
    <w:p>
      <w:pPr>
        <w:spacing w:after="0" w:line="181" w:lineRule="exact"/>
        <w:rPr>
          <w:rFonts w:ascii="Arial" w:cs="Arial" w:eastAsia="Arial" w:hAnsi="Arial"/>
          <w:sz w:val="18"/>
          <w:szCs w:val="18"/>
          <w:color w:val="auto"/>
        </w:rPr>
      </w:pPr>
    </w:p>
    <w:p>
      <w:pPr>
        <w:jc w:val="both"/>
        <w:ind w:left="660" w:hanging="328"/>
        <w:spacing w:after="0" w:line="33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Diluted earnings per share for the quarter ended June 30, 2018 was $0.41. Diluted earnings per share for the second quarter of 2017 was $0.58. Diluted earnings per share for the quarter ended March 31, 2018 was $0.66. Adjusted diluted earnings per share for the quarter ended June 30, 2018 was $0.67 compared to $0.70 for the second quarter of 2017 and $0.65 for the quarter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(1) (2)</w:t>
      </w:r>
    </w:p>
    <w:p>
      <w:pPr>
        <w:ind w:left="380"/>
        <w:spacing w:after="0"/>
        <w:rPr>
          <w:sz w:val="20"/>
          <w:szCs w:val="20"/>
          <w:color w:val="auto"/>
        </w:rPr>
      </w:pPr>
      <w:r>
        <w:rPr>
          <w:rFonts w:ascii="Arial" w:cs="Arial" w:eastAsia="Arial" w:hAnsi="Arial"/>
          <w:sz w:val="14"/>
          <w:szCs w:val="14"/>
          <w:color w:val="auto"/>
        </w:rPr>
        <w:t>Refer to the notes to the Unaudited Consolidated Statements of Income for details.</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Second Quarter 2018</w:t>
      </w:r>
    </w:p>
    <w:p>
      <w:pPr>
        <w:spacing w:after="0" w:line="175" w:lineRule="exact"/>
        <w:rPr>
          <w:sz w:val="20"/>
          <w:szCs w:val="20"/>
          <w:color w:val="auto"/>
        </w:rPr>
      </w:pPr>
    </w:p>
    <w:p>
      <w:pPr>
        <w:jc w:val="both"/>
        <w:ind w:left="340" w:hanging="264"/>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a Digital Know Your Customer (“KYC”) solution in collaboration with HSBC, a leading global financial services company, that uses advanced automation, artificial intelligence and other analytics techniques such as natural language processing to help clients with faster turn-around times, higher accuracy and cost efficiencies for KYC compliance.</w:t>
      </w:r>
    </w:p>
    <w:p>
      <w:pPr>
        <w:spacing w:after="0" w:line="127"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Won 14 new clients, including three in our operations management businesses and 11 in Analytics.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our London offices to support our growing UK and European business.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Leader and Star Performer in the Everest Group Analytics Business Process Services PEAK Matrix™ 2018.</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Positioned in the Winners Circle in the HfS Industry Blueprint: Insurance Operations Services 2018.</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Major Contender in the Everest Group Insurance Third Party Administrator (TPA) Services PEAK Matrix™ 2018.</w:t>
      </w:r>
    </w:p>
    <w:p>
      <w:pPr>
        <w:spacing w:after="0" w:line="171" w:lineRule="exact"/>
        <w:rPr>
          <w:rFonts w:ascii="Arial" w:cs="Arial" w:eastAsia="Arial" w:hAnsi="Arial"/>
          <w:sz w:val="18"/>
          <w:szCs w:val="18"/>
          <w:color w:val="auto"/>
        </w:rPr>
      </w:pPr>
    </w:p>
    <w:p>
      <w:pPr>
        <w:ind w:left="340" w:hanging="264"/>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Leader overall and for the Insurance, Healthcare, Transportation and Utilities industries in the NelsonHall NEAT for Business Process Transformation through RPA and AI.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Post-Second Quarter Highlight</w:t>
      </w:r>
    </w:p>
    <w:p>
      <w:pPr>
        <w:spacing w:after="0" w:line="283" w:lineRule="exact"/>
        <w:rPr>
          <w:sz w:val="20"/>
          <w:szCs w:val="20"/>
          <w:color w:val="auto"/>
        </w:rPr>
      </w:pPr>
    </w:p>
    <w:p>
      <w:pPr>
        <w:ind w:right="20"/>
        <w:spacing w:after="0" w:line="387" w:lineRule="auto"/>
        <w:rPr>
          <w:sz w:val="20"/>
          <w:szCs w:val="20"/>
          <w:color w:val="auto"/>
        </w:rPr>
      </w:pPr>
      <w:r>
        <w:rPr>
          <w:rFonts w:ascii="Arial" w:cs="Arial" w:eastAsia="Arial" w:hAnsi="Arial"/>
          <w:sz w:val="18"/>
          <w:szCs w:val="18"/>
          <w:color w:val="auto"/>
        </w:rPr>
        <w:t>As previously announced, subsequent to the second quarter of 2018, on July 1, 2018, EXL closed the acquisition of SCIOInspire Holdings, Inc., doing business as SCIO Health Analytics. The aggregate merger consideration was $236.5 million, subject to certain post-closing adjustments.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68.5, British Pound to U.S. Dollar exchange rate of 1.33,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53.5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$878 million to $892 million, representing an annual revenue growth rate of 15% to 17%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of $2.70 to $2.80.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August 2, 2018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95"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28,000 professionals in locations throughout the United States, Europe, Asia (primarily India and Philippines), Colombia,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 (2)</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8"/>
                <w:szCs w:val="8"/>
                <w:b w:val="1"/>
                <w:bCs w:val="1"/>
                <w:color w:val="auto"/>
              </w:rPr>
              <w:t>(1) (2)</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210,112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189,057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417,085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372,090</w:t>
            </w:r>
          </w:p>
        </w:tc>
      </w:tr>
      <w:tr>
        <w:trPr>
          <w:trHeight w:val="270"/>
        </w:trPr>
        <w:tc>
          <w:tcPr>
            <w:tcW w:w="52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(3)</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139,649</w:t>
            </w:r>
          </w:p>
        </w:tc>
        <w:tc>
          <w:tcPr>
            <w:tcW w:w="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123,734</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277,750</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242,806</w:t>
            </w:r>
          </w:p>
        </w:tc>
      </w:tr>
      <w:tr>
        <w:trPr>
          <w:trHeight w:val="264"/>
        </w:trPr>
        <w:tc>
          <w:tcPr>
            <w:tcW w:w="52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(3)</w:t>
            </w: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70,463</w:t>
            </w:r>
          </w:p>
        </w:tc>
        <w:tc>
          <w:tcPr>
            <w:tcW w:w="2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65,323</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139,335</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129,284</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1"/>
        </w:trPr>
        <w:tc>
          <w:tcPr>
            <w:tcW w:w="5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27,640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24,425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56,906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48,462</w:t>
            </w:r>
          </w:p>
        </w:tc>
      </w:tr>
      <w:tr>
        <w:trPr>
          <w:trHeight w:val="243"/>
        </w:trPr>
        <w:tc>
          <w:tcPr>
            <w:tcW w:w="5200" w:type="dxa"/>
            <w:vAlign w:val="bottom"/>
          </w:tcPr>
          <w:p>
            <w:pPr>
              <w:ind w:left="700"/>
              <w:spacing w:after="0"/>
              <w:rPr>
                <w:sz w:val="20"/>
                <w:szCs w:val="20"/>
                <w:color w:val="auto"/>
              </w:rPr>
            </w:pPr>
            <w:r>
              <w:rPr>
                <w:rFonts w:ascii="Arial" w:cs="Arial" w:eastAsia="Arial" w:hAnsi="Arial"/>
                <w:sz w:val="18"/>
                <w:szCs w:val="18"/>
                <w:color w:val="auto"/>
              </w:rPr>
              <w:t>Selling and marketing expenses</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15,151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13,095</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29,103</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26,435</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9,535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21,086</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18,907</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53,373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47,055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107,095</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93,804</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17,090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18,268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32,240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35,480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886</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1,268</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2,232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2,512</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5,766</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5,698</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20,030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21,201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38,791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41,549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5,510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1,057</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4,383</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w w:val="92"/>
              </w:rPr>
              <w:t>Net income attributable to ExlService Holdings, Inc. stockholders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14,462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20,378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37,620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37,166</w:t>
            </w:r>
          </w:p>
        </w:tc>
      </w:tr>
      <w:tr>
        <w:trPr>
          <w:trHeight w:val="67"/>
        </w:trPr>
        <w:tc>
          <w:tcPr>
            <w:tcW w:w="5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82"/>
        </w:trPr>
        <w:tc>
          <w:tcPr>
            <w:tcW w:w="52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per share attributable to ExlService Holdings, Inc.</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0.42</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0.60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1.10</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w w:val="94"/>
              </w:rPr>
              <w:t>Weighted-average number of shares used in computing earnings per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34,511,777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33,819,320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34,479,202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33,833,153</w:t>
            </w: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35,142,388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34,993,226</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35,222,838</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35,051,767</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jc w:val="both"/>
        <w:ind w:firstLine="192"/>
        <w:spacing w:after="0" w:line="667" w:lineRule="auto"/>
        <w:rPr>
          <w:sz w:val="20"/>
          <w:szCs w:val="20"/>
          <w:color w:val="auto"/>
        </w:rPr>
      </w:pPr>
      <w:r>
        <w:rPr>
          <w:rFonts w:ascii="Arial" w:cs="Arial" w:eastAsia="Arial" w:hAnsi="Arial"/>
          <w:sz w:val="13"/>
          <w:szCs w:val="13"/>
          <w:color w:val="auto"/>
        </w:rPr>
        <w:t>The Company early adopted Accounting Standards Update (ASU) 2017-12, Derivative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for each of the quarters of 2017. In prior periods, such gain/(loss) were recorded under “Foreign exchange gain, net” in the consolidated statements of income.</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jc w:val="both"/>
        <w:ind w:firstLine="202"/>
        <w:spacing w:after="0" w:line="610" w:lineRule="auto"/>
        <w:rPr>
          <w:sz w:val="20"/>
          <w:szCs w:val="20"/>
          <w:color w:val="auto"/>
        </w:rPr>
      </w:pPr>
      <w:r>
        <w:rPr>
          <w:rFonts w:ascii="Arial" w:cs="Arial" w:eastAsia="Arial" w:hAnsi="Arial"/>
          <w:sz w:val="14"/>
          <w:szCs w:val="14"/>
          <w:color w:val="auto"/>
        </w:rPr>
        <w:t>On January 1, 2018, the Company adopted ASU 2017-07, Compensation-Retirement Benefits (Topic 715), Improving the Presentation of Net Periodic Pension Cost and Net Periodic Post Retirement Benefit Cost. Pursuant to this adoption, effective January 1, 2017, the interest cost, expected return on plan assets and amortization of actuarial gains/loss, have been reclassified from cost of revenues and operating expenses, as applicable to “Other income, net” in the consolidated statements of income for each of the quarters of 2017.</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ind w:left="180"/>
        <w:spacing w:after="0"/>
        <w:rPr>
          <w:sz w:val="20"/>
          <w:szCs w:val="20"/>
          <w:color w:val="auto"/>
        </w:rPr>
      </w:pPr>
      <w:r>
        <w:rPr>
          <w:rFonts w:ascii="Arial" w:cs="Arial" w:eastAsia="Arial" w:hAnsi="Arial"/>
          <w:sz w:val="14"/>
          <w:szCs w:val="14"/>
          <w:color w:val="auto"/>
        </w:rPr>
        <w:t>Exclusive of depreciation and amortization.</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90"/>
              </w:rPr>
              <w:t>June 30, 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3"/>
              </w:rPr>
              <w:t>December 31, 2017</w:t>
            </w: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84,091</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86,795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149,045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178,479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3,674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147,099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135,705</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9,963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11,278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23,002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29,582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426,734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452,817</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66,112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66,757</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3,645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3,808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Deferred taxes,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8,585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Intangible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41,170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48,958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200,981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204,481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36,033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36,369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equity affiliate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assets</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w:t>
            </w: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790,263</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112"/>
        </w:trPr>
        <w:tc>
          <w:tcPr>
            <w:tcW w:w="79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gridSpan w:val="2"/>
            <w:vMerge w:val="continue"/>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900" w:type="dxa"/>
            <w:vAlign w:val="bottom"/>
            <w:shd w:val="clear" w:color="auto" w:fill="CCEEFF"/>
          </w:tcPr>
          <w:p>
            <w:pPr>
              <w:ind w:left="40"/>
              <w:spacing w:after="0" w:line="166" w:lineRule="exact"/>
              <w:rPr>
                <w:sz w:val="20"/>
                <w:szCs w:val="20"/>
                <w:color w:val="auto"/>
              </w:rPr>
            </w:pPr>
            <w:r>
              <w:rPr>
                <w:rFonts w:ascii="Arial" w:cs="Arial" w:eastAsia="Arial" w:hAnsi="Arial"/>
                <w:sz w:val="15"/>
                <w:szCs w:val="15"/>
                <w:b w:val="1"/>
                <w:bCs w:val="1"/>
                <w:color w:val="auto"/>
              </w:rPr>
              <w:t>Liabilities and Equity</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5,428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5,918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10,318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10,318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10,448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10,716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Accrued employee costs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33,338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55,664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59,882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61,366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Current portion of capital lease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Total current liabilities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119,637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144,249</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color w:val="auto"/>
              </w:rPr>
              <w:t>Long term borrowings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57,326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50,391</w:t>
            </w:r>
          </w:p>
        </w:tc>
        <w:tc>
          <w:tcPr>
            <w:tcW w:w="0" w:type="dxa"/>
            <w:vAlign w:val="bottom"/>
          </w:tcPr>
          <w:p>
            <w:pPr>
              <w:spacing w:after="0"/>
              <w:rPr>
                <w:sz w:val="1"/>
                <w:szCs w:val="1"/>
                <w:color w:val="auto"/>
              </w:rPr>
            </w:pPr>
          </w:p>
        </w:tc>
      </w:tr>
      <w:tr>
        <w:trPr>
          <w:trHeight w:val="72"/>
        </w:trPr>
        <w:tc>
          <w:tcPr>
            <w:tcW w:w="7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Income taxes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8,721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13,557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non-current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16,202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204,784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224,730</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ExlService Holdings, Inc. Stockholders’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380"/>
              <w:spacing w:after="0"/>
              <w:rPr>
                <w:sz w:val="20"/>
                <w:szCs w:val="20"/>
                <w:color w:val="auto"/>
              </w:rPr>
            </w:pPr>
            <w:r>
              <w:rPr>
                <w:rFonts w:ascii="Arial" w:cs="Arial" w:eastAsia="Arial" w:hAnsi="Arial"/>
                <w:sz w:val="15"/>
                <w:szCs w:val="15"/>
                <w:color w:val="auto"/>
                <w:w w:val="97"/>
              </w:rPr>
              <w:t>Common stock, $0.001 par value; 100,000,000 shares authorized, 37,583,160 shares issued and 34,288,314 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380"/>
              <w:spacing w:after="0" w:line="162" w:lineRule="exact"/>
              <w:rPr>
                <w:sz w:val="20"/>
                <w:szCs w:val="20"/>
                <w:color w:val="auto"/>
              </w:rPr>
            </w:pPr>
            <w:r>
              <w:rPr>
                <w:rFonts w:ascii="Arial" w:cs="Arial" w:eastAsia="Arial" w:hAnsi="Arial"/>
                <w:sz w:val="15"/>
                <w:szCs w:val="15"/>
                <w:color w:val="auto"/>
                <w:w w:val="94"/>
              </w:rPr>
              <w:t>outstanding as of June 30, 2018 and 36,790,751 shares issued and 33,888,733 shares outstanding as of 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900" w:type="dxa"/>
            <w:vAlign w:val="bottom"/>
          </w:tcPr>
          <w:p>
            <w:pPr>
              <w:ind w:left="380"/>
              <w:spacing w:after="0"/>
              <w:rPr>
                <w:sz w:val="20"/>
                <w:szCs w:val="20"/>
                <w:color w:val="auto"/>
              </w:rPr>
            </w:pPr>
            <w:r>
              <w:rPr>
                <w:rFonts w:ascii="Arial" w:cs="Arial" w:eastAsia="Arial" w:hAnsi="Arial"/>
                <w:sz w:val="15"/>
                <w:szCs w:val="15"/>
                <w:color w:val="auto"/>
              </w:rPr>
              <w:t>2017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23"/>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334,643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322,246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380"/>
              <w:spacing w:after="0"/>
              <w:rPr>
                <w:sz w:val="20"/>
                <w:szCs w:val="20"/>
                <w:color w:val="auto"/>
              </w:rPr>
            </w:pPr>
            <w:r>
              <w:rPr>
                <w:rFonts w:ascii="Arial" w:cs="Arial" w:eastAsia="Arial" w:hAnsi="Arial"/>
                <w:sz w:val="15"/>
                <w:szCs w:val="15"/>
                <w:color w:val="auto"/>
              </w:rPr>
              <w:t>Retained earnings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color w:val="auto"/>
              </w:rPr>
              <w:t>465,138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color w:val="auto"/>
              </w:rPr>
              <w:t>427,064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(87,621)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(45,710)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Total including shares held in treasury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712,198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703,637</w:t>
            </w:r>
          </w:p>
        </w:tc>
        <w:tc>
          <w:tcPr>
            <w:tcW w:w="0" w:type="dxa"/>
            <w:vAlign w:val="bottom"/>
          </w:tcPr>
          <w:p>
            <w:pPr>
              <w:spacing w:after="0"/>
              <w:rPr>
                <w:sz w:val="1"/>
                <w:szCs w:val="1"/>
                <w:color w:val="auto"/>
              </w:rPr>
            </w:pPr>
          </w:p>
        </w:tc>
      </w:tr>
      <w:tr>
        <w:trPr>
          <w:trHeight w:val="72"/>
        </w:trPr>
        <w:tc>
          <w:tcPr>
            <w:tcW w:w="79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 3,294,846 shares as of June 30, 2018 and 2,902,018 shares as of December 31, 2017, held in treasury, at cost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(126,952)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(103,816)</w:t>
            </w:r>
          </w:p>
        </w:tc>
        <w:tc>
          <w:tcPr>
            <w:tcW w:w="0" w:type="dxa"/>
            <w:vAlign w:val="bottom"/>
          </w:tcPr>
          <w:p>
            <w:pPr>
              <w:spacing w:after="0"/>
              <w:rPr>
                <w:sz w:val="1"/>
                <w:szCs w:val="1"/>
                <w:color w:val="auto"/>
              </w:rPr>
            </w:pPr>
          </w:p>
        </w:tc>
      </w:tr>
      <w:tr>
        <w:trPr>
          <w:trHeight w:val="76"/>
        </w:trPr>
        <w:tc>
          <w:tcPr>
            <w:tcW w:w="79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w:t>
            </w:r>
          </w:p>
        </w:tc>
        <w:tc>
          <w:tcPr>
            <w:tcW w:w="1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585,246</w:t>
            </w:r>
          </w:p>
        </w:tc>
        <w:tc>
          <w:tcPr>
            <w:tcW w:w="120" w:type="dxa"/>
            <w:vAlign w:val="bottom"/>
          </w:tcPr>
          <w:p>
            <w:pPr>
              <w:spacing w:after="0"/>
              <w:rPr>
                <w:sz w:val="16"/>
                <w:szCs w:val="16"/>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599,821</w:t>
            </w:r>
          </w:p>
        </w:tc>
        <w:tc>
          <w:tcPr>
            <w:tcW w:w="0" w:type="dxa"/>
            <w:vAlign w:val="bottom"/>
          </w:tcPr>
          <w:p>
            <w:pPr>
              <w:spacing w:after="0"/>
              <w:rPr>
                <w:sz w:val="1"/>
                <w:szCs w:val="1"/>
                <w:color w:val="auto"/>
              </w:rPr>
            </w:pPr>
          </w:p>
        </w:tc>
      </w:tr>
      <w:tr>
        <w:trPr>
          <w:trHeight w:val="72"/>
        </w:trPr>
        <w:tc>
          <w:tcPr>
            <w:tcW w:w="790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Non-controlling interest</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Total equity</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585,479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600,045</w:t>
            </w:r>
          </w:p>
        </w:tc>
        <w:tc>
          <w:tcPr>
            <w:tcW w:w="0" w:type="dxa"/>
            <w:vAlign w:val="bottom"/>
          </w:tcPr>
          <w:p>
            <w:pPr>
              <w:spacing w:after="0"/>
              <w:rPr>
                <w:sz w:val="1"/>
                <w:szCs w:val="1"/>
                <w:color w:val="auto"/>
              </w:rPr>
            </w:pPr>
          </w:p>
        </w:tc>
      </w:tr>
      <w:tr>
        <w:trPr>
          <w:trHeight w:val="268"/>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liabilities and equity</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790,263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648"/>
        <w:spacing w:after="0" w:line="313"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ind w:left="1480" w:hanging="500"/>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03" w:lineRule="exact"/>
        <w:rPr>
          <w:rFonts w:ascii="Arial" w:cs="Arial" w:eastAsia="Arial" w:hAnsi="Arial"/>
          <w:sz w:val="18"/>
          <w:szCs w:val="18"/>
          <w:color w:val="auto"/>
        </w:rPr>
      </w:pPr>
    </w:p>
    <w:p>
      <w:pPr>
        <w:ind w:left="1520" w:hanging="540"/>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03" w:lineRule="exact"/>
        <w:rPr>
          <w:rFonts w:ascii="Arial" w:cs="Arial" w:eastAsia="Arial" w:hAnsi="Arial"/>
          <w:sz w:val="18"/>
          <w:szCs w:val="18"/>
          <w:color w:val="auto"/>
        </w:rPr>
      </w:pPr>
    </w:p>
    <w:p>
      <w:pPr>
        <w:ind w:left="1580" w:hanging="600"/>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03" w:lineRule="exact"/>
        <w:rPr>
          <w:rFonts w:ascii="Arial" w:cs="Arial" w:eastAsia="Arial" w:hAnsi="Arial"/>
          <w:sz w:val="18"/>
          <w:szCs w:val="18"/>
          <w:color w:val="auto"/>
        </w:rPr>
      </w:pPr>
    </w:p>
    <w:p>
      <w:pPr>
        <w:ind w:left="1560" w:hanging="580"/>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33"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and acquisition-related expenses. Acquisition-related expenses include, amortization of acquisition-related intangible assets, changes in the fair value of earn-out consideration liabilities, charges for impairment of acquired intangible assets and other acquisition-related costs such as external deal costs, integration expenses and direct and incremental travel costs. In addition to excluding the above items, our adjusted net income and adjusted diluted EPS also excludes the effect of incremental income tax expense related to the U.S. Tax Cuts and Jobs Act of 2017 (the “Tax Reform Act”) and income tax impact of the above pre-tax items, as applicable. The income tax impact of each item is calculated by applying the statutory rate and local tax regulations in the jurisdiction in which the item was incurred.</w:t>
      </w:r>
    </w:p>
    <w:p>
      <w:pPr>
        <w:spacing w:after="0" w:line="230" w:lineRule="exact"/>
        <w:rPr>
          <w:sz w:val="20"/>
          <w:szCs w:val="20"/>
          <w:color w:val="auto"/>
        </w:rPr>
      </w:pPr>
    </w:p>
    <w:p>
      <w:pPr>
        <w:jc w:val="both"/>
        <w:ind w:firstLine="648"/>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97"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Effective in the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 To facilitate comparison, the previously reported periods presented have been adjusted with the effects of the exclusion of these other acquisition-related costs.</w:t>
      </w:r>
    </w:p>
    <w:p>
      <w:pPr>
        <w:sectPr>
          <w:pgSz w:w="11900" w:h="16838" w:orient="portrait"/>
          <w:cols w:equalWidth="0" w:num="1">
            <w:col w:w="11420"/>
          </w:cols>
          <w:pgMar w:left="240" w:top="702" w:right="239" w:bottom="1440" w:gutter="0" w:footer="0" w:header="0"/>
        </w:sectPr>
      </w:pPr>
    </w:p>
    <w:bookmarkStart w:id="10" w:name="page11"/>
    <w:bookmarkEnd w:id="10"/>
    <w:p>
      <w:pPr>
        <w:jc w:val="both"/>
        <w:ind w:firstLine="648"/>
        <w:spacing w:after="0" w:line="301"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64.45 during the quarter ended June 30, 2017 to 67.51 during the quarter ended June 30, 2018, representing depreciation of 4.7%. The average exchange rate of the U.S. Dollar against the Philippine Peso increased from 50.06 during the quarter ended June 30, 2017 to 52.53 during the quarter ended June 30, 2018, representing a depreciation of 4.9%. The average exchange rate of the British Pound against the U.S. Dollar increased from 1.29 during the quarter ended June 30, 2017 to 1.34 during the quarter ended June 30, 2018, representing an appreciation of 3.9%.</w:t>
      </w:r>
    </w:p>
    <w:p>
      <w:pPr>
        <w:spacing w:after="0" w:line="23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June 30, 2018 and June 30, 2017, and the three months ended March 31,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Three Months Ended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8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2017 (Restated)</w:t>
            </w: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2018 (Restated)</w:t>
            </w:r>
          </w:p>
        </w:tc>
        <w:tc>
          <w:tcPr>
            <w:tcW w:w="0" w:type="dxa"/>
            <w:vAlign w:val="bottom"/>
          </w:tcPr>
          <w:p>
            <w:pPr>
              <w:spacing w:after="0"/>
              <w:rPr>
                <w:sz w:val="1"/>
                <w:szCs w:val="1"/>
                <w:color w:val="auto"/>
              </w:rPr>
            </w:pPr>
          </w:p>
        </w:tc>
      </w:tr>
      <w:tr>
        <w:trPr>
          <w:trHeight w:val="47"/>
        </w:trPr>
        <w:tc>
          <w:tcPr>
            <w:tcW w:w="6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6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14,462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20,378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23,158</w:t>
            </w:r>
          </w:p>
        </w:tc>
        <w:tc>
          <w:tcPr>
            <w:tcW w:w="0" w:type="dxa"/>
            <w:vAlign w:val="bottom"/>
          </w:tcPr>
          <w:p>
            <w:pPr>
              <w:spacing w:after="0"/>
              <w:rPr>
                <w:sz w:val="1"/>
                <w:szCs w:val="1"/>
                <w:color w:val="auto"/>
              </w:rPr>
            </w:pPr>
          </w:p>
        </w:tc>
      </w:tr>
      <w:tr>
        <w:trPr>
          <w:trHeight w:val="33"/>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Income tax expense/(benefit)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(4,453)</w:t>
            </w:r>
          </w:p>
        </w:tc>
        <w:tc>
          <w:tcPr>
            <w:tcW w:w="0" w:type="dxa"/>
            <w:vAlign w:val="bottom"/>
          </w:tcPr>
          <w:p>
            <w:pPr>
              <w:spacing w:after="0"/>
              <w:rPr>
                <w:sz w:val="1"/>
                <w:szCs w:val="1"/>
                <w:color w:val="auto"/>
              </w:rPr>
            </w:pPr>
          </w:p>
        </w:tc>
      </w:tr>
      <w:tr>
        <w:trPr>
          <w:trHeight w:val="220"/>
        </w:trPr>
        <w:tc>
          <w:tcPr>
            <w:tcW w:w="6560" w:type="dxa"/>
            <w:vAlign w:val="bottom"/>
          </w:tcPr>
          <w:p>
            <w:pPr>
              <w:ind w:left="360"/>
              <w:spacing w:after="0"/>
              <w:rPr>
                <w:sz w:val="20"/>
                <w:szCs w:val="20"/>
                <w:color w:val="auto"/>
              </w:rPr>
            </w:pPr>
            <w:r>
              <w:rPr>
                <w:rFonts w:ascii="Arial" w:cs="Arial" w:eastAsia="Arial" w:hAnsi="Arial"/>
                <w:sz w:val="16"/>
                <w:szCs w:val="16"/>
                <w:color w:val="auto"/>
                <w:w w:val="96"/>
              </w:rPr>
              <w:t>subtract: Interest expense, foreign exchange gain, net, loss from equity-method investment</w:t>
            </w:r>
          </w:p>
        </w:tc>
        <w:tc>
          <w:tcPr>
            <w:tcW w:w="300" w:type="dxa"/>
            <w:vAlign w:val="bottom"/>
          </w:tcPr>
          <w:p>
            <w:pPr>
              <w:spacing w:after="0"/>
              <w:rPr>
                <w:sz w:val="19"/>
                <w:szCs w:val="19"/>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(2,933)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39"/>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98"/>
        </w:trPr>
        <w:tc>
          <w:tcPr>
            <w:tcW w:w="6560" w:type="dxa"/>
            <w:vAlign w:val="bottom"/>
            <w:vMerge w:val="restart"/>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17,090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18,268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15,150</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Stock-based compensation expense (a)</w:t>
            </w:r>
          </w:p>
        </w:tc>
        <w:tc>
          <w:tcPr>
            <w:tcW w:w="30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5,074</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Amortization of acquisition-related intangibles (b)</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Provision for litigation settlement (c)</w:t>
            </w:r>
          </w:p>
        </w:tc>
        <w:tc>
          <w:tcPr>
            <w:tcW w:w="3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Acquisition-related expenses (d)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28,585</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26,930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26,934</w:t>
            </w:r>
          </w:p>
        </w:tc>
        <w:tc>
          <w:tcPr>
            <w:tcW w:w="0" w:type="dxa"/>
            <w:vAlign w:val="bottom"/>
          </w:tcPr>
          <w:p>
            <w:pPr>
              <w:spacing w:after="0"/>
              <w:rPr>
                <w:sz w:val="1"/>
                <w:szCs w:val="1"/>
                <w:color w:val="auto"/>
              </w:rPr>
            </w:pPr>
          </w:p>
        </w:tc>
      </w:tr>
      <w:tr>
        <w:trPr>
          <w:trHeight w:val="73"/>
        </w:trPr>
        <w:tc>
          <w:tcPr>
            <w:tcW w:w="65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13.0%</w:t>
            </w:r>
          </w:p>
        </w:tc>
        <w:tc>
          <w:tcPr>
            <w:tcW w:w="0" w:type="dxa"/>
            <w:vAlign w:val="bottom"/>
          </w:tcPr>
          <w:p>
            <w:pPr>
              <w:spacing w:after="0"/>
              <w:rPr>
                <w:sz w:val="1"/>
                <w:szCs w:val="1"/>
                <w:color w:val="auto"/>
              </w:rPr>
            </w:pPr>
          </w:p>
        </w:tc>
      </w:tr>
      <w:tr>
        <w:trPr>
          <w:trHeight w:val="224"/>
        </w:trPr>
        <w:tc>
          <w:tcPr>
            <w:tcW w:w="6560" w:type="dxa"/>
            <w:vAlign w:val="bottom"/>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47"/>
        </w:trPr>
        <w:tc>
          <w:tcPr>
            <w:tcW w:w="65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35,406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33,491</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302"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302" w:lineRule="exact"/>
        <w:rPr>
          <w:rFonts w:ascii="Arial" w:cs="Arial" w:eastAsia="Arial" w:hAnsi="Arial"/>
          <w:sz w:val="16"/>
          <w:szCs w:val="16"/>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provision for litigation settlement during the three months ended March 31, 2018.</w:t>
      </w:r>
    </w:p>
    <w:p>
      <w:pPr>
        <w:spacing w:after="0" w:line="302" w:lineRule="exact"/>
        <w:rPr>
          <w:rFonts w:ascii="Arial" w:cs="Arial" w:eastAsia="Arial" w:hAnsi="Arial"/>
          <w:sz w:val="16"/>
          <w:szCs w:val="16"/>
          <w:color w:val="auto"/>
        </w:rPr>
      </w:pPr>
    </w:p>
    <w:p>
      <w:pPr>
        <w:jc w:val="both"/>
        <w:ind w:firstLine="8"/>
        <w:spacing w:after="0" w:line="366" w:lineRule="auto"/>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exclude acquisition related expenses. Effective in the second quarter of 2018, EXL excludes acquisition-related costs such as external deal costs, integration expenses and direct and incremental travel costs pertaining to successful acquisitions from its non-GAAP financial measures. The previously reported periods presented have been adjusted with the effects of exclusion. See descriptions above for more information.</w:t>
      </w:r>
    </w:p>
    <w:p>
      <w:pPr>
        <w:sectPr>
          <w:pgSz w:w="11900" w:h="16838" w:orient="portrait"/>
          <w:cols w:equalWidth="0" w:num="1">
            <w:col w:w="11420"/>
          </w:cols>
          <w:pgMar w:left="240" w:top="86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gridSpan w:val="5"/>
          </w:tcPr>
          <w:p>
            <w:pPr>
              <w:ind w:left="3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2017 (Restated)</w:t>
            </w:r>
          </w:p>
        </w:tc>
        <w:tc>
          <w:tcPr>
            <w:tcW w:w="1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2018 (Restated)</w:t>
            </w:r>
          </w:p>
        </w:tc>
        <w:tc>
          <w:tcPr>
            <w:tcW w:w="0" w:type="dxa"/>
            <w:vAlign w:val="bottom"/>
          </w:tcPr>
          <w:p>
            <w:pPr>
              <w:spacing w:after="0"/>
              <w:rPr>
                <w:sz w:val="1"/>
                <w:szCs w:val="1"/>
                <w:color w:val="auto"/>
              </w:rPr>
            </w:pPr>
          </w:p>
        </w:tc>
      </w:tr>
      <w:tr>
        <w:trPr>
          <w:trHeight w:val="47"/>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85"/>
              </w:rPr>
              <w:t>14,462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20,378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23,158</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Stock-based compensation expense (a)</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5,074</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intangibles (b)</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3,761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Effect of tax impact from Tax Reform Act (c)</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6"/>
                <w:szCs w:val="16"/>
                <w:color w:val="auto"/>
              </w:rPr>
              <w:t>add: Provision for litigation settlement (d)</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Acquisition-related expenses (e)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6"/>
                <w:szCs w:val="16"/>
                <w:color w:val="auto"/>
              </w:rPr>
              <w:t>subtract: Tax impact on stock-based compensation expense (f)</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(5,913)</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24"/>
        </w:trPr>
        <w:tc>
          <w:tcPr>
            <w:tcW w:w="6340" w:type="dxa"/>
            <w:vAlign w:val="bottom"/>
          </w:tcPr>
          <w:p>
            <w:pPr>
              <w:ind w:left="20"/>
              <w:spacing w:after="0"/>
              <w:rPr>
                <w:sz w:val="20"/>
                <w:szCs w:val="20"/>
                <w:color w:val="auto"/>
              </w:rPr>
            </w:pPr>
            <w:r>
              <w:rPr>
                <w:rFonts w:ascii="Arial" w:cs="Arial" w:eastAsia="Arial" w:hAnsi="Arial"/>
                <w:sz w:val="16"/>
                <w:szCs w:val="16"/>
                <w:color w:val="auto"/>
              </w:rPr>
              <w:t>subtract: Tax impact on provision for litigation settlement</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Tax impact on acquisition-related expenses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5"/>
              </w:rPr>
              <w:t>23,375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24,589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22,817</w:t>
            </w:r>
          </w:p>
        </w:tc>
        <w:tc>
          <w:tcPr>
            <w:tcW w:w="0" w:type="dxa"/>
            <w:vAlign w:val="bottom"/>
          </w:tcPr>
          <w:p>
            <w:pPr>
              <w:spacing w:after="0"/>
              <w:rPr>
                <w:sz w:val="1"/>
                <w:szCs w:val="1"/>
                <w:color w:val="auto"/>
              </w:rPr>
            </w:pPr>
          </w:p>
        </w:tc>
      </w:tr>
      <w:tr>
        <w:trPr>
          <w:trHeight w:val="73"/>
        </w:trPr>
        <w:tc>
          <w:tcPr>
            <w:tcW w:w="634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0.65</w:t>
            </w:r>
          </w:p>
        </w:tc>
        <w:tc>
          <w:tcPr>
            <w:tcW w:w="0" w:type="dxa"/>
            <w:vAlign w:val="bottom"/>
          </w:tcPr>
          <w:p>
            <w:pPr>
              <w:spacing w:after="0"/>
              <w:rPr>
                <w:sz w:val="1"/>
                <w:szCs w:val="1"/>
                <w:color w:val="auto"/>
              </w:rPr>
            </w:pPr>
          </w:p>
        </w:tc>
      </w:tr>
      <w:tr>
        <w:trPr>
          <w:trHeight w:val="33"/>
        </w:trPr>
        <w:tc>
          <w:tcPr>
            <w:tcW w:w="6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302"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302" w:lineRule="exact"/>
        <w:rPr>
          <w:rFonts w:ascii="Arial" w:cs="Arial" w:eastAsia="Arial" w:hAnsi="Arial"/>
          <w:sz w:val="16"/>
          <w:szCs w:val="16"/>
          <w:color w:val="auto"/>
        </w:rPr>
      </w:pPr>
    </w:p>
    <w:p>
      <w:pPr>
        <w:jc w:val="both"/>
        <w:ind w:firstLine="8"/>
        <w:spacing w:after="0" w:line="385" w:lineRule="auto"/>
        <w:tabs>
          <w:tab w:leader="none" w:pos="225"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include impact related to the Tax Reform Act. The Company recognized a one-time income tax expense of $29,185 during the three months ended December 31, 2017, comprised of a provisional deemed repatriation tax expense of $27,236 and a provisional net deferred tax expense of $1,949. During the three months ended March 31, 2018, the Company recorded adjustment of $4,836 reducing the provisional transition tax on the mandatory deemed repatriation of accumulated earnings and profits of foreign subsidiaries recognized during the year ended December 31, 2017. The one-time incremental income tax expense reflects certain assumptions based upon the Company’s interpretation of the Tax Reform Act and may change as the Company receive additional clarification and guidance and as the interpretation of the Tax Reform Act evolves over time. Any further changes would be reflected as a non-GAAP adjustment in the period in which they are recorded.</w:t>
      </w:r>
    </w:p>
    <w:p>
      <w:pPr>
        <w:spacing w:after="0" w:line="176" w:lineRule="exact"/>
        <w:rPr>
          <w:rFonts w:ascii="Arial" w:cs="Arial" w:eastAsia="Arial" w:hAnsi="Arial"/>
          <w:sz w:val="15"/>
          <w:szCs w:val="15"/>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provision for litigation settlement during the three months ended March 31, 2018.</w:t>
      </w:r>
    </w:p>
    <w:p>
      <w:pPr>
        <w:spacing w:after="0" w:line="302" w:lineRule="exact"/>
        <w:rPr>
          <w:rFonts w:ascii="Arial" w:cs="Arial" w:eastAsia="Arial" w:hAnsi="Arial"/>
          <w:sz w:val="16"/>
          <w:szCs w:val="16"/>
          <w:color w:val="auto"/>
        </w:rPr>
      </w:pPr>
    </w:p>
    <w:p>
      <w:pPr>
        <w:jc w:val="both"/>
        <w:ind w:firstLine="8"/>
        <w:spacing w:after="0" w:line="366"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exclude acquisition related expenses. Effective in the second quarter of 2018, EXL excludes acquisition-related costs such as external deal costs, integration expenses and direct and incremental travel costs pertaining to successful deals acquisitions from its non-GAAP financial measures. The previously reported periods presented have been adjusted with the effects of exclusion. See description above for more information.</w:t>
      </w:r>
    </w:p>
    <w:p>
      <w:pPr>
        <w:spacing w:after="0" w:line="76" w:lineRule="exact"/>
        <w:rPr>
          <w:rFonts w:ascii="Arial" w:cs="Arial" w:eastAsia="Arial" w:hAnsi="Arial"/>
          <w:sz w:val="16"/>
          <w:szCs w:val="16"/>
          <w:color w:val="auto"/>
        </w:rPr>
      </w:pPr>
    </w:p>
    <w:p>
      <w:pPr>
        <w:ind w:firstLine="8"/>
        <w:spacing w:after="0" w:line="381" w:lineRule="auto"/>
        <w:tabs>
          <w:tab w:leader="none" w:pos="203"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impact include $323 and $1,624 during the three months ended June 30, 2018 and 2017, respectively, and $4,827 during the three months ended March 31, 2018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160" w:firstLine="8"/>
        <w:spacing w:after="0" w:line="323" w:lineRule="auto"/>
        <w:tabs>
          <w:tab w:leader="none" w:pos="4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steven.barlow@exlservice.com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2019-12-28T20:30:02Z</dcterms:created>
  <dcterms:modified xsi:type="dcterms:W3CDTF">2019-12-28T20:30:02Z</dcterms:modified>
</cp:coreProperties>
</file>