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2"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MARCH 31, 2018</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71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-3175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54"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51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82-0572194</w:t>
            </w:r>
          </w:p>
        </w:tc>
      </w:tr>
      <w:tr>
        <w:trPr>
          <w:trHeight w:val="184"/>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4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4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5"/>
        </w:trPr>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280 PARK AVENUE, 38</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FLOOR,</w:t>
            </w:r>
          </w:p>
        </w:tc>
        <w:tc>
          <w:tcPr>
            <w:tcW w:w="5140" w:type="dxa"/>
            <w:vAlign w:val="bottom"/>
          </w:tcPr>
          <w:p>
            <w:pPr>
              <w:spacing w:after="0"/>
              <w:rPr>
                <w:sz w:val="24"/>
                <w:szCs w:val="24"/>
                <w:color w:val="auto"/>
              </w:rPr>
            </w:pPr>
          </w:p>
        </w:tc>
      </w:tr>
      <w:tr>
        <w:trPr>
          <w:trHeight w:val="212"/>
        </w:trPr>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51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226"/>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40" w:type="dxa"/>
            <w:vAlign w:val="bottom"/>
          </w:tcPr>
          <w:p>
            <w:pPr>
              <w:jc w:val="center"/>
              <w:ind w:left="39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1"/>
        </w:trPr>
        <w:tc>
          <w:tcPr>
            <w:tcW w:w="2540" w:type="dxa"/>
            <w:vAlign w:val="bottom"/>
          </w:tcPr>
          <w:p>
            <w:pPr>
              <w:spacing w:after="0"/>
              <w:rPr>
                <w:sz w:val="22"/>
                <w:szCs w:val="22"/>
                <w:color w:val="auto"/>
              </w:rPr>
            </w:pPr>
          </w:p>
        </w:tc>
        <w:tc>
          <w:tcPr>
            <w:tcW w:w="5140" w:type="dxa"/>
            <w:vAlign w:val="bottom"/>
          </w:tcPr>
          <w:p>
            <w:pPr>
              <w:jc w:val="right"/>
              <w:ind w:right="2884"/>
              <w:spacing w:after="0"/>
              <w:rPr>
                <w:sz w:val="20"/>
                <w:szCs w:val="20"/>
                <w:color w:val="auto"/>
              </w:rPr>
            </w:pPr>
            <w:r>
              <w:rPr>
                <w:rFonts w:ascii="Times New Roman" w:cs="Times New Roman" w:eastAsia="Times New Roman" w:hAnsi="Times New Roman"/>
                <w:sz w:val="16"/>
                <w:szCs w:val="16"/>
                <w:b w:val="1"/>
                <w:bCs w:val="1"/>
                <w:color w:val="auto"/>
              </w:rPr>
              <w:t>(212) 277-7100</w:t>
            </w:r>
          </w:p>
        </w:tc>
      </w:tr>
      <w:tr>
        <w:trPr>
          <w:trHeight w:val="210"/>
        </w:trPr>
        <w:tc>
          <w:tcPr>
            <w:tcW w:w="2540" w:type="dxa"/>
            <w:vAlign w:val="bottom"/>
          </w:tcPr>
          <w:p>
            <w:pPr>
              <w:spacing w:after="0"/>
              <w:rPr>
                <w:sz w:val="18"/>
                <w:szCs w:val="18"/>
                <w:color w:val="auto"/>
              </w:rPr>
            </w:pPr>
          </w:p>
        </w:tc>
        <w:tc>
          <w:tcPr>
            <w:tcW w:w="5140" w:type="dxa"/>
            <w:vAlign w:val="bottom"/>
          </w:tcPr>
          <w:p>
            <w:pPr>
              <w:jc w:val="center"/>
              <w:ind w:right="172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48" w:lineRule="exact"/>
        <w:rPr>
          <w:sz w:val="24"/>
          <w:szCs w:val="24"/>
          <w:color w:val="auto"/>
        </w:rPr>
      </w:pPr>
    </w:p>
    <w:p>
      <w:pPr>
        <w:jc w:val="both"/>
        <w:ind w:right="5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40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firstLine="324"/>
        <w:spacing w:after="0" w:line="29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4980" w:type="dxa"/>
            <w:vAlign w:val="bottom"/>
          </w:tcPr>
          <w:p>
            <w:pPr>
              <w:ind w:left="56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(Do not check if a smaller reporting company)</w:t>
            </w:r>
          </w:p>
        </w:tc>
        <w:tc>
          <w:tcPr>
            <w:tcW w:w="3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9" w:lineRule="exact"/>
        <w:rPr>
          <w:sz w:val="24"/>
          <w:szCs w:val="24"/>
          <w:color w:val="auto"/>
        </w:rPr>
      </w:pPr>
    </w:p>
    <w:p>
      <w:pPr>
        <w:jc w:val="both"/>
        <w:ind w:right="4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40" w:right="252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27, 2018, there were 34,396,077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w:t>
            </w:r>
          </w:p>
        </w:tc>
        <w:tc>
          <w:tcPr>
            <w:tcW w:w="2060" w:type="dxa"/>
            <w:vAlign w:val="bottom"/>
            <w:gridSpan w:val="9"/>
            <w:vMerge w:val="restart"/>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Financial Information</w:t>
              </w:r>
            </w:hyperlink>
          </w:p>
        </w:tc>
        <w:tc>
          <w:tcPr>
            <w:tcW w:w="7140" w:type="dxa"/>
            <w:vAlign w:val="bottom"/>
            <w:gridSpan w:val="12"/>
            <w:vMerge w:val="restart"/>
          </w:tcPr>
          <w:p>
            <w:pPr>
              <w:spacing w:after="0"/>
              <w:rPr>
                <w:sz w:val="19"/>
                <w:szCs w:val="19"/>
                <w:color w:val="auto"/>
              </w:rPr>
            </w:pPr>
          </w:p>
        </w:tc>
        <w:tc>
          <w:tcPr>
            <w:tcW w:w="660" w:type="dxa"/>
            <w:vAlign w:val="bottom"/>
            <w:vMerge w:val="restart"/>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9"/>
            <w:vMerge w:val="continue"/>
          </w:tcPr>
          <w:p>
            <w:pPr>
              <w:spacing w:after="0"/>
              <w:rPr>
                <w:sz w:val="21"/>
                <w:szCs w:val="21"/>
                <w:color w:val="auto"/>
              </w:rPr>
            </w:pPr>
          </w:p>
        </w:tc>
        <w:tc>
          <w:tcPr>
            <w:tcW w:w="7140" w:type="dxa"/>
            <w:vAlign w:val="bottom"/>
            <w:gridSpan w:val="1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March 31, 2018 (Unaudited) and December 31, 2017</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Income (Unaudited) for the Three months ended March 31, 2018 and 2017</w:t>
              </w:r>
            </w:hyperlink>
          </w:p>
        </w:tc>
        <w:tc>
          <w:tcPr>
            <w:tcW w:w="1540" w:type="dxa"/>
            <w:vAlign w:val="bottom"/>
            <w:gridSpan w:val="3"/>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(Unaudited) for the Three months ended March 31, 2018 and 2017</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Equity (Unaudited) for the Three months ended March 31, 2018 and 2017</w:t>
              </w:r>
            </w:hyperlink>
          </w:p>
        </w:tc>
        <w:tc>
          <w:tcPr>
            <w:tcW w:w="1220" w:type="dxa"/>
            <w:vAlign w:val="bottom"/>
            <w:tcBorders>
              <w:top w:val="single" w:sz="8" w:color="0000EE"/>
            </w:tcBorders>
            <w:gridSpan w:val="3"/>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Cash Flows (Unaudited) for the Three months ended March 31, 2018 and 2017</w:t>
              </w:r>
            </w:hyperlink>
          </w:p>
        </w:tc>
        <w:tc>
          <w:tcPr>
            <w:tcW w:w="1240" w:type="dxa"/>
            <w:vAlign w:val="bottom"/>
            <w:gridSpan w:val="2"/>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 (Unaudited)</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40" w:type="dxa"/>
            <w:vAlign w:val="bottom"/>
            <w:gridSpan w:val="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Quantitative and Qualitative Disclosures About Market Risk</w:t>
              </w:r>
            </w:hyperlink>
          </w:p>
        </w:tc>
        <w:tc>
          <w:tcPr>
            <w:tcW w:w="4840" w:type="dxa"/>
            <w:vAlign w:val="bottom"/>
            <w:gridSpan w:val="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Controls and Procedures</w:t>
              </w:r>
            </w:hyperlink>
          </w:p>
        </w:tc>
        <w:tc>
          <w:tcPr>
            <w:tcW w:w="7420" w:type="dxa"/>
            <w:vAlign w:val="bottom"/>
            <w:gridSpan w:val="14"/>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Part II. Other Information</w:t>
              </w:r>
            </w:hyperlink>
          </w:p>
        </w:tc>
        <w:tc>
          <w:tcPr>
            <w:tcW w:w="7340" w:type="dxa"/>
            <w:vAlign w:val="bottom"/>
            <w:gridSpan w:val="13"/>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Unregistered Sales of Equity Securities and Use of Proceeds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8"/>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Mine Safety Disclosures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Other Information</w:t>
              </w:r>
            </w:hyperlink>
          </w:p>
        </w:tc>
        <w:tc>
          <w:tcPr>
            <w:tcW w:w="7440" w:type="dxa"/>
            <w:vAlign w:val="bottom"/>
            <w:gridSpan w:val="15"/>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Exhibits</w:t>
              </w:r>
            </w:hyperlink>
          </w:p>
        </w:tc>
        <w:tc>
          <w:tcPr>
            <w:tcW w:w="7900" w:type="dxa"/>
            <w:vAlign w:val="bottom"/>
            <w:gridSpan w:val="1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2"/>
          </w:tcPr>
          <w:p>
            <w:pPr>
              <w:ind w:left="4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64"/>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2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86,795</w:t>
            </w: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178,479</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3,674</w:t>
            </w: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135,705</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9,781</w:t>
            </w: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8,801</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29,582</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435,973</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452,817</w:t>
            </w: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66,757</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3,808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8,585</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48,958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204,481</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36,369</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798,270</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824,775</w:t>
            </w:r>
          </w:p>
        </w:tc>
      </w:tr>
      <w:tr>
        <w:trPr>
          <w:trHeight w:val="73"/>
        </w:trPr>
        <w:tc>
          <w:tcPr>
            <w:tcW w:w="78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177"/>
        </w:trPr>
        <w:tc>
          <w:tcPr>
            <w:tcW w:w="7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74"/>
        </w:trPr>
        <w:tc>
          <w:tcPr>
            <w:tcW w:w="78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22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29845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333" w:right="259" w:bottom="131" w:gutter="0" w:footer="0" w:header="0"/>
        </w:sectPr>
      </w:pP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Current portion of long-term borrowings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Accrued employee costs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Current portion of capital lease obligations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 term borrowings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Capital lease obligations, less current portion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taxes payable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Commitments and contingencies (Refer to Note 24)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1220" w:val="left"/>
          <w:tab w:leader="none" w:pos="1820" w:val="left"/>
          <w:tab w:leader="none" w:pos="30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4,114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5,918</w:t>
      </w:r>
    </w:p>
    <w:p>
      <w:pPr>
        <w:spacing w:after="0" w:line="86" w:lineRule="exact"/>
        <w:rPr>
          <w:sz w:val="20"/>
          <w:szCs w:val="20"/>
          <w:color w:val="auto"/>
        </w:rPr>
      </w:pPr>
    </w:p>
    <w:p>
      <w:pPr>
        <w:jc w:val="both"/>
        <w:ind w:left="1340"/>
        <w:spacing w:after="0"/>
        <w:tabs>
          <w:tab w:leader="none" w:pos="2940" w:val="left"/>
        </w:tabs>
        <w:rPr>
          <w:sz w:val="20"/>
          <w:szCs w:val="20"/>
          <w:color w:val="auto"/>
        </w:rPr>
      </w:pPr>
      <w:r>
        <w:rPr>
          <w:rFonts w:ascii="Times New Roman" w:cs="Times New Roman" w:eastAsia="Times New Roman" w:hAnsi="Times New Roman"/>
          <w:sz w:val="16"/>
          <w:szCs w:val="16"/>
          <w:color w:val="auto"/>
        </w:rPr>
        <w:t>318</w:t>
      </w:r>
      <w:r>
        <w:rPr>
          <w:sz w:val="20"/>
          <w:szCs w:val="20"/>
          <w:color w:val="auto"/>
        </w:rPr>
        <w:tab/>
      </w:r>
      <w:r>
        <w:rPr>
          <w:rFonts w:ascii="Times New Roman" w:cs="Times New Roman" w:eastAsia="Times New Roman" w:hAnsi="Times New Roman"/>
          <w:sz w:val="16"/>
          <w:szCs w:val="16"/>
          <w:color w:val="auto"/>
        </w:rPr>
        <w:t>10,318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37465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jc w:val="both"/>
        <w:ind w:left="1140"/>
        <w:spacing w:after="0"/>
        <w:tabs>
          <w:tab w:leader="none" w:pos="2940" w:val="left"/>
        </w:tabs>
        <w:rPr>
          <w:sz w:val="20"/>
          <w:szCs w:val="20"/>
          <w:color w:val="auto"/>
        </w:rPr>
      </w:pPr>
      <w:r>
        <w:rPr>
          <w:rFonts w:ascii="Times New Roman" w:cs="Times New Roman" w:eastAsia="Times New Roman" w:hAnsi="Times New Roman"/>
          <w:sz w:val="16"/>
          <w:szCs w:val="16"/>
          <w:color w:val="auto"/>
        </w:rPr>
        <w:t>11,504</w:t>
      </w:r>
      <w:r>
        <w:rPr>
          <w:sz w:val="20"/>
          <w:szCs w:val="20"/>
          <w:color w:val="auto"/>
        </w:rPr>
        <w:tab/>
      </w:r>
      <w:r>
        <w:rPr>
          <w:rFonts w:ascii="Times New Roman" w:cs="Times New Roman" w:eastAsia="Times New Roman" w:hAnsi="Times New Roman"/>
          <w:sz w:val="16"/>
          <w:szCs w:val="16"/>
          <w:color w:val="auto"/>
        </w:rPr>
        <w:t>10,716</w:t>
      </w:r>
    </w:p>
    <w:p>
      <w:pPr>
        <w:spacing w:after="0" w:line="86" w:lineRule="exact"/>
        <w:rPr>
          <w:sz w:val="20"/>
          <w:szCs w:val="20"/>
          <w:color w:val="auto"/>
        </w:rPr>
      </w:pPr>
    </w:p>
    <w:p>
      <w:pPr>
        <w:jc w:val="both"/>
        <w:ind w:left="1140"/>
        <w:spacing w:after="0"/>
        <w:tabs>
          <w:tab w:leader="none" w:pos="2940" w:val="left"/>
        </w:tabs>
        <w:rPr>
          <w:sz w:val="20"/>
          <w:szCs w:val="20"/>
          <w:color w:val="auto"/>
        </w:rPr>
      </w:pPr>
      <w:r>
        <w:rPr>
          <w:rFonts w:ascii="Times New Roman" w:cs="Times New Roman" w:eastAsia="Times New Roman" w:hAnsi="Times New Roman"/>
          <w:sz w:val="16"/>
          <w:szCs w:val="16"/>
          <w:color w:val="auto"/>
        </w:rPr>
        <w:t>27,615</w:t>
      </w:r>
      <w:r>
        <w:rPr>
          <w:sz w:val="20"/>
          <w:szCs w:val="20"/>
          <w:color w:val="auto"/>
        </w:rPr>
        <w:tab/>
      </w:r>
      <w:r>
        <w:rPr>
          <w:rFonts w:ascii="Times New Roman" w:cs="Times New Roman" w:eastAsia="Times New Roman" w:hAnsi="Times New Roman"/>
          <w:sz w:val="16"/>
          <w:szCs w:val="16"/>
          <w:color w:val="auto"/>
        </w:rPr>
        <w:t>55,664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37465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jc w:val="both"/>
        <w:ind w:left="1140"/>
        <w:spacing w:after="0"/>
        <w:tabs>
          <w:tab w:leader="none" w:pos="2940" w:val="left"/>
        </w:tabs>
        <w:rPr>
          <w:sz w:val="20"/>
          <w:szCs w:val="20"/>
          <w:color w:val="auto"/>
        </w:rPr>
      </w:pPr>
      <w:r>
        <w:rPr>
          <w:rFonts w:ascii="Times New Roman" w:cs="Times New Roman" w:eastAsia="Times New Roman" w:hAnsi="Times New Roman"/>
          <w:sz w:val="16"/>
          <w:szCs w:val="16"/>
          <w:color w:val="auto"/>
        </w:rPr>
        <w:t>61,148</w:t>
      </w:r>
      <w:r>
        <w:rPr>
          <w:sz w:val="20"/>
          <w:szCs w:val="20"/>
          <w:color w:val="auto"/>
        </w:rPr>
        <w:tab/>
      </w:r>
      <w:r>
        <w:rPr>
          <w:rFonts w:ascii="Times New Roman" w:cs="Times New Roman" w:eastAsia="Times New Roman" w:hAnsi="Times New Roman"/>
          <w:sz w:val="16"/>
          <w:szCs w:val="16"/>
          <w:color w:val="auto"/>
        </w:rPr>
        <w:t>61,366</w:t>
      </w:r>
    </w:p>
    <w:p>
      <w:pPr>
        <w:spacing w:after="0" w:line="86" w:lineRule="exact"/>
        <w:rPr>
          <w:sz w:val="20"/>
          <w:szCs w:val="20"/>
          <w:color w:val="auto"/>
        </w:rPr>
      </w:pPr>
    </w:p>
    <w:p>
      <w:pPr>
        <w:jc w:val="both"/>
        <w:ind w:left="1340"/>
        <w:spacing w:after="0"/>
        <w:tabs>
          <w:tab w:leader="none" w:pos="3140" w:val="left"/>
        </w:tabs>
        <w:rPr>
          <w:sz w:val="20"/>
          <w:szCs w:val="20"/>
          <w:color w:val="auto"/>
        </w:rPr>
      </w:pPr>
      <w:r>
        <w:rPr>
          <w:rFonts w:ascii="Times New Roman" w:cs="Times New Roman" w:eastAsia="Times New Roman" w:hAnsi="Times New Roman"/>
          <w:sz w:val="16"/>
          <w:szCs w:val="16"/>
          <w:color w:val="auto"/>
        </w:rPr>
        <w:t>246</w:t>
      </w:r>
      <w:r>
        <w:rPr>
          <w:sz w:val="20"/>
          <w:szCs w:val="20"/>
          <w:color w:val="auto"/>
        </w:rPr>
        <w:tab/>
      </w:r>
      <w:r>
        <w:rPr>
          <w:rFonts w:ascii="Times New Roman" w:cs="Times New Roman" w:eastAsia="Times New Roman" w:hAnsi="Times New Roman"/>
          <w:sz w:val="16"/>
          <w:szCs w:val="16"/>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37465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4" w:lineRule="exact"/>
        <w:rPr>
          <w:sz w:val="20"/>
          <w:szCs w:val="20"/>
          <w:color w:val="auto"/>
        </w:rPr>
      </w:pPr>
    </w:p>
    <w:p>
      <w:pPr>
        <w:jc w:val="both"/>
        <w:ind w:left="1060"/>
        <w:spacing w:after="0"/>
        <w:tabs>
          <w:tab w:leader="none" w:pos="2860" w:val="left"/>
        </w:tabs>
        <w:rPr>
          <w:sz w:val="20"/>
          <w:szCs w:val="20"/>
          <w:color w:val="auto"/>
        </w:rPr>
      </w:pPr>
      <w:r>
        <w:rPr>
          <w:rFonts w:ascii="Times New Roman" w:cs="Times New Roman" w:eastAsia="Times New Roman" w:hAnsi="Times New Roman"/>
          <w:sz w:val="16"/>
          <w:szCs w:val="16"/>
          <w:b w:val="1"/>
          <w:bCs w:val="1"/>
          <w:color w:val="auto"/>
        </w:rPr>
        <w:t>104,945</w:t>
      </w:r>
      <w:r>
        <w:rPr>
          <w:sz w:val="20"/>
          <w:szCs w:val="20"/>
          <w:color w:val="auto"/>
        </w:rPr>
        <w:tab/>
      </w:r>
      <w:r>
        <w:rPr>
          <w:rFonts w:ascii="Times New Roman" w:cs="Times New Roman" w:eastAsia="Times New Roman" w:hAnsi="Times New Roman"/>
          <w:sz w:val="16"/>
          <w:szCs w:val="16"/>
          <w:b w:val="1"/>
          <w:bCs w:val="1"/>
          <w:color w:val="auto"/>
        </w:rPr>
        <w:t>144,249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8" w:lineRule="exact"/>
        <w:rPr>
          <w:sz w:val="20"/>
          <w:szCs w:val="20"/>
          <w:color w:val="auto"/>
        </w:rPr>
      </w:pPr>
    </w:p>
    <w:p>
      <w:pPr>
        <w:jc w:val="both"/>
        <w:ind w:left="1140"/>
        <w:spacing w:after="0"/>
        <w:tabs>
          <w:tab w:leader="none" w:pos="2940" w:val="left"/>
        </w:tabs>
        <w:rPr>
          <w:sz w:val="20"/>
          <w:szCs w:val="20"/>
          <w:color w:val="auto"/>
        </w:rPr>
      </w:pPr>
      <w:r>
        <w:rPr>
          <w:rFonts w:ascii="Times New Roman" w:cs="Times New Roman" w:eastAsia="Times New Roman" w:hAnsi="Times New Roman"/>
          <w:sz w:val="16"/>
          <w:szCs w:val="16"/>
          <w:color w:val="auto"/>
        </w:rPr>
        <w:t>67,355</w:t>
      </w:r>
      <w:r>
        <w:rPr>
          <w:sz w:val="20"/>
          <w:szCs w:val="20"/>
          <w:color w:val="auto"/>
        </w:rPr>
        <w:tab/>
      </w:r>
      <w:r>
        <w:rPr>
          <w:rFonts w:ascii="Times New Roman" w:cs="Times New Roman" w:eastAsia="Times New Roman" w:hAnsi="Times New Roman"/>
          <w:sz w:val="16"/>
          <w:szCs w:val="16"/>
          <w:color w:val="auto"/>
        </w:rPr>
        <w:t>50,391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37465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jc w:val="both"/>
        <w:ind w:left="1340"/>
        <w:spacing w:after="0"/>
        <w:tabs>
          <w:tab w:leader="none" w:pos="3140" w:val="left"/>
        </w:tabs>
        <w:rPr>
          <w:sz w:val="20"/>
          <w:szCs w:val="20"/>
          <w:color w:val="auto"/>
        </w:rPr>
      </w:pPr>
      <w:r>
        <w:rPr>
          <w:rFonts w:ascii="Times New Roman" w:cs="Times New Roman" w:eastAsia="Times New Roman" w:hAnsi="Times New Roman"/>
          <w:sz w:val="16"/>
          <w:szCs w:val="16"/>
          <w:color w:val="auto"/>
        </w:rPr>
        <w:t>282</w:t>
      </w:r>
      <w:r>
        <w:rPr>
          <w:sz w:val="20"/>
          <w:szCs w:val="20"/>
          <w:color w:val="auto"/>
        </w:rPr>
        <w:tab/>
      </w:r>
      <w:r>
        <w:rPr>
          <w:rFonts w:ascii="Times New Roman" w:cs="Times New Roman" w:eastAsia="Times New Roman" w:hAnsi="Times New Roman"/>
          <w:sz w:val="16"/>
          <w:szCs w:val="16"/>
          <w:color w:val="auto"/>
        </w:rPr>
        <w:t>331</w:t>
      </w:r>
    </w:p>
    <w:p>
      <w:pPr>
        <w:spacing w:after="0" w:line="73" w:lineRule="exact"/>
        <w:rPr>
          <w:sz w:val="20"/>
          <w:szCs w:val="20"/>
          <w:color w:val="auto"/>
        </w:rPr>
      </w:pPr>
    </w:p>
    <w:p>
      <w:pPr>
        <w:jc w:val="both"/>
        <w:ind w:left="1220"/>
        <w:spacing w:after="0"/>
        <w:tabs>
          <w:tab w:leader="none" w:pos="2940" w:val="left"/>
        </w:tabs>
        <w:rPr>
          <w:sz w:val="20"/>
          <w:szCs w:val="20"/>
          <w:color w:val="auto"/>
        </w:rPr>
      </w:pPr>
      <w:r>
        <w:rPr>
          <w:rFonts w:ascii="Times New Roman" w:cs="Times New Roman" w:eastAsia="Times New Roman" w:hAnsi="Times New Roman"/>
          <w:sz w:val="16"/>
          <w:szCs w:val="16"/>
          <w:color w:val="auto"/>
        </w:rPr>
        <w:t>8,721</w:t>
      </w:r>
      <w:r>
        <w:rPr>
          <w:sz w:val="20"/>
          <w:szCs w:val="20"/>
          <w:color w:val="auto"/>
        </w:rPr>
        <w:tab/>
      </w:r>
      <w:r>
        <w:rPr>
          <w:rFonts w:ascii="Times New Roman" w:cs="Times New Roman" w:eastAsia="Times New Roman" w:hAnsi="Times New Roman"/>
          <w:sz w:val="16"/>
          <w:szCs w:val="16"/>
          <w:color w:val="auto"/>
        </w:rPr>
        <w:t>13,557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46355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0" w:lineRule="exact"/>
        <w:rPr>
          <w:sz w:val="20"/>
          <w:szCs w:val="20"/>
          <w:color w:val="auto"/>
        </w:rPr>
      </w:pPr>
    </w:p>
    <w:p>
      <w:pPr>
        <w:jc w:val="both"/>
        <w:ind w:left="1140"/>
        <w:spacing w:after="0"/>
        <w:tabs>
          <w:tab w:leader="none" w:pos="2940" w:val="left"/>
        </w:tabs>
        <w:rPr>
          <w:sz w:val="20"/>
          <w:szCs w:val="20"/>
          <w:color w:val="auto"/>
        </w:rPr>
      </w:pPr>
      <w:r>
        <w:rPr>
          <w:rFonts w:ascii="Times New Roman" w:cs="Times New Roman" w:eastAsia="Times New Roman" w:hAnsi="Times New Roman"/>
          <w:sz w:val="16"/>
          <w:szCs w:val="16"/>
          <w:color w:val="auto"/>
        </w:rPr>
        <w:t>15,262</w:t>
      </w:r>
      <w:r>
        <w:rPr>
          <w:sz w:val="20"/>
          <w:szCs w:val="20"/>
          <w:color w:val="auto"/>
        </w:rPr>
        <w:tab/>
      </w:r>
      <w:r>
        <w:rPr>
          <w:rFonts w:ascii="Times New Roman" w:cs="Times New Roman" w:eastAsia="Times New Roman" w:hAnsi="Times New Roman"/>
          <w:sz w:val="16"/>
          <w:szCs w:val="16"/>
          <w:color w:val="auto"/>
        </w:rPr>
        <w:t>16,202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4" w:lineRule="exact"/>
        <w:rPr>
          <w:sz w:val="20"/>
          <w:szCs w:val="20"/>
          <w:color w:val="auto"/>
        </w:rPr>
      </w:pPr>
    </w:p>
    <w:p>
      <w:pPr>
        <w:jc w:val="both"/>
        <w:ind w:left="1060"/>
        <w:spacing w:after="0"/>
        <w:tabs>
          <w:tab w:leader="none" w:pos="2860" w:val="left"/>
        </w:tabs>
        <w:rPr>
          <w:sz w:val="20"/>
          <w:szCs w:val="20"/>
          <w:color w:val="auto"/>
        </w:rPr>
      </w:pPr>
      <w:r>
        <w:rPr>
          <w:rFonts w:ascii="Times New Roman" w:cs="Times New Roman" w:eastAsia="Times New Roman" w:hAnsi="Times New Roman"/>
          <w:sz w:val="16"/>
          <w:szCs w:val="16"/>
          <w:b w:val="1"/>
          <w:bCs w:val="1"/>
          <w:color w:val="auto"/>
        </w:rPr>
        <w:t>196,565</w:t>
      </w:r>
      <w:r>
        <w:rPr>
          <w:sz w:val="20"/>
          <w:szCs w:val="20"/>
          <w:color w:val="auto"/>
        </w:rPr>
        <w:tab/>
      </w:r>
      <w:r>
        <w:rPr>
          <w:rFonts w:ascii="Times New Roman" w:cs="Times New Roman" w:eastAsia="Times New Roman" w:hAnsi="Times New Roman"/>
          <w:sz w:val="16"/>
          <w:szCs w:val="16"/>
          <w:b w:val="1"/>
          <w:bCs w:val="1"/>
          <w:color w:val="auto"/>
        </w:rPr>
        <w:t>224,730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38735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7180" w:space="720"/>
            <w:col w:w="3500"/>
          </w:cols>
          <w:pgMar w:left="240" w:top="333" w:right="259" w:bottom="131" w:gutter="0" w:footer="0" w:header="0"/>
          <w:type w:val="continuous"/>
        </w:sectPr>
      </w:pPr>
    </w:p>
    <w:tbl>
      <w:tblPr>
        <w:tblLayout w:type="fixed"/>
        <w:tblInd w:w="20" w:type="dxa"/>
        <w:tblCellMar>
          <w:top w:w="0" w:type="dxa"/>
          <w:left w:w="0" w:type="dxa"/>
          <w:bottom w:w="0" w:type="dxa"/>
          <w:right w:w="0" w:type="dxa"/>
        </w:tblCellMar>
      </w:tblPr>
      <w:tr>
        <w:trPr>
          <w:trHeight w:val="22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5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37,568,973 shares issued and 34,442,962 shares</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outstanding as of March 31, 2018 and 36,790,751 shares issued and 33,888,733 shares outstanding as of</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2017</w:t>
            </w:r>
          </w:p>
        </w:tc>
        <w:tc>
          <w:tcPr>
            <w:tcW w:w="5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7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327,750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322,246</w:t>
            </w: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5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450,676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427,064</w:t>
            </w:r>
          </w:p>
        </w:tc>
      </w:tr>
      <w:tr>
        <w:trPr>
          <w:trHeight w:val="33"/>
        </w:trPr>
        <w:tc>
          <w:tcPr>
            <w:tcW w:w="7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(45,710)</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5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718,794</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703,637</w:t>
            </w:r>
          </w:p>
        </w:tc>
      </w:tr>
      <w:tr>
        <w:trPr>
          <w:trHeight w:val="33"/>
        </w:trPr>
        <w:tc>
          <w:tcPr>
            <w:tcW w:w="78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3,126,011 shares as of March 31, 2018 and 2,902,018 shares as of December 31, 2017, held in treasury, at cost</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(103,816)</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601,474</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599,821</w:t>
            </w:r>
          </w:p>
        </w:tc>
      </w:tr>
      <w:tr>
        <w:trPr>
          <w:trHeight w:val="33"/>
        </w:trPr>
        <w:tc>
          <w:tcPr>
            <w:tcW w:w="7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601,705</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600,045</w:t>
            </w:r>
          </w:p>
        </w:tc>
      </w:tr>
      <w:tr>
        <w:trPr>
          <w:trHeight w:val="33"/>
        </w:trPr>
        <w:tc>
          <w:tcPr>
            <w:tcW w:w="78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798,270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824,775</w:t>
            </w:r>
          </w:p>
        </w:tc>
      </w:tr>
      <w:tr>
        <w:trPr>
          <w:trHeight w:val="20"/>
        </w:trPr>
        <w:tc>
          <w:tcPr>
            <w:tcW w:w="7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ectPr>
          <w:pgSz w:w="11900" w:h="16838" w:orient="portrait"/>
          <w:cols w:equalWidth="0" w:num="1">
            <w:col w:w="11400"/>
          </w:cols>
          <w:pgMar w:left="240" w:top="333" w:right="259" w:bottom="131" w:gutter="0" w:footer="0" w:header="0"/>
          <w:type w:val="continuous"/>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333" w:right="259" w:bottom="131"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206,973</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183,033</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138,101</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119,072</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68,872</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63,961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29,266</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24,037</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13,952</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13,340</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10,504</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9,372</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53,722</w:t>
            </w: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46,749</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15,150</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17,212</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3,534</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3,186</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(benefit)/expense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18,761</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20,348</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3,560</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23,158</w:t>
            </w:r>
          </w:p>
        </w:tc>
        <w:tc>
          <w:tcPr>
            <w:tcW w:w="1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16,788</w:t>
            </w:r>
          </w:p>
        </w:tc>
      </w:tr>
      <w:tr>
        <w:trPr>
          <w:trHeight w:val="67"/>
        </w:trPr>
        <w:tc>
          <w:tcPr>
            <w:tcW w:w="7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0.50</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0.48</w:t>
            </w: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 attributable to ExlService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 Inc. stockholders: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34,446,265</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33,845,560</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35,302,926</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35,108,882</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500"/>
        </w:trPr>
        <w:tc>
          <w:tcPr>
            <w:tcW w:w="7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333" w:right="3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50"/>
        </w:trPr>
        <w:tc>
          <w:tcPr>
            <w:tcW w:w="85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16,788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(loss)/gain on effective cash flow hedges, net of taxes ($800) and $2,044,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6,985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(loss)/gain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11,643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Realized loss on cash flow hedges, net of taxes ($776) and ($284), respectively</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0"/>
        </w:trPr>
        <w:tc>
          <w:tcPr>
            <w:tcW w:w="858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Retirement benefits, net of taxes $1 and $7, respectively</w:t>
            </w:r>
            <w:r>
              <w:rPr>
                <w:rFonts w:ascii="Times New Roman" w:cs="Times New Roman" w:eastAsia="Times New Roman" w:hAnsi="Times New Roman"/>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18,044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9,198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34,832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540" w:right="20" w:hanging="532"/>
        <w:spacing w:after="0" w:line="259"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either in cost of revenue, operating expenses, as applicable in the unaudited consolidated statements of income. Refer to Note 16 to the unaudited consolidated financial statements.</w:t>
      </w:r>
    </w:p>
    <w:p>
      <w:pPr>
        <w:spacing w:after="0" w:line="1" w:lineRule="exact"/>
        <w:rPr>
          <w:rFonts w:ascii="Times New Roman" w:cs="Times New Roman" w:eastAsia="Times New Roman" w:hAnsi="Times New Roman"/>
          <w:sz w:val="16"/>
          <w:szCs w:val="16"/>
          <w:i w:val="1"/>
          <w:iCs w:val="1"/>
          <w:color w:val="auto"/>
        </w:rPr>
      </w:pPr>
    </w:p>
    <w:p>
      <w:pPr>
        <w:ind w:left="540" w:hanging="532"/>
        <w:spacing w:after="0" w:line="257"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 Refer to Note 19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9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2017</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427,064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600,045</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Impact of adoption of Topic 606</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73"/>
        </w:trPr>
        <w:tc>
          <w:tcPr>
            <w:tcW w:w="20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2018</w:t>
            </w: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427,518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(103,816)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600,499</w:t>
            </w:r>
          </w:p>
        </w:tc>
        <w:tc>
          <w:tcPr>
            <w:tcW w:w="0" w:type="dxa"/>
            <w:vAlign w:val="bottom"/>
          </w:tcPr>
          <w:p>
            <w:pPr>
              <w:spacing w:after="0"/>
              <w:rPr>
                <w:sz w:val="1"/>
                <w:szCs w:val="1"/>
                <w:color w:val="auto"/>
              </w:rPr>
            </w:pPr>
          </w:p>
        </w:tc>
      </w:tr>
      <w:tr>
        <w:trPr>
          <w:trHeight w:val="158"/>
        </w:trPr>
        <w:tc>
          <w:tcPr>
            <w:tcW w:w="20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Stock issued on exercise/vesting</w:t>
            </w: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778,222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 equity awards</w:t>
            </w: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5,074</w:t>
            </w:r>
          </w:p>
        </w:tc>
        <w:tc>
          <w:tcPr>
            <w:tcW w:w="0" w:type="dxa"/>
            <w:vAlign w:val="bottom"/>
          </w:tcPr>
          <w:p>
            <w:pPr>
              <w:spacing w:after="0"/>
              <w:rPr>
                <w:sz w:val="1"/>
                <w:szCs w:val="1"/>
                <w:color w:val="auto"/>
              </w:rPr>
            </w:pPr>
          </w:p>
        </w:tc>
      </w:tr>
      <w:tr>
        <w:trPr>
          <w:trHeight w:val="73"/>
        </w:trPr>
        <w:tc>
          <w:tcPr>
            <w:tcW w:w="20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(13,504)</w:t>
            </w:r>
          </w:p>
        </w:tc>
        <w:tc>
          <w:tcPr>
            <w:tcW w:w="0" w:type="dxa"/>
            <w:vAlign w:val="bottom"/>
          </w:tcPr>
          <w:p>
            <w:pPr>
              <w:spacing w:after="0"/>
              <w:rPr>
                <w:sz w:val="1"/>
                <w:szCs w:val="1"/>
                <w:color w:val="auto"/>
              </w:rPr>
            </w:pPr>
          </w:p>
        </w:tc>
      </w:tr>
      <w:tr>
        <w:trPr>
          <w:trHeight w:val="78"/>
        </w:trPr>
        <w:tc>
          <w:tcPr>
            <w:tcW w:w="20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3"/>
        </w:trPr>
        <w:tc>
          <w:tcPr>
            <w:tcW w:w="20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(13,960)</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(13,960)</w:t>
            </w:r>
          </w:p>
        </w:tc>
        <w:tc>
          <w:tcPr>
            <w:tcW w:w="0" w:type="dxa"/>
            <w:vAlign w:val="bottom"/>
          </w:tcPr>
          <w:p>
            <w:pPr>
              <w:spacing w:after="0"/>
              <w:rPr>
                <w:sz w:val="1"/>
                <w:szCs w:val="1"/>
                <w:color w:val="auto"/>
              </w:rPr>
            </w:pPr>
          </w:p>
        </w:tc>
      </w:tr>
      <w:tr>
        <w:trPr>
          <w:trHeight w:val="78"/>
        </w:trPr>
        <w:tc>
          <w:tcPr>
            <w:tcW w:w="20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23,158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23,158</w:t>
            </w:r>
          </w:p>
        </w:tc>
        <w:tc>
          <w:tcPr>
            <w:tcW w:w="0" w:type="dxa"/>
            <w:vAlign w:val="bottom"/>
          </w:tcPr>
          <w:p>
            <w:pPr>
              <w:spacing w:after="0"/>
              <w:rPr>
                <w:sz w:val="1"/>
                <w:szCs w:val="1"/>
                <w:color w:val="auto"/>
              </w:rPr>
            </w:pPr>
          </w:p>
        </w:tc>
      </w:tr>
      <w:tr>
        <w:trPr>
          <w:trHeight w:val="73"/>
        </w:trPr>
        <w:tc>
          <w:tcPr>
            <w:tcW w:w="20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March 31, 2018</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37,568,973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327,750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450,676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(3,126,011)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601,705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18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vMerge w:val="restart"/>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0" w:type="dxa"/>
            <w:vAlign w:val="bottom"/>
          </w:tcPr>
          <w:p>
            <w:pPr>
              <w:spacing w:after="0"/>
              <w:rPr>
                <w:sz w:val="1"/>
                <w:szCs w:val="1"/>
                <w:color w:val="auto"/>
              </w:rPr>
            </w:pPr>
          </w:p>
        </w:tc>
      </w:tr>
      <w:tr>
        <w:trPr>
          <w:trHeight w:val="63"/>
        </w:trPr>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 -</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460" w:type="dxa"/>
            <w:vAlign w:val="bottom"/>
            <w:gridSpan w:val="2"/>
            <w:vMerge w:val="continue"/>
          </w:tcPr>
          <w:p>
            <w:pPr>
              <w:spacing w:after="0"/>
              <w:rPr>
                <w:sz w:val="5"/>
                <w:szCs w:val="5"/>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2">
            <w:col w:w="5940" w:space="100"/>
            <w:col w:w="5380"/>
          </w:cols>
          <w:pgMar w:left="240" w:top="333" w:right="239" w:bottom="1440"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2016</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35,699,819</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Impact of adoption of ASU 2016-</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09</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2017</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35,699,819</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Stock issued on exercise/vesting</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400,803</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of equity awards</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040" w:type="dxa"/>
            <w:vAlign w:val="bottom"/>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40"/>
        <w:spacing w:after="0"/>
        <w:tabs>
          <w:tab w:leader="none" w:pos="540" w:val="left"/>
          <w:tab w:leader="none" w:pos="960" w:val="left"/>
          <w:tab w:leader="none" w:pos="1280" w:val="left"/>
          <w:tab w:leader="none" w:pos="2020" w:val="left"/>
          <w:tab w:leader="none" w:pos="22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36</w:t>
      </w:r>
      <w:r>
        <w:rPr>
          <w:sz w:val="20"/>
          <w:szCs w:val="20"/>
          <w:color w:val="auto"/>
        </w:rPr>
        <w:tab/>
      </w:r>
      <w:r>
        <w:rPr>
          <w:rFonts w:ascii="Times New Roman" w:cs="Times New Roman" w:eastAsia="Times New Roman" w:hAnsi="Times New Roman"/>
          <w:sz w:val="14"/>
          <w:szCs w:val="14"/>
          <w:b w:val="1"/>
          <w:bCs w:val="1"/>
          <w:color w:val="auto"/>
        </w:rPr>
        <w:t>$</w:t>
        <w:tab/>
        <w:t>284,646</w:t>
      </w:r>
      <w:r>
        <w:rPr>
          <w:sz w:val="20"/>
          <w:szCs w:val="20"/>
          <w:color w:val="auto"/>
        </w:rPr>
        <w:tab/>
      </w:r>
      <w:r>
        <w:rPr>
          <w:rFonts w:ascii="Times New Roman" w:cs="Times New Roman" w:eastAsia="Times New Roman" w:hAnsi="Times New Roman"/>
          <w:sz w:val="14"/>
          <w:szCs w:val="14"/>
          <w:b w:val="1"/>
          <w:bCs w:val="1"/>
          <w:color w:val="auto"/>
        </w:rPr>
        <w:t>$</w:t>
        <w:tab/>
        <w:t>382,722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24765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5,999</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(4,546)</w:t>
            </w:r>
          </w:p>
        </w:tc>
      </w:tr>
    </w:tbl>
    <w:p>
      <w:pPr>
        <w:spacing w:after="0" w:line="56" w:lineRule="exact"/>
        <w:rPr>
          <w:sz w:val="20"/>
          <w:szCs w:val="20"/>
          <w:color w:val="auto"/>
        </w:rPr>
      </w:pPr>
    </w:p>
    <w:p>
      <w:pPr>
        <w:ind w:left="40"/>
        <w:spacing w:after="0"/>
        <w:tabs>
          <w:tab w:leader="none" w:pos="540" w:val="left"/>
          <w:tab w:leader="none" w:pos="960" w:val="left"/>
          <w:tab w:leader="none" w:pos="1280" w:val="left"/>
          <w:tab w:leader="none" w:pos="2020" w:val="left"/>
          <w:tab w:leader="none" w:pos="22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36</w:t>
      </w:r>
      <w:r>
        <w:rPr>
          <w:sz w:val="20"/>
          <w:szCs w:val="20"/>
          <w:color w:val="auto"/>
        </w:rPr>
        <w:tab/>
      </w:r>
      <w:r>
        <w:rPr>
          <w:rFonts w:ascii="Times New Roman" w:cs="Times New Roman" w:eastAsia="Times New Roman" w:hAnsi="Times New Roman"/>
          <w:sz w:val="14"/>
          <w:szCs w:val="14"/>
          <w:b w:val="1"/>
          <w:bCs w:val="1"/>
          <w:color w:val="auto"/>
        </w:rPr>
        <w:t>$</w:t>
        <w:tab/>
        <w:t>290,645</w:t>
      </w:r>
      <w:r>
        <w:rPr>
          <w:sz w:val="20"/>
          <w:szCs w:val="20"/>
          <w:color w:val="auto"/>
        </w:rPr>
        <w:tab/>
      </w:r>
      <w:r>
        <w:rPr>
          <w:rFonts w:ascii="Times New Roman" w:cs="Times New Roman" w:eastAsia="Times New Roman" w:hAnsi="Times New Roman"/>
          <w:sz w:val="14"/>
          <w:szCs w:val="14"/>
          <w:b w:val="1"/>
          <w:bCs w:val="1"/>
          <w:color w:val="auto"/>
        </w:rPr>
        <w:t>$</w:t>
        <w:tab/>
        <w:t>378,176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24765</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72" w:lineRule="exact"/>
        <w:rPr>
          <w:sz w:val="20"/>
          <w:szCs w:val="20"/>
          <w:color w:val="auto"/>
        </w:rPr>
      </w:pPr>
    </w:p>
    <w:p>
      <w:pPr>
        <w:ind w:left="560"/>
        <w:spacing w:after="0"/>
        <w:tabs>
          <w:tab w:leader="none" w:pos="152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191</w:t>
      </w:r>
      <w:r>
        <w:rPr>
          <w:sz w:val="20"/>
          <w:szCs w:val="20"/>
          <w:color w:val="auto"/>
        </w:rPr>
        <w:tab/>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560"/>
        <w:spacing w:after="0"/>
        <w:tabs>
          <w:tab w:leader="none" w:pos="142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5,956</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60"/>
        <w:spacing w:after="0"/>
        <w:tabs>
          <w:tab w:leader="none" w:pos="160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560"/>
        <w:spacing w:after="0"/>
        <w:tabs>
          <w:tab w:leader="none" w:pos="160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60"/>
        <w:spacing w:after="0"/>
        <w:tabs>
          <w:tab w:leader="none" w:pos="160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jc w:val="both"/>
        <w:ind w:left="560"/>
        <w:spacing w:after="0"/>
        <w:tabs>
          <w:tab w:leader="none" w:pos="1600" w:val="left"/>
          <w:tab w:leader="none" w:pos="2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16,788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(75,057)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(2,071,710)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(60,362)</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532,178</w:t>
            </w:r>
          </w:p>
        </w:tc>
      </w:tr>
      <w:tr>
        <w:trPr>
          <w:trHeight w:val="356"/>
        </w:trPr>
        <w:tc>
          <w:tcPr>
            <w:tcW w:w="4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1,453</w:t>
            </w:r>
          </w:p>
        </w:tc>
      </w:tr>
      <w:tr>
        <w:trPr>
          <w:trHeight w:val="245"/>
        </w:trPr>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(75,057)</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(2,071,710)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(60,362)</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533,631</w:t>
            </w:r>
          </w:p>
        </w:tc>
      </w:tr>
      <w:tr>
        <w:trPr>
          <w:trHeight w:val="351"/>
        </w:trPr>
        <w:tc>
          <w:tcPr>
            <w:tcW w:w="4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r>
      <w:tr>
        <w:trPr>
          <w:trHeight w:val="270"/>
        </w:trPr>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5,956</w:t>
            </w:r>
          </w:p>
        </w:tc>
      </w:tr>
      <w:tr>
        <w:trPr>
          <w:trHeight w:val="270"/>
        </w:trPr>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(11,913)</w:t>
            </w:r>
          </w:p>
        </w:tc>
      </w:tr>
      <w:tr>
        <w:trPr>
          <w:trHeight w:val="270"/>
        </w:trPr>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18,044</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18,044</w:t>
            </w:r>
          </w:p>
        </w:tc>
      </w:tr>
      <w:tr>
        <w:trPr>
          <w:trHeight w:val="275"/>
        </w:trPr>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16,788</w:t>
            </w:r>
          </w:p>
        </w:tc>
      </w:tr>
    </w:tbl>
    <w:p>
      <w:pPr>
        <w:spacing w:after="0" w:line="43" w:lineRule="exact"/>
        <w:rPr>
          <w:sz w:val="20"/>
          <w:szCs w:val="20"/>
          <w:color w:val="auto"/>
        </w:rPr>
      </w:pPr>
    </w:p>
    <w:p>
      <w:pPr>
        <w:sectPr>
          <w:pgSz w:w="11900" w:h="16838" w:orient="portrait"/>
          <w:cols w:equalWidth="0" w:num="3">
            <w:col w:w="3000" w:space="120"/>
            <w:col w:w="2820" w:space="100"/>
            <w:col w:w="5380"/>
          </w:cols>
          <w:pgMar w:left="240" w:top="333" w:right="239" w:bottom="1440" w:gutter="0" w:footer="0" w:header="0"/>
          <w:type w:val="continuous"/>
        </w:sectPr>
      </w:pPr>
    </w:p>
    <w:p>
      <w:pPr>
        <w:ind w:left="40"/>
        <w:spacing w:after="0"/>
        <w:tabs>
          <w:tab w:leader="none" w:pos="2220" w:val="left"/>
          <w:tab w:leader="none" w:pos="3140" w:val="left"/>
          <w:tab w:leader="none" w:pos="3660" w:val="left"/>
          <w:tab w:leader="none" w:pos="4080" w:val="left"/>
          <w:tab w:leader="none" w:pos="4400" w:val="left"/>
          <w:tab w:leader="none" w:pos="5140" w:val="left"/>
          <w:tab w:leader="none" w:pos="5340" w:val="left"/>
          <w:tab w:leader="none" w:pos="6060" w:val="left"/>
          <w:tab w:leader="none" w:pos="6820" w:val="left"/>
          <w:tab w:leader="none" w:pos="7660" w:val="left"/>
          <w:tab w:leader="none" w:pos="8520" w:val="left"/>
          <w:tab w:leader="none" w:pos="8720" w:val="left"/>
          <w:tab w:leader="none" w:pos="9420" w:val="left"/>
          <w:tab w:leader="none" w:pos="10080" w:val="left"/>
          <w:tab w:leader="none" w:pos="10540" w:val="left"/>
          <w:tab w:leader="none" w:pos="10820" w:val="left"/>
        </w:tabs>
        <w:rPr>
          <w:sz w:val="20"/>
          <w:szCs w:val="20"/>
          <w:color w:val="auto"/>
        </w:rPr>
      </w:pPr>
      <w:r>
        <w:rPr>
          <w:rFonts w:ascii="Times New Roman" w:cs="Times New Roman" w:eastAsia="Times New Roman" w:hAnsi="Times New Roman"/>
          <w:sz w:val="14"/>
          <w:szCs w:val="14"/>
          <w:b w:val="1"/>
          <w:bCs w:val="1"/>
          <w:color w:val="auto"/>
        </w:rPr>
        <w:t>Balance as of March 31, 2017</w:t>
      </w:r>
      <w:r>
        <w:rPr>
          <w:sz w:val="20"/>
          <w:szCs w:val="20"/>
          <w:color w:val="auto"/>
        </w:rPr>
        <w:tab/>
      </w:r>
      <w:r>
        <w:rPr>
          <w:rFonts w:ascii="Times New Roman" w:cs="Times New Roman" w:eastAsia="Times New Roman" w:hAnsi="Times New Roman"/>
          <w:sz w:val="14"/>
          <w:szCs w:val="14"/>
          <w:b w:val="1"/>
          <w:bCs w:val="1"/>
          <w:color w:val="auto"/>
        </w:rPr>
        <w:t>36,100,622</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36</w:t>
      </w:r>
      <w:r>
        <w:rPr>
          <w:sz w:val="20"/>
          <w:szCs w:val="20"/>
          <w:color w:val="auto"/>
        </w:rPr>
        <w:tab/>
      </w:r>
      <w:r>
        <w:rPr>
          <w:rFonts w:ascii="Times New Roman" w:cs="Times New Roman" w:eastAsia="Times New Roman" w:hAnsi="Times New Roman"/>
          <w:sz w:val="14"/>
          <w:szCs w:val="14"/>
          <w:b w:val="1"/>
          <w:bCs w:val="1"/>
          <w:color w:val="auto"/>
        </w:rPr>
        <w:t>$</w:t>
        <w:tab/>
        <w:t>296,792</w:t>
      </w:r>
      <w:r>
        <w:rPr>
          <w:sz w:val="20"/>
          <w:szCs w:val="20"/>
          <w:color w:val="auto"/>
        </w:rPr>
        <w:tab/>
      </w:r>
      <w:r>
        <w:rPr>
          <w:rFonts w:ascii="Times New Roman" w:cs="Times New Roman" w:eastAsia="Times New Roman" w:hAnsi="Times New Roman"/>
          <w:sz w:val="14"/>
          <w:szCs w:val="14"/>
          <w:b w:val="1"/>
          <w:bCs w:val="1"/>
          <w:color w:val="auto"/>
        </w:rPr>
        <w:t>$</w:t>
        <w:tab/>
        <w:t>394,964</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(57,013)</w:t>
      </w:r>
      <w:r>
        <w:rPr>
          <w:sz w:val="20"/>
          <w:szCs w:val="20"/>
          <w:color w:val="auto"/>
        </w:rPr>
        <w:tab/>
      </w:r>
      <w:r>
        <w:rPr>
          <w:rFonts w:ascii="Times New Roman" w:cs="Times New Roman" w:eastAsia="Times New Roman" w:hAnsi="Times New Roman"/>
          <w:sz w:val="14"/>
          <w:szCs w:val="14"/>
          <w:b w:val="1"/>
          <w:bCs w:val="1"/>
          <w:color w:val="auto"/>
        </w:rPr>
        <w:t>(2,328,456)</w:t>
        <w:tab/>
        <w:t>$</w:t>
        <w:tab/>
        <w:t>(72,275)</w:t>
        <w:tab/>
        <w:t>$</w:t>
      </w:r>
      <w:r>
        <w:rPr>
          <w:sz w:val="20"/>
          <w:szCs w:val="20"/>
          <w:color w:val="auto"/>
        </w:rPr>
        <w:tab/>
      </w:r>
      <w:r>
        <w:rPr>
          <w:rFonts w:ascii="Times New Roman" w:cs="Times New Roman" w:eastAsia="Times New Roman" w:hAnsi="Times New Roman"/>
          <w:sz w:val="14"/>
          <w:szCs w:val="14"/>
          <w:b w:val="1"/>
          <w:bCs w:val="1"/>
          <w:color w:val="auto"/>
        </w:rPr>
        <w:t>205</w:t>
        <w:tab/>
        <w:t>$</w:t>
        <w:tab/>
        <w:t>562,709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41910</wp:posOffset>
            </wp:positionV>
            <wp:extent cx="59347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23,158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16,788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(used for)/provided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9,426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5,956</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short term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2,225</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Allowances for doubtful 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Others,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2,185</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employee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(21,053)</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Advance income tax,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for)/provided by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6,023</w:t>
            </w:r>
          </w:p>
        </w:tc>
      </w:tr>
      <w:tr>
        <w:trPr>
          <w:trHeight w:val="264"/>
        </w:trPr>
        <w:tc>
          <w:tcPr>
            <w:tcW w:w="79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redemption of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22,879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220,394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76,465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98,048</w:t>
            </w:r>
          </w:p>
        </w:tc>
      </w:tr>
      <w:tr>
        <w:trPr>
          <w:trHeight w:val="27"/>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ectPr>
          <w:pgSz w:w="11900" w:h="16838" w:orient="portrait"/>
          <w:cols w:equalWidth="0" w:num="1">
            <w:col w:w="11420"/>
          </w:cols>
          <w:pgMar w:left="240" w:top="333" w:right="239" w:bottom="110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103"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2017.</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income and expenses arising from intra-group transactions, are eliminated while preparing those financial statements. The un-realized gains resulting from intra-group transactions are also eliminated. Similarly, the un-realized losses are eliminated, unless the transaction provides evidence as to impairment of the asset transferred.</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periods presented were insignificant and is included under general and administrative expenses in the unaudited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estimated costs to complete fixed price contracts.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Employee Benefits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Effective January 1, 2018, the Company adopted Accounting Standards Update ("ASU") No. 2017-07, Compensation -Retirement Benefits (Topic 715), Improving the Presentation of Net Periodic Pension Cost and Net Periodic Post Retirement Benefit Cost. Pursuant to this, the Company retrospectively adopted the presentation of service cost separate from other components of net periodic costs for each period presented. The interest cost, expected return on plan assets and amortization of actuarial gains / loss, have been reclassified from “Cost of revenues”, “General and administrative expenses” and “Selling and marketing expenses” to “Other income, net”. Refer to Note 19 to the unaudited consolidated financial statements for details.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 and Restricted Cash</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to Note 24 to the unaudited consolidated financial statements for details). These deposits with banks have maturity dates after March 31, 2019. Restricted cash presented under current assets represents funds held on behalf of clients in dedicated bank accounts.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Effective January 1, 2018, the Company adopted ASU 2016-18, Statement of Cash Flows (Topic 230), Restricted Cash. Pursuant to this adoption the Company includes in its cash and cash-equivalent balances in the unaudited statements of cash flows those amounts that have been classified as restricted cash and restricted cash equivalents for each of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we expect to be entitled to in exchange for our services.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ASU 2014-09 Topic 606, "Revenue from Contracts with Customers" (Topic 606)</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January 1, 2018, the date of initial application, the Company adopted Topic 606 using the modified retrospective method by recognizing the cumulative effect of initially applying Topic 606 as an adjustment to the opening balance of equity, resulting in an increase of $454, primarily due to new contract acquisition costs. The initial application scopes in those contracts which were not completed as of January 1, 2018. Results for reporting periods beginning January 1, 2018 are presented under Topic 606, while prior period amounts are not adjusted and continue to be reported in accordance with Company’s historical accounting under Topic 605. The key area impacted upon adoption of Topic 606 relates to the accounting for sales commissions costs. Specifically, under Topic 606 a portion of sales commissions costs have been recorded as an asset and recognized as an operating expense on a straight line basis over the life of the contract. Prior to adoption, the Company was expensing sales commission costs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services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68" w:lineRule="exact"/>
        <w:rPr>
          <w:sz w:val="20"/>
          <w:szCs w:val="20"/>
          <w:color w:val="auto"/>
        </w:rPr>
      </w:pPr>
    </w:p>
    <w:p>
      <w:pPr>
        <w:ind w:right="520" w:firstLine="405"/>
        <w:spacing w:after="0" w:line="323" w:lineRule="auto"/>
        <w:rPr>
          <w:sz w:val="20"/>
          <w:szCs w:val="20"/>
          <w:color w:val="auto"/>
        </w:rPr>
      </w:pPr>
      <w:r>
        <w:rPr>
          <w:rFonts w:ascii="Times New Roman" w:cs="Times New Roman" w:eastAsia="Times New Roman" w:hAnsi="Times New Roman"/>
          <w:sz w:val="18"/>
          <w:szCs w:val="18"/>
          <w:color w:val="auto"/>
        </w:rPr>
        <w:t xml:space="preserve">A separate contract is generally drafted for each type of service sold, even if to the same customer. The typical length of a contract is 3 to 5 years. </w:t>
      </w:r>
      <w:r>
        <w:rPr>
          <w:rFonts w:ascii="Times New Roman" w:cs="Times New Roman" w:eastAsia="Times New Roman" w:hAnsi="Times New Roman"/>
          <w:sz w:val="18"/>
          <w:szCs w:val="18"/>
          <w:i w:val="1"/>
          <w:iCs w:val="1"/>
          <w:color w:val="auto"/>
        </w:rPr>
        <w:t>Type of Contracts</w:t>
      </w:r>
    </w:p>
    <w:p>
      <w:pPr>
        <w:spacing w:after="0" w:line="1" w:lineRule="exact"/>
        <w:rPr>
          <w:sz w:val="20"/>
          <w:szCs w:val="20"/>
          <w:color w:val="auto"/>
        </w:rPr>
      </w:pPr>
    </w:p>
    <w:p>
      <w:pPr>
        <w:jc w:val="both"/>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04" w:lineRule="exact"/>
        <w:rPr>
          <w:rFonts w:ascii="Times New Roman" w:cs="Times New Roman" w:eastAsia="Times New Roman" w:hAnsi="Times New Roman"/>
          <w:sz w:val="18"/>
          <w:szCs w:val="18"/>
          <w:color w:val="auto"/>
        </w:rPr>
      </w:pPr>
    </w:p>
    <w:p>
      <w:pPr>
        <w:ind w:left="660" w:hanging="4"/>
        <w:spacing w:after="0" w:line="282" w:lineRule="auto"/>
        <w:tabs>
          <w:tab w:leader="none" w:pos="8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arrangements involving subcontracting, in part or whole of the assigned work, the Company evaluates revenues to be recognized under Accounting Standard Codification ("ASC") topic 606-10-55-36 and 37, “Principal versus agent considerations”.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Company’s fixed-price contracts are recognized using the time-elapsed output method because the Company transfers control evenly during execution of its projects. Determining a measure of progress requires management to make judgments that affect the timing of revenue recognized. The Company regularly monitors its estimates for progress on completion of a project and records changes in the period in which a change in an estimate is determined. If a change in an estimate results in a projected loss on a project, such loss is recognized in the period in which it is first identified.</w:t>
      </w:r>
    </w:p>
    <w:p>
      <w:pPr>
        <w:spacing w:after="0" w:line="10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accrues revenues for services rendered between the last billing date and the balance sheet date. Accordingly amounts for services, that the Company has performed and for which an invoice has not yet been issued to the client are presented as a part of contract assets as receivables.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defers the revenues and related cost of revenue during the period while production set-ups are underway and recognize such revenues and costs ratably over the period during which the related services are expected to be performed. The deferred costs are limited to the amounts of the deferred revenues. Deferred revenue also includes the amount for which the services have been rendered but the other conditions of revenue recognition are not met, for example where the Company does not have the persuasive evidence of the arrangements.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Usual payment terms range between 30-60 days. The Company does not have any extended payment terms clauses in existing contracts. At times the Company does enter into fixed price contracts and software licenses involving significant implementation wherein the milestones are defined such that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can recover the costs with a reasonable margin. The payment terms do not have any linkage to segment or types of contracts, as they are defined for each contract separately.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cost of living adjustments, and pre-payment and volume discounts.</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Recent Accounting Pronouncements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No. 2016-02, Leases (Topic 842) which requires the identification of arrangements that should be accounted for as leases by lessees. In general, for lease arrangements exceeding a twelve month term, these arrangements must now be recognized as assets and liabilities on the balance sheet of the lessee. This ASU requires recording a right-of-use asset and lease obligation for all leases, whether operating or financing, while the income statement will reflect lease expense for operating leases and amortization/interest expense for financing leases. The balance sheet amount recorded for existing leases at the date of adoption of this ASU must be calculated using the applicable incremental borrowing rate at the date of adoption.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7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June 2016, FASB issued ASU No. 2016-13, Financial Instruments - Credit Losses, which requires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this ASU is not expected to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Recently Adopted Accounting Pronouncements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May 2014, FASB issued ASU No. 2014-09 (Topic 606) "Revenue from Contracts with Customers." Topic 606 supersedes the revenue recognition requirements in Topic 605 “Revenue Recognition” (Topic 605), and requires entities to recognize revenue when control of the promised goods or services is transferred to customers at an amount that reflects the consideration to which the entity expects to be entitled to in exchange for those goods or services. The Company adopted Topic 606 as of January 1, 2018 using the modified retrospective transition method. Refer to Note 4 to the unaudited consolidated financial statements for details.</w:t>
      </w:r>
    </w:p>
    <w:p>
      <w:pPr>
        <w:spacing w:after="0" w:line="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August 2016, FASB issued ASU No. 2016-15, Classification of Certain Cash Receipts and Cash Payments. The amendments apply to all entities that are required to present a statement of cash flows under Topic 230. The amendments are an improvement to US GAAP because they provide guidance for each of the eight issues,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The adoption does not have any material effect on the presentation of its unaudited consolidated statements of cash flows.</w:t>
      </w:r>
    </w:p>
    <w:p>
      <w:pPr>
        <w:spacing w:after="0" w:line="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2016, FASB issued ASU No. 2016-18, Statement of cash flows (Topic 230)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and should be applied using a retrospective transition method to each period presented. Early adoption is permitted with an adjustment reflected as of the beginning of the fiscal year in which the amendment is adopted. The Company has adopted the guidance retrospectively to each period presented. The adoption does not have any material effect on the presentation of its unaudited consolidated statements of cash flows. Refer to Note 6 to the unaudited consolidated financial statements for details.</w:t>
      </w:r>
    </w:p>
    <w:p>
      <w:pPr>
        <w:spacing w:after="0" w:line="7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January 2017, FASB issued ASU No. 2017-04, Intangibles-Goodwill and Other (Topic 350) - Simplifying the Test for Goodwill Impairment, which eliminates Step 2 from the goodwill impairment test. A goodwill impairment will now be the amount by which a reporting unit's carrying value exceeds its fair value, however, the loss recognized should not exceed the total amount of goodwill allocated to that reporting unit. The ASU is effective for annual and interim periods in fiscal years beginning after December 15, 2019. Early adoption is permitted for interim or annual goodwill impairment tests performed after January 1, 2017 and should be applied prospectively. The Company has adopted the guidance effective January 1, 2018. The adoption does not have any material effect on its unaudited consolidated financial statements.</w:t>
      </w:r>
    </w:p>
    <w:p>
      <w:pPr>
        <w:spacing w:after="0" w:line="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March, 2017, FASB issued ASU No.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 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Refer to Note 2(c) and Note 19 to the unaudited consolidated financial statements for details.</w:t>
      </w:r>
    </w:p>
    <w:p>
      <w:pPr>
        <w:spacing w:after="0" w:line="7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May 2017, FASB issued ASU No. 2017-09, Compensation - Stock Compensation (Topic 718): Scope of Modification Accounting. This ASU provides guidance on the types of changes to the terms or conditions of share-based payment awards to which an entity 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 an award modified on or after the adoption date. The Company has adopted the guidance effective January 1, 2018. The adoption does not have any material effect on its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which the Company organizes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the Analytics operating segment, which provides services that focus on driving improved business outcomes for clients by generating data-driven insights across all parts of their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 (“TT&amp;L”)</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(“F&amp;A”)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the Company's remaining operating segments, which includes the Banking and Financial Services, Utilities and Consulting operating segments).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and cost of revenues for the three months ended March 31, 2018 and 2017,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172085</wp:posOffset>
            </wp:positionV>
            <wp:extent cx="5462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206,973</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 (exclusive of</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138,101</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68,872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53,722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23,158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restart"/>
          </w:tcPr>
          <w:p>
            <w:pPr>
              <w:jc w:val="right"/>
              <w:ind w:right="67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314325</wp:posOffset>
            </wp:positionV>
            <wp:extent cx="5257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0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183,033</w:t>
            </w:r>
          </w:p>
        </w:tc>
        <w:tc>
          <w:tcPr>
            <w:tcW w:w="0" w:type="dxa"/>
            <w:vAlign w:val="bottom"/>
          </w:tcPr>
          <w:p>
            <w:pPr>
              <w:spacing w:after="0"/>
              <w:rPr>
                <w:sz w:val="1"/>
                <w:szCs w:val="1"/>
                <w:color w:val="auto"/>
              </w:rPr>
            </w:pPr>
          </w:p>
        </w:tc>
      </w:tr>
      <w:tr>
        <w:trPr>
          <w:trHeight w:val="22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w:t>
            </w:r>
          </w:p>
        </w:tc>
        <w:tc>
          <w:tcPr>
            <w:tcW w:w="16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38,030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10,138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31,756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119,072</w:t>
            </w:r>
          </w:p>
        </w:tc>
        <w:tc>
          <w:tcPr>
            <w:tcW w:w="0" w:type="dxa"/>
            <w:vAlign w:val="bottom"/>
          </w:tcPr>
          <w:p>
            <w:pPr>
              <w:spacing w:after="0"/>
              <w:rPr>
                <w:sz w:val="1"/>
                <w:szCs w:val="1"/>
                <w:color w:val="auto"/>
              </w:rPr>
            </w:pPr>
          </w:p>
        </w:tc>
      </w:tr>
      <w:tr>
        <w:trPr>
          <w:trHeight w:val="23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63,961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46,749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early adopted ASU 2017-12, Derivative and Hedging (Topic 815), Targeted Improvements to Accounting for Hedging Activities. Pursuant to this adoption, effective January 1, 2017, the resultant foreign exchange gain/(loss) upon settlement of cash flow hedges are recorded along with the underlying hedged item in the same income statement line as either part of “Cost of revenues”, “General and administrative expenses”, “Selling and marketing expenses”, "Depreciation and Amortization”, as applicable. Refer to Note 16 to the unaudited consolidated financial statements for details.</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revenues of the Company by service type, were as follows:</w:t>
      </w:r>
    </w:p>
    <w:p>
      <w:pPr>
        <w:spacing w:after="0" w:line="340"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264"/>
        </w:trPr>
        <w:tc>
          <w:tcPr>
            <w:tcW w:w="55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r>
      <w:tr>
        <w:trPr>
          <w:trHeight w:val="269"/>
        </w:trPr>
        <w:tc>
          <w:tcPr>
            <w:tcW w:w="556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BPM and related services </w:t>
            </w:r>
            <w:r>
              <w:rPr>
                <w:rFonts w:ascii="Times New Roman" w:cs="Times New Roman" w:eastAsia="Times New Roman" w:hAnsi="Times New Roman"/>
                <w:sz w:val="25"/>
                <w:szCs w:val="25"/>
                <w:color w:val="auto"/>
                <w:vertAlign w:val="superscript"/>
              </w:rPr>
              <w:t>(1)</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134,026</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49,007</w:t>
            </w:r>
          </w:p>
        </w:tc>
      </w:tr>
      <w:tr>
        <w:trPr>
          <w:trHeight w:val="27"/>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206,973</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183,033</w:t>
            </w:r>
          </w:p>
        </w:tc>
      </w:tr>
      <w:tr>
        <w:trPr>
          <w:trHeight w:val="20"/>
        </w:trPr>
        <w:tc>
          <w:tcPr>
            <w:tcW w:w="5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13"/>
        <w:spacing w:after="0" w:line="282" w:lineRule="auto"/>
        <w:tabs>
          <w:tab w:leader="none" w:pos="6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BPM and related services include revenues of the Company's five industry-focused operating segments, one capability operating segment and consulting operating segment, which provides services related to operations management services. See reportable segment disclosure above.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165"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57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171,198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150,281</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32,752</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206,973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net by geographic area, were as follows:</w:t>
      </w: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6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37,469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39,143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16,371</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8,217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3,026</w:t>
            </w:r>
          </w:p>
        </w:tc>
      </w:tr>
      <w:tr>
        <w:trPr>
          <w:trHeight w:val="237"/>
        </w:trPr>
        <w:tc>
          <w:tcPr>
            <w:tcW w:w="64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67,748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66,757</w:t>
            </w: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ASU 2014-09 Topic 606, "Revenue from Contracts with Customers"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1, 2018, the Company adopted Topic 606 using the modified retrospective method and applied its guidance to those contracts which were not completed as of January 1, 2018. Results for reporting periods beginning after January 1, 2018 are presented under Topic 606, while prior period amounts are not adjusted and continue to be reported in accordance with our historical accounting under Topic 605.The Company recorded a net addition to opening equity of $454 as of January 1, 2018 due to the cumulative impact of adopting Topic 606, primarily due to new contract acquisition costs.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adoption of Topic 606 did not have a significant impact on the measurement or recognition of revenues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to the unaudited consolidated financial statements for revenues disaggregated by reportable segments and geography.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and contract liabilities from contracts with customers:</w:t>
      </w:r>
    </w:p>
    <w:p>
      <w:pPr>
        <w:spacing w:after="0" w:line="174"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0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137,150</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135,705</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9,311</w:t>
            </w:r>
          </w:p>
        </w:tc>
      </w:tr>
      <w:tr>
        <w:trPr>
          <w:trHeight w:val="27"/>
        </w:trPr>
        <w:tc>
          <w:tcPr>
            <w:tcW w:w="5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Accounts receivable includes $58,381 and $49,125 as of March 31, 2018 and December 31, 2017, respectively, representing amounts not billed to customers. The Company has accrued the unbilled receivables for work performed in accordance with the terms of contracts with customers and considers no significant performance risk associated with its unbilled receivables.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liabilities represent deferred revenue on account of payments received in advance from customers and are included within current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are recognized as revenue as (or when) we perform under the contract.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recognized in the reporting period that was included in the contract liabilities balance at the beginning of the period is $3,710.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costs</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January 1, 2018, we capitalized $454 as contract acquisition costs related to contracts that were not completed. Further we capitalized an additional $672 and amortized $73 during the three months ended March 31, 2018. There was no impairment loss in relation to costs capitalized. The capitalized costs will be amortized on a straight line basis over the life of contract.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Stock options, restricted stock and restricted stock units that are anti-dilutive are excluded from the computation of weighted average shares outstanding.</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9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23,158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16,788</w:t>
            </w:r>
          </w:p>
        </w:tc>
      </w:tr>
      <w:tr>
        <w:trPr>
          <w:trHeight w:val="27"/>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34,446,265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33,845,560</w:t>
            </w:r>
          </w:p>
        </w:tc>
      </w:tr>
      <w:tr>
        <w:trPr>
          <w:trHeight w:val="27"/>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856,661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1,263,322</w:t>
            </w:r>
          </w:p>
        </w:tc>
      </w:tr>
      <w:tr>
        <w:trPr>
          <w:trHeight w:val="23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35,302,926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35,108,882</w:t>
            </w:r>
          </w:p>
        </w:tc>
      </w:tr>
      <w:tr>
        <w:trPr>
          <w:trHeight w:val="67"/>
        </w:trPr>
        <w:tc>
          <w:tcPr>
            <w:tcW w:w="69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6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0.50</w:t>
            </w:r>
          </w:p>
        </w:tc>
      </w:tr>
      <w:tr>
        <w:trPr>
          <w:trHeight w:val="27"/>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0.48</w:t>
            </w:r>
          </w:p>
        </w:tc>
      </w:tr>
      <w:tr>
        <w:trPr>
          <w:trHeight w:val="225"/>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potentially dilutive shares considered anti-dilutive and not included in</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diluted earnings per share</w:t>
            </w:r>
          </w:p>
        </w:tc>
        <w:tc>
          <w:tcPr>
            <w:tcW w:w="28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452,988</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Restricted Cash</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 of unaudited statements of cash flows, cash, cash equivalents and restricted cash comprise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5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91,700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6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98,048</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Other Income, net</w:t>
            </w:r>
          </w:p>
        </w:tc>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74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mutual funds</w:t>
            </w: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1,783</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6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3,186</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00" w:type="dxa"/>
            <w:vAlign w:val="bottom"/>
          </w:tcPr>
          <w:p>
            <w:pPr>
              <w:spacing w:after="0"/>
              <w:rPr>
                <w:sz w:val="22"/>
                <w:szCs w:val="22"/>
                <w:color w:val="auto"/>
              </w:rPr>
            </w:pPr>
          </w:p>
        </w:tc>
        <w:tc>
          <w:tcPr>
            <w:tcW w:w="15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77,260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77,587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59,325</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38,857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19,667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1,245</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9,184</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211,596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207,318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(141,059)</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67,318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66,259</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under capital leases: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941</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1,818</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67,748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66,757</w:t>
            </w: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property and equipment and cost incurred to develop software not yet ready to be placed in service.</w:t>
      </w:r>
    </w:p>
    <w:p>
      <w:pPr>
        <w:spacing w:after="0" w:line="162"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consolidated statements of income was as follows:</w:t>
      </w:r>
    </w:p>
    <w:p>
      <w:pPr>
        <w:spacing w:after="0" w:line="385"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24765</wp:posOffset>
            </wp:positionV>
            <wp:extent cx="1818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8440"/>
        <w:spacing w:after="0"/>
        <w:tabs>
          <w:tab w:leader="none" w:pos="99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644017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40170" cy="188595"/>
                    </a:xfrm>
                    <a:prstGeom prst="rect">
                      <a:avLst/>
                    </a:prstGeom>
                    <a:noFill/>
                  </pic:spPr>
                </pic:pic>
              </a:graphicData>
            </a:graphic>
          </wp:anchor>
        </w:drawing>
      </w:r>
    </w:p>
    <w:p>
      <w:pPr>
        <w:spacing w:after="0" w:line="41" w:lineRule="exact"/>
        <w:rPr>
          <w:sz w:val="20"/>
          <w:szCs w:val="20"/>
          <w:color w:val="auto"/>
        </w:rPr>
      </w:pPr>
    </w:p>
    <w:p>
      <w:pPr>
        <w:ind w:left="660"/>
        <w:spacing w:after="0"/>
        <w:tabs>
          <w:tab w:leader="none" w:pos="7920" w:val="left"/>
          <w:tab w:leader="none" w:pos="8720" w:val="left"/>
          <w:tab w:leader="none" w:pos="9360" w:val="left"/>
          <w:tab w:leader="none" w:pos="10260" w:val="left"/>
        </w:tabs>
        <w:rPr>
          <w:sz w:val="20"/>
          <w:szCs w:val="20"/>
          <w:color w:val="auto"/>
        </w:rPr>
      </w:pPr>
      <w:r>
        <w:rPr>
          <w:rFonts w:ascii="Times New Roman" w:cs="Times New Roman" w:eastAsia="Times New Roman" w:hAnsi="Times New Roman"/>
          <w:sz w:val="18"/>
          <w:szCs w:val="18"/>
          <w:color w:val="auto"/>
        </w:rPr>
        <w:t>Depreciation and 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6,557</w:t>
        <w:tab/>
        <w:t>$</w:t>
      </w:r>
      <w:r>
        <w:rPr>
          <w:sz w:val="20"/>
          <w:szCs w:val="20"/>
          <w:color w:val="auto"/>
        </w:rPr>
        <w:tab/>
      </w:r>
      <w:r>
        <w:rPr>
          <w:rFonts w:ascii="Times New Roman" w:cs="Times New Roman" w:eastAsia="Times New Roman" w:hAnsi="Times New Roman"/>
          <w:sz w:val="18"/>
          <w:szCs w:val="18"/>
          <w:color w:val="auto"/>
        </w:rPr>
        <w:t>5,874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51435</wp:posOffset>
            </wp:positionV>
            <wp:extent cx="1818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7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Effective January 1, 2017, the depreciation and amortization expenses set forth above includes the effect of foreign exchange gain upon settlement of cash flow hedges, amounting to $151 and $54 for the three months ended March 31, 2018 and 2017, respectively. Refer to Note 16 to the unaudited consolidated financial statements for further details.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8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Cost</w:t>
            </w:r>
          </w:p>
        </w:tc>
        <w:tc>
          <w:tcPr>
            <w:tcW w:w="1600" w:type="dxa"/>
            <w:vAlign w:val="bottom"/>
            <w:tcBorders>
              <w:bottom w:val="single" w:sz="8" w:color="CCEEFF"/>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2,571</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6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976</w:t>
            </w:r>
          </w:p>
        </w:tc>
      </w:tr>
      <w:tr>
        <w:trPr>
          <w:trHeight w:val="27"/>
        </w:trPr>
        <w:tc>
          <w:tcPr>
            <w:tcW w:w="5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Combinations, Goodwill and Intangible Assets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Integrated, Inc.</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December 22, 2017, a wholly owned subsidiary of the Company entered into an Asset Purchase Agreement to acquire substantially all the assets and assumed certain liabilities of Health Integrated, Inc. (“Health Integrated”), a company based in Tampa, Florida. The initial purchase price consisted of $22,577 in cash including working capital adjustment. The purchase agreement allows sellers the ability to earn up to $5,000 as earn-out, based on the achievement of certain performance goals by Health Integrated during the 2018 calendar year. The earn-out was fair valued at $920 as of December 31, 2017. As of March 31, 2018 the earn-out has been fair valued at Nil upon receipt of additional information which existed at the acquisition date, however, was gathered subsequently.</w:t>
      </w:r>
    </w:p>
    <w:p>
      <w:pPr>
        <w:spacing w:after="0" w:line="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portion of the purchase price otherwise payable was placed into escrow as security for the post-closing working capital adjustments and the indemnification obligations under the Asset Purchase Agreement.</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Health Integrated is a Florida-based care management company that provides end-to-end analytics- and behavioral IP-enabled care management services including case management, utilization management, disease management, special needs programs, and multichronic care management on behalf of health plans. Health Integrated serves millions of lives in the Medicaid, Medicare, and dual eligible populations. It is known for its strong capabilities in improving member health status through behavioral change. Accordingly, the Company paid a premium for the acquisition, which is reflected in the goodwill recognized from the purchase price allocation. The acquisition of Health Integrated is included in the Healthcare reportable segment.</w:t>
      </w:r>
    </w:p>
    <w:p>
      <w:pPr>
        <w:spacing w:after="0" w:line="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finalizing its allocation of purchase price to the net tangible and intangible assets. During the three months ended March 31, 2018, the Company gathered additional information subsequent to the closing date that affected the allocation of purchase price.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allocation is based on such additional information gathered:</w:t>
      </w:r>
    </w:p>
    <w:p>
      <w:pPr>
        <w:spacing w:after="0" w:line="187"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5,475</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27"/>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6,760</w:t>
            </w:r>
          </w:p>
        </w:tc>
      </w:tr>
      <w:tr>
        <w:trPr>
          <w:trHeight w:val="27"/>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1,510</w:t>
            </w: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w:t>
            </w:r>
          </w:p>
        </w:tc>
      </w:tr>
      <w:tr>
        <w:trPr>
          <w:trHeight w:val="27"/>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14,229</w:t>
            </w:r>
          </w:p>
        </w:tc>
      </w:tr>
      <w:tr>
        <w:trPr>
          <w:trHeight w:val="25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22,811</w:t>
            </w: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 of goodwill recognized from the Health Integrated acquisition is deductible for tax purposes.</w:t>
      </w:r>
    </w:p>
    <w:p>
      <w:pPr>
        <w:spacing w:after="0" w:line="22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customer relationships from the Health Integrated acquisition are being amortized over the weighted average useful life of 7.0 years and developed technology and trademarks are being amortized over the useful life of 1.0 year and 2.0 years,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details of the Company’s goodwill balance as of March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186,770</w:t>
            </w:r>
          </w:p>
        </w:tc>
      </w:tr>
      <w:tr>
        <w:trPr>
          <w:trHeight w:val="243"/>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15,957</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at December 31, 2017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204,481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Measurement period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5"/>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at March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202,337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8"/>
        <w:spacing w:after="0" w:line="261" w:lineRule="auto"/>
        <w:tabs>
          <w:tab w:leader="none" w:pos="1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of $1,728 that have been identified during the three months ended March 31, 2018 to the provisional amounts of net tangible assets acquired and the earn-out with the corresponding offsets to goodwill. These adjustments are within the measurement period and have been accounted for prospectively. These adjustments did not have a significant impact on the Company’s unaudited consolidated statements of income, balance sheets or cash flows.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2018</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left w:val="single" w:sz="8" w:color="CCEEFF"/>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82,218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109,847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left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(43,667)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48,058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900" w:type="dxa"/>
            <w:vAlign w:val="bottom"/>
            <w:gridSpan w:val="2"/>
          </w:tcPr>
          <w:p>
            <w:pPr>
              <w:spacing w:after="0"/>
              <w:rPr>
                <w:sz w:val="4"/>
                <w:szCs w:val="4"/>
                <w:color w:val="auto"/>
              </w:rPr>
            </w:pPr>
          </w:p>
        </w:tc>
        <w:tc>
          <w:tcPr>
            <w:tcW w:w="3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109,784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(60,826)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48,958</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amortization expense for the period is as follows: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10"/>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9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3,498</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color w:val="auto"/>
              </w:rPr>
              <w:t>The remaining weighted average life of intangible assets is as follows:</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6760" w:type="dxa"/>
            <w:vAlign w:val="bottom"/>
            <w:gridSpan w:val="6"/>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0" w:type="dxa"/>
            <w:vAlign w:val="bottom"/>
            <w:tcBorders>
              <w:right w:val="single" w:sz="8" w:color="CCEEFF"/>
            </w:tcBorders>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5"/>
              </w:rPr>
              <w:t>5.24</w:t>
            </w:r>
          </w:p>
        </w:tc>
        <w:tc>
          <w:tcPr>
            <w:tcW w:w="800" w:type="dxa"/>
            <w:vAlign w:val="bottom"/>
            <w:tcBorders>
              <w:left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benefits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5"/>
              </w:rPr>
              <w:t>1.17</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0" w:type="dxa"/>
            <w:vAlign w:val="bottom"/>
            <w:tcBorders>
              <w:right w:val="single" w:sz="8" w:color="CCEEFF"/>
            </w:tcBorders>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5"/>
              </w:rPr>
              <w:t>3.06</w:t>
            </w:r>
          </w:p>
        </w:tc>
        <w:tc>
          <w:tcPr>
            <w:tcW w:w="800" w:type="dxa"/>
            <w:vAlign w:val="bottom"/>
            <w:tcBorders>
              <w:left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5"/>
              </w:rPr>
              <w:t>1.45</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Borders>
              <w:right w:val="single" w:sz="8" w:color="CCEEFF"/>
            </w:tcBorders>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 (Finite lived)</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5"/>
              </w:rPr>
              <w:t>4.28</w:t>
            </w:r>
          </w:p>
        </w:tc>
        <w:tc>
          <w:tcPr>
            <w:tcW w:w="800" w:type="dxa"/>
            <w:vAlign w:val="bottom"/>
            <w:tcBorders>
              <w:left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0" w:type="dxa"/>
            <w:vAlign w:val="bottom"/>
            <w:tcBorders>
              <w:right w:val="single" w:sz="8" w:color="CCEEFF"/>
            </w:tcBorders>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0" w:type="dxa"/>
            <w:vAlign w:val="bottom"/>
            <w:tcBorders>
              <w:left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240" w:top="117" w:right="519" w:bottom="1440" w:gutter="0" w:footer="0" w:header="0"/>
        </w:sectPr>
      </w:pP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240" w:top="117" w:right="51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amortization of intangible assets during the next twelve months ending March 31,</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thereafter</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 in equity affiliate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12, 2017, the Company acquired preferred stock in Corridor Platform Inc. (“Corridor”), a big data credit risk management platform for $3,000. The Company has determined that based on its ownership interest and other rights, Corridor is an equity affiliate. The Company has the right and option to acquire additional preferred stock from Corridor as per the terms of the agreement. The Company's proportionate share of net loss for the three months ended March 31, 2018 was $56.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1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58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50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c>
          <w:tcPr>
            <w:tcW w:w="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1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100" w:type="dxa"/>
            <w:vAlign w:val="bottom"/>
            <w:tcBorders>
              <w:bottom w:val="single" w:sz="8" w:color="CCEEFF"/>
            </w:tcBorders>
            <w:gridSpan w:val="2"/>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 w:type="dxa"/>
            <w:vAlign w:val="bottom"/>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61,148</w:t>
            </w:r>
          </w:p>
        </w:tc>
        <w:tc>
          <w:tcPr>
            <w:tcW w:w="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non-current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r>
      <w:tr>
        <w:trPr>
          <w:trHeight w:val="264"/>
        </w:trPr>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40" w:type="dxa"/>
            <w:vAlign w:val="bottom"/>
          </w:tcPr>
          <w:p>
            <w:pPr>
              <w:spacing w:after="0"/>
              <w:rPr>
                <w:sz w:val="22"/>
                <w:szCs w:val="22"/>
                <w:color w:val="auto"/>
              </w:rPr>
            </w:pP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16,202</w:t>
            </w:r>
          </w:p>
        </w:tc>
      </w:tr>
      <w:tr>
        <w:trPr>
          <w:trHeight w:val="27"/>
        </w:trPr>
        <w:tc>
          <w:tcPr>
            <w:tcW w:w="7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Changes in the fair values of contracts are recognized in accumulated other comprehensive loss on the Company's consolidated balance sheet until the settlement of those contracts. The balances as of March 31, 2018 and December 31, 2017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cash flow hedges, net of taxes of $3,342 and $4,918, respectively</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11,932</w:t>
            </w:r>
          </w:p>
        </w:tc>
      </w:tr>
      <w:tr>
        <w:trPr>
          <w:trHeight w:val="27"/>
        </w:trPr>
        <w:tc>
          <w:tcPr>
            <w:tcW w:w="6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net of taxes of ($73) and ($74),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763</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(45,710)</w:t>
            </w:r>
          </w:p>
        </w:tc>
      </w:tr>
      <w:tr>
        <w:trPr>
          <w:trHeight w:val="27"/>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March 31, 2018 and December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excludes accounts receivable, accounts payable and accrued expenses for which fair values approximate their carrying amounts.</w:t>
      </w: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2018</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Money market and mutual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154,561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154,561</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154,561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167,801</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162,906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162,906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181,204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 of earn-out consideration</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Represents short-term investments carried on fair value option under ASC 825 “Financial Instruments” as of March 31, 2018 and December 31, 2017.</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Company’s derivative financial instruments consist of foreign currency forward exchange contracts.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for derivative financial instruments are based on independent sources including highly rated financial institutions and are classified as Level 2. Refer to Note 16 to the unaudited consolidated financial statements for further details.</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Fair value of earn-out consideration: </w:t>
      </w:r>
      <w:r>
        <w:rPr>
          <w:rFonts w:ascii="Times New Roman" w:cs="Times New Roman" w:eastAsia="Times New Roman" w:hAnsi="Times New Roman"/>
          <w:sz w:val="18"/>
          <w:szCs w:val="18"/>
          <w:color w:val="auto"/>
        </w:rPr>
        <w:t>The fair value measurement of earn-out consideration is determined using Level 3 inputs.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earn-out consideration represents a component of the total purchase consideration for its acquisition of Health Integrated. The measurement was calculated using unobservable inputs based on the Company’s own assessment of achievement of certain performance goals by Health Integrated during the 2018 calendar year. The earn-out was fair valued at $920 as of December 31, 2017. As of March 31, 2018, the earn-out has been fair valued at Nil upon receipt of additional information which existed at the acquisition date, however, was gathered subsequently.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Derivatives and Hedge Accounting</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 foreign exchange contracts that are designated as effective hedges and that qualify as cash flow hedges under ASC 815. The Company had outstanding cash flow hedges totaling $356,220 as of March 31, 2018 and $300,757 as of December 31, 2017.</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net of tax, until the hedged transactions occurs. The Company early adopted ASU 2017-12, Derivative and Hedging (Topic 815), Targeted Improvements to Accounting for Hedging Activities. Pursuant to this adoption, effective January 1, 2017, the resultant foreign exchange gain/(loss) are recorded along with the underlying hedged item in the same line of consolidated statements of income as either part of “Cost of revenues”, “General and administrative expenses”, “Selling and marketing expenses”, “Depreciation and amortization”, as applicable.</w:t>
      </w:r>
    </w:p>
    <w:p>
      <w:pPr>
        <w:spacing w:after="0" w:line="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Prior to January 1, 2017, the resultant foreign exchange gain/(loss) on settlement of cash flow hedges and changes in the fair value of cash flow hedges deemed ineffective were recorded in “Foreign exchange gain, net” in the consolidated statements of income.</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$107,480 and GBP 16,976 as of March 31, 2018 and amounted to $98,967 and GBP 17,947 as of December 31, 2017.</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estimates that approximately $6,742 of net derivative gains included in accumulated other comprehensive loss (“AOCI”) could be reclassified into earnings within the next twelve months based on exchange rates prevailing as of March 31, 2018. At March 31, 2018, the maximum outstanding term of the cash flow hedges was 45 months.</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420"/>
          </w:cols>
          <w:pgMar w:left="240" w:top="117" w:right="239" w:bottom="1440" w:gutter="0" w:footer="0" w:header="0"/>
        </w:sectPr>
      </w:pP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47625</wp:posOffset>
            </wp:positionV>
            <wp:extent cx="2701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March 31, 2018</w:t>
      </w:r>
      <w:r>
        <w:rPr>
          <w:sz w:val="20"/>
          <w:szCs w:val="20"/>
          <w:color w:val="auto"/>
        </w:rPr>
        <w:tab/>
      </w:r>
      <w:r>
        <w:rPr>
          <w:rFonts w:ascii="Times New Roman" w:cs="Times New Roman" w:eastAsia="Times New Roman" w:hAnsi="Times New Roman"/>
          <w:sz w:val="16"/>
          <w:szCs w:val="16"/>
          <w:b w:val="1"/>
          <w:bCs w:val="1"/>
          <w:color w:val="auto"/>
        </w:rPr>
        <w:t>December 31, 2017</w:t>
      </w:r>
    </w:p>
    <w:p>
      <w:pPr>
        <w:spacing w:after="0" w:line="55" w:lineRule="exact"/>
        <w:rPr>
          <w:sz w:val="20"/>
          <w:szCs w:val="20"/>
          <w:color w:val="auto"/>
        </w:rPr>
      </w:pPr>
    </w:p>
    <w:p>
      <w:pPr>
        <w:sectPr>
          <w:pgSz w:w="11900" w:h="16838" w:orient="portrait"/>
          <w:cols w:equalWidth="0" w:num="2">
            <w:col w:w="6360" w:space="720"/>
            <w:col w:w="434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800" w:type="dxa"/>
            <w:vAlign w:val="bottom"/>
            <w:vMerge w:val="restart"/>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1"/>
                <w:szCs w:val="21"/>
                <w:color w:val="auto"/>
              </w:rPr>
            </w:pPr>
          </w:p>
        </w:tc>
        <w:tc>
          <w:tcPr>
            <w:tcW w:w="8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47625</wp:posOffset>
            </wp:positionV>
            <wp:extent cx="656018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March 31, 2018</w:t>
      </w:r>
      <w:r>
        <w:rPr>
          <w:sz w:val="20"/>
          <w:szCs w:val="20"/>
          <w:color w:val="auto"/>
        </w:rPr>
        <w:tab/>
      </w:r>
      <w:r>
        <w:rPr>
          <w:rFonts w:ascii="Times New Roman" w:cs="Times New Roman" w:eastAsia="Times New Roman" w:hAnsi="Times New Roman"/>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47625</wp:posOffset>
            </wp:positionV>
            <wp:extent cx="2701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6360" w:space="720"/>
            <w:col w:w="434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26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100" w:type="dxa"/>
            <w:vAlign w:val="bottom"/>
            <w:vMerge w:val="restart"/>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22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unaudited consolidated statements of income and accumulated other comprehensive loss for the three months ended March 31, 2018 and 2017:</w:t>
      </w: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47"/>
        </w:trPr>
        <w:tc>
          <w:tcPr>
            <w:tcW w:w="6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1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Forward Exchange Contracts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47"/>
        </w:trPr>
        <w:tc>
          <w:tcPr>
            <w:tcW w:w="6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AOCI</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6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 of income</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7"/>
        </w:trPr>
        <w:tc>
          <w:tcPr>
            <w:tcW w:w="6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62" w:lineRule="exact"/>
        <w:rPr>
          <w:sz w:val="20"/>
          <w:szCs w:val="20"/>
          <w:color w:val="auto"/>
        </w:rPr>
      </w:pPr>
    </w:p>
    <w:p>
      <w:pPr>
        <w:ind w:left="720" w:right="1440"/>
        <w:spacing w:after="0" w:line="301"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wp:posOffset>
            </wp:positionV>
            <wp:extent cx="6380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47625</wp:posOffset>
            </wp:positionV>
            <wp:extent cx="3533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160" w:type="dxa"/>
            <w:vAlign w:val="bottom"/>
          </w:tcPr>
          <w:p>
            <w:pPr>
              <w:spacing w:after="0"/>
              <w:rPr>
                <w:sz w:val="18"/>
                <w:szCs w:val="18"/>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As per unaudited</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(Gain)/loss on</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foreign currency</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exchange</w:t>
            </w:r>
          </w:p>
        </w:tc>
      </w:tr>
      <w:tr>
        <w:trPr>
          <w:trHeight w:val="212"/>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contracts</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(gain)/loss was reclassed from AOCI</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138,101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119,072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67"/>
        </w:trPr>
        <w:tc>
          <w:tcPr>
            <w:tcW w:w="4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324"/>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Borrowings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October 24, 2014, the Company entered into a credit agreement that provided for a $50,000 revolving credit facility (the “Credit Facility”). On February 23, 2015, the Company increased the commitments under the Credit Facility by up to an additional $50,000. The Credit Facility had a maturity date of October 24, 2019 and was voluntarily pre-payable from time to time without premium or penalty. On November 21, 2017, the Company prepaid all outstanding amounts, including accrued interest and fees, and terminated all commitments, under the Credit Agreement. The Credit Facility carried an effective interest rate of 2.5% per annum during the three months ended March 31, 2017.</w:t>
      </w:r>
    </w:p>
    <w:p>
      <w:pPr>
        <w:sectPr>
          <w:pgSz w:w="11900" w:h="16838" w:orient="portrait"/>
          <w:cols w:equalWidth="0" w:num="1">
            <w:col w:w="11420"/>
          </w:cols>
          <w:pgMar w:left="240" w:top="117"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21, 2017, the Company and each of the Company’s wholly owned material domestic subsidiaries entered into a Credit Agreement with certain lenders, and Citibank, N.A. as Administrative Agent (the “New Credit Agreement”). The New Credit Agreement provides for a $200,000 revolving credit facility (the “New Credit Facility”) with an option to increase the commitments by up to $100,000, subject to certain approvals and conditions as set forth in the New Credit Agreement. The New Credit Agreement also includes a letter of credit sub facility. The New Credit Facility has a maturity date of November 21, 2022 and is voluntarily pre-payable from time to time without premium or penalty. Borrowings under the New Credit Agreement were used to repay amounts outstanding under the Credit Facility and may otherwise be used for working capital and general corporate purposes, including permitted acquisitions.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Depending on the type of borrowing, loans under the New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New Credit Agreement are subject to a commitment fee, which is also tied to the Company’s total net leverage ratio, and ranges from 0.15%to 0.30% per annum on the average daily amount by which the aggregate revolving commitments exceed the sum of outstanding revolving loans and letter of credit obligations. The New Credit Facility carried an effective interest rate of 3.3% per annum during the three months ended March 31, 2018.</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New Credit Agreement are guaranteed by the Company’s material domestic subsidiaries and are secured by all or substantially all of the assets of the Company and our material domestic subsidiaries. The New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March 31, 2018, the Company was in compliance with all financial and non-financial covenants listed under the New Credit Agreement.</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2018, we had outstanding debt of $67,000, which is included under "long-term borrowings" in the unaudited consolidated balance sheets. As of December 31, 2017, we had an outstanding debt of $60,000, of which $10,000 was included under "current portion of long-term borrowings" and the balance of $50,000 was included under "long-term borrowings" in the consolidated balance sheets.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New Credit Agreement, the Company incurred issuance costs of $790, which are deferred and amortized as an adjustment to interest expense over the term of the New Credit Facility. The unamortized debt issuance costs as of March 31, 2018 and December 31, 2017 was $733 and $773, respectively, and is included under "other current assets" and “other assets” in the unaudited consolidated balance sheets.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Borrowings also includes structured payables which are in the nature of debt, amounting to $673, of which $318 and $355 is included under "current portion of long-term borrowings" and "long-term borrowings", respectively, in the unaudited consolidated balance sheet as of March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2018 and 2017, the Company acquired 41,811 and 62,784 shares of common stock, respectively, from employees in connection with withholding tax payments related to the vesting of restricted stock for a total consideration of $2,565 and $2,913, respectively. The weighted average purchase price per share of $61.34 and $46.39, respectively, was the average of the high and low price of the Company's share of common stock on the Nasdaq Global Select Market on the trading day prior to the vesting date of the shares of restricted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2018, the Company purchased 182,182 shares of its common stock, for an aggregate purchase price of approximately $10,939, including commissions, representing an average purchase price per share of $60.05 under the 2017 Repurchase Program.</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the Company purchased 193,962 shares of its common stock for an aggregate purchase price of $9,000, including commissions, representing an average purchase price per share of $46.40 under the 2014 and 2017 Repurchase Programs.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Board of Directors designates that these shares be retired or used for other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Employee Benefit Plans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484</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1, 2018, the Company adopted ASU 2017-07, Improving the Presentation of Net Periodic Pension Cost and Net Periodic Postretirement Benefit Cost. Pursuant to this, the Company presented service cost separately from other components of net periodic costs for all periods presented. The interest cost, expected return on plan assets and amortization of actuarial (gain)/loss, have been reclassified from “Cost of revenues”, “General and administrative expenses” and “Selling and marketing expenses” to “Other income, net”.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 of the retrospective presentation change related to the net periodic cost of our defined benefit Gratuity Plan on applicable lines of our unaudited consolidated statements of income was as follows -</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7"/>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Three months ended March 31, 2017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Previously</w:t>
            </w:r>
          </w:p>
        </w:tc>
        <w:tc>
          <w:tcPr>
            <w:tcW w:w="200" w:type="dxa"/>
            <w:vAlign w:val="bottom"/>
          </w:tcPr>
          <w:p>
            <w:pPr>
              <w:spacing w:after="0"/>
              <w:rPr>
                <w:sz w:val="18"/>
                <w:szCs w:val="18"/>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Effect of change</w:t>
            </w:r>
          </w:p>
        </w:tc>
        <w:tc>
          <w:tcPr>
            <w:tcW w:w="0" w:type="dxa"/>
            <w:vAlign w:val="bottom"/>
          </w:tcPr>
          <w:p>
            <w:pPr>
              <w:spacing w:after="0"/>
              <w:rPr>
                <w:sz w:val="1"/>
                <w:szCs w:val="1"/>
                <w:color w:val="auto"/>
              </w:rPr>
            </w:pPr>
          </w:p>
        </w:tc>
      </w:tr>
      <w:tr>
        <w:trPr>
          <w:trHeight w:val="104"/>
        </w:trPr>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200" w:type="dxa"/>
            <w:vAlign w:val="bottom"/>
          </w:tcPr>
          <w:p>
            <w:pPr>
              <w:spacing w:after="0"/>
              <w:rPr>
                <w:sz w:val="9"/>
                <w:szCs w:val="9"/>
                <w:color w:val="auto"/>
              </w:rPr>
            </w:pPr>
          </w:p>
        </w:tc>
        <w:tc>
          <w:tcPr>
            <w:tcW w:w="152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Higher/(Lower)</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in unaudited consolidated statements of income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119,072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119,182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Adjusted for the impact of adoption of ASU 2017-12. Refer to Note 16 of the unaudited consolidated financial statements.</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7.8% on these Gratuity Plans for the three months ended March 31, 2018.</w:t>
      </w:r>
    </w:p>
    <w:p>
      <w:pPr>
        <w:spacing w:after="0" w:line="126"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January 1, 2018</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6,915</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March 31, 2018</w:t>
            </w:r>
          </w:p>
        </w:tc>
        <w:tc>
          <w:tcPr>
            <w:tcW w:w="7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6,572</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Accruals and contributions to the 401(k) Plans amounting to $1,230 and $1,068 were made during the three months ended March 31, 2018 and 2017, respectively.</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2018 and 2017, the Company contributed $1,914 and $1,713, respectively, for various defined contribution plans on behalf of its employees in India, the Philippines, Bulgaria, Romania, the Czech Republic, South Africa, Colombia, and Singapore.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Leases</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finances its use of certain motor vehicles and other equipment under various lease arrangements provided by financial institutions. Future minimum lease payments under these capital leases as of March 31, 2018 are as follows:</w:t>
      </w:r>
    </w:p>
    <w:p>
      <w:pPr>
        <w:spacing w:after="0" w:line="216"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next twelve months ending March 31,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Future minimum lease payments under such agreements expiring after March 31, 2018 are set forth below:</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next twelve months ending March 31,</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thereafter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26,260</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Rent expense</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operating leases are subject to renewal periodically and have scheduled rent increases. The Company recognizes rent expense on such leases on a straight-line basis over cancelable and non-cancelable lease period determined under ASC topic 840, Leases: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6,422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rent</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3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Cancelable and non-cancelable 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4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8,959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Deferred rent is included under “Accrued expenses and other current liabilities” and “Other non-current liabilities” in the unaudited consolidated balance sheets.</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recorded income tax (benefit)/expense of $(4,453) and $3,560 for the three months ended March 31, 2018 and 2017, respectively. The effective tax rate decreased from 17.5% during the three months ended March 31, 2017 to (23.7%) during the three months ended March 31, 2018 primarily as a result of: (i) an adjustment of $4,836 reducing the provisional transition tax on the mandatory deemed repatriation of accumulated earnings and profits ("E&amp;P") of foreign subsidiaries recognized during the year-ended December 31, 2017, (ii) a reduction in the U.S. federal corporate tax rate from 35.0% to 21.0% effective January 1, 2018, and (iii) excess tax benefits related to stock awards of $4,827 pursuant to ASU No. 2016-09 during the three months ended March 31, 2018 compared to $2,057 during the three months ended March 31, 2017.</w:t>
      </w:r>
    </w:p>
    <w:p>
      <w:pPr>
        <w:spacing w:after="0" w:line="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SEC staff issued Staff Accounting Bulletin ("SAB 118"), which provides guidance on accounting for the tax effects of the U.S. Tax Cuts and Jobs Act of 2017 (the “Tax Reform Act”). SAB 118 provides a measurement period that should not extend beyond one year from the Tax Reform Act enactment date for companies to complete the accounting under ASC 740. In accordance with SAB 118, a company must reflect the income tax effects of those aspects of the Tax Reform Act for which the accounting under ASC 740 is complete. To the extent that a company’s accounting for certain income tax effects of the Tax Reform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Reform Act.</w:t>
      </w:r>
    </w:p>
    <w:p>
      <w:pPr>
        <w:spacing w:after="0" w:line="8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deemed repatriation transition tax (the “Transition Tax”) is a tax on certain previously untaxed accumulated and current E&amp;P of the Company's foreign subsidiaries. The Company was able to reasonably estimate the Transition Tax and recorded an initial provisional Transition Tax obligation of $27,236, with a corresponding adjustment of $27,236 to income tax expense for the year ended December 31, 2017. On the basis of additional technical research and analysis, the Company recognized a measurement-period reduction of $4,836 to the Transition Tax obligation, with a corresponding adjustment of $4,836 to the income tax expense during the three months ended March 31, 2018. As of March 31, 2018 total Transition Tax obligation of $22,400 has been recorded, with a corresponding adjustment of $22,400 to the income tax expense. However, the Company continues to gather additional information to more precisely compute the amount of the Transition Tax, and its accounting for this item is not yet complete because of, among other things, changes in the interpretations and assumptions, additional guidance that may be issued by the Internal Revenue Service ("I.R.S."), and actions the Company may take. The Company expects to complete its accounting within the prescribed measurement period.</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noted at year-end, the Company was able to reasonably estimate and record provisional adjustments associated with the corporate rate change in the amount of $1,949. The Company has not made any additional measurement period adjustment related to this item during the quarter because it continues to evaluate potential method changes and implications of certain provisions of the Act, as well as additional guidance provided by the tax authorities. The Company continues to gather additional information and expects to complete its accounting within the prescribed measurement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Stock-Based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plans are included in the unaudited consolidated statements of income:</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3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7"/>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2018, the Company had 912,584 shares available for grant under the 2015 Plan.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Weighted Avg</w:t>
            </w:r>
          </w:p>
        </w:tc>
        <w:tc>
          <w:tcPr>
            <w:tcW w:w="24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86"/>
        </w:trPr>
        <w:tc>
          <w:tcPr>
            <w:tcW w:w="560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259,563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234,563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2018</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234,563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compensation cost for unvested options as of March 31, 2018 is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stock-based compensation plans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9"/>
        </w:trPr>
        <w:tc>
          <w:tcPr>
            <w:tcW w:w="54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54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182,267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1,046,999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49.44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2018*</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1,024,078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6"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March 31, 2018 and December 31, 2017 restricted stock units vested for which the underlying common stock is yet to be issued are 148,337 and 146,112, respectively.</w:t>
      </w:r>
    </w:p>
    <w:p>
      <w:pPr>
        <w:spacing w:after="0" w:line="218" w:lineRule="exact"/>
        <w:rPr>
          <w:rFonts w:ascii="Times New Roman" w:cs="Times New Roman" w:eastAsia="Times New Roman" w:hAnsi="Times New Roman"/>
          <w:sz w:val="16"/>
          <w:szCs w:val="16"/>
          <w:i w:val="1"/>
          <w:iCs w:val="1"/>
          <w:color w:val="auto"/>
        </w:rPr>
      </w:pPr>
    </w:p>
    <w:p>
      <w:pPr>
        <w:ind w:left="44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As of March 31, 2018, unrecognized compensation cost of $50,335 is expected to be expensed over a weighted average period of 2.94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 based restricted stock unit (the “PRSUs”) activity under the Company’s stock-based compensation plans is shown below:</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47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2018</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168,458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2018, unrecognized compensation cost of $12,137 is expected to be expensed over a weighted average period of 2.25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Related Party Disclosures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consulting services to PharmaCord, LLC. One of the Company’s directors, Nitin Sahney, is the member-manager and chief executive officer of PharmaCord, LLC. The Company recognized revenue of $199 and $477 in the three months ended March 31, 2018 and 2017, respectively, for services provided.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2018 and December 31, 2017, the Company had accounts receivable of $8 and $140, respectively, related to these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March 31, 2018, the Company has committed to spend approximately $6,852 under agreements to purchase fixed assets. This amount is net of capital advances paid in respect of these purchases.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aggregate disputed amount demanded by Indian tax authorities from the Company primarily related to its transfer pricing issues for years ranging from tax years 2003 to 2014 and its permanent establishment issues ranging from tax years 2003 to 2007 as of March 31, 2018 and December 31, 2017 is $17,706 and $18,065, respectively, of which the Company has made payments or provided bank guarantee to the extent $8,742 and $8,573, respectively. Amounts paid as deposits in respect of such assessments aggregating to $6,709 and $6,499 as of March 31, 2018 and December 31, 2017, respectively, are included in “Other assets” and amounts for bank guarantees aggregating to $2,033 and $2,074 as of March 31, 2018 and December 31, 2017, respectively, are included in “Restricted cash” in the non-current assets section of the Company’s consolidated balance sheets as of March 31, 2018 and December 31, 2017.</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The Company does not expect any impact from these assessments on its future income tax expense. It is possible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might receive similar orders or assessments from tax authorities for subsequent years. Accordingly even if these disputes are resolved, the Indian tax authorities may still serve additional orders or assessments.</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March 2017, the Company was named in a putative class action lawsuit filed in California, which included several causes of action seeking damages but did not include a monetary demand. The Company filed its answer in April 2017 vigorously denying the allegations. Both parties agreed to participate in a court-approved mediation which occurred in March 2018. The parties reached an agreement in principle whereby the Company, without any admission of wrongdoing or liability, would pay $2,400 to settle the litigation, which amount has been accrued under “General and administrative expenses” for the three months ended March 31, 2018. The agreement remains subject to final court approval, which is expected to occur in the fourth quarter of 2018 although there can be no guarantee as to approval or timing.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28, 2018, the Company entered into an Agreement of Merger (the “Merger Agreement”) for the acquisition of SCIOInspire Holdings Inc. (“SCIO”), a West Hartford CT-based healthcare analytics solution and services company. The acquisition would combine the Company’s healthcare and analytics businesses with SCIO’s healthcare analytics solutions and services. SCIO generates revenues from two healthcare areas, payment integrity and care optimization. The aggregate merger consideration is $240,000, subject to adjustment based on, among other things, SCIO’s cash, debt, working capital position and other adjustments set forth in the Merger Agreement. The Company intends to fund the purchase consideration with available cash on hand and borrowing from its credit facility. The acquisition is expected to close in the next three months, subject to the fulfillment of certain closing conditions, including regulatory and other customary consents.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2017. Some of the statements in the following discussion are forward looking statements. Dollar amounts within Item 2 are presented as actual, approximated, dollar amounts.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81" w:lineRule="exact"/>
        <w:rPr>
          <w:sz w:val="20"/>
          <w:szCs w:val="20"/>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including in a timely manner;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senior management team;</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decisions regarding repatriation of funds held abroad;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service debt or obtain additional financing on favorable terms;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contracts;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customer data; and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2017. These and other risks could cause actual results to differ materially from those implied by forward-looking statements in this Quarterly Report on Form 10-Q.</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3"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 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the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right="780" w:hanging="327"/>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our remaining operating segments including our banking and financial services, utilities and consulting operating segments).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Consistent with our growth strategy, on December 22, 2017, we acquired substantially all of the assets and assumed certain liabilities related thereto of Health Integrated, Inc. (“Health Integrated”).</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acquisition of Health Integrated is included in the Healthcare reportable segment. Health Integrated is a Florida based care management company that provides end-to-end analytics- and behavioral IP-enabled care management services including case management, utilization management, disease management, special needs programs, and multi-chronic care management on behalf of health plans. Health Integrated serves millions of lives in the Medicaid, Medicare, and dual eligible populations.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we had revenues of $207.0 million compared to revenues of $183.0 million for the three months ended March 31, 2017, an increase of $24.0 million, or 13.1%.</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serve clients mainly in the U.S. and the U.K., with these two regions generating 82.7% and 13.5%, respectively, of our total revenues for the three months ended March 31, 2018, and 82.1% and 14.2%, respectively, of our revenues for the three months ended March 31, 2017.</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and 2017, our total revenues from our top ten clients accounted for 39.6% and 38.8%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3"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Operations Management Services</w:t>
      </w:r>
      <w:r>
        <w:rPr>
          <w:rFonts w:ascii="Times New Roman" w:cs="Times New Roman" w:eastAsia="Times New Roman" w:hAnsi="Times New Roman"/>
          <w:sz w:val="18"/>
          <w:szCs w:val="18"/>
          <w:color w:val="auto"/>
        </w:rPr>
        <w:t>: We provide our clients with a range of operations management services principally in the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Our Analytics services focus on driving improved business outcomes for our customers by generating data-driven insights across all parts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18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2017. For Revenue Recognition refer to Note 2 to the unaudited consolidated financial statements contained herein.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3"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2018 and 2017:</w:t>
      </w:r>
    </w:p>
    <w:p>
      <w:pPr>
        <w:spacing w:after="0" w:line="273"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56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3"/>
              </w:rPr>
              <w:t>207.0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3"/>
              </w:rPr>
              <w:t>138.1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7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68.9</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63.9</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7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(benefit)/expense</w:t>
            </w:r>
          </w:p>
        </w:tc>
        <w:tc>
          <w:tcPr>
            <w:tcW w:w="2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7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2780" w:type="dxa"/>
            <w:vAlign w:val="bottom"/>
          </w:tcPr>
          <w:p>
            <w:pPr>
              <w:spacing w:after="0"/>
              <w:rPr>
                <w:sz w:val="20"/>
                <w:szCs w:val="20"/>
                <w:color w:val="auto"/>
              </w:rPr>
            </w:pPr>
          </w:p>
        </w:tc>
        <w:tc>
          <w:tcPr>
            <w:tcW w:w="78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23.2</w:t>
            </w:r>
          </w:p>
        </w:tc>
        <w:tc>
          <w:tcPr>
            <w:tcW w:w="2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780" w:type="dxa"/>
            <w:vAlign w:val="bottom"/>
            <w:vMerge w:val="restart"/>
          </w:tcPr>
          <w:p>
            <w:pPr>
              <w:jc w:val="right"/>
              <w:ind w:right="2416"/>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33" w:right="5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2018 Compared to Three Months Ended March 31, 2017</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 for the three months ended March 31, 2018 and 2017:</w:t>
      </w:r>
    </w:p>
    <w:p>
      <w:pPr>
        <w:spacing w:after="0" w:line="3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380" w:type="dxa"/>
        <w:tblCellMar>
          <w:top w:w="0" w:type="dxa"/>
          <w:left w:w="0" w:type="dxa"/>
          <w:bottom w:w="0" w:type="dxa"/>
          <w:right w:w="0" w:type="dxa"/>
        </w:tblCellMar>
      </w:tblP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vMerge w:val="restart"/>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9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160" w:type="dxa"/>
            <w:vAlign w:val="bottom"/>
            <w:tcBorders>
              <w:top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207.0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183.0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for the three months ended March 31, 2018 were $207.0 million, up $24.0 million or 13.1%,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99"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Revenue growth in Insurance of $8.0 million was driven by expansion of business from our new and existing clients of $7.3 million. The remaining increase of $0.7 million was attributable to the net impact of the appreciation of the South African Rand and Indian rupee against the U.S. dollar during the three months ended March 31, 2018 compared to the three months ended March 31, 2017. Insurance revenues were 30.9% and 30.6% of our total revenues in the three months ended March 31, 2018 compared to the three months ended March 31, 2017, respectively.</w:t>
      </w:r>
    </w:p>
    <w:p>
      <w:pPr>
        <w:spacing w:after="0" w:line="72"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Revenue growth in Healthcare of $3.9 million was primarily driven by our acquisition of Health Integrated in 2017 contributing $6.4 million. This was offset by lower revenues of $2.5 million due to the termination of client contracts. Healthcare revenues were 11.0% and 10.3% of our total revenues in the three months ended March 31, 2018 compared to the three months ended March 31, 2017, respectively.</w:t>
      </w:r>
    </w:p>
    <w:p>
      <w:pPr>
        <w:spacing w:after="0" w:line="68"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Revenue growth in Travel, Transportation and Logistics ("TT&amp;L") of $0.4 million was primarily driven by net volume increases from our new and existing clients. TT&amp;L revenues were 8.5% and 9.3% of our total revenues in three months ended March 31, 2018 compared to the three months ended March 31, 2017, respectively.</w:t>
      </w:r>
    </w:p>
    <w:p>
      <w:pPr>
        <w:spacing w:after="0" w:line="68"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Revenue growth in Finance and Accounting ("F&amp;A") of $3.0 million was driven by net volume increases from our new and existing clients of $2.5 million. The remaining increase of $0.5 million was due to the net impact of the appreciation of the Indian rupee against the U.S. dollar during the three months ended March 31, 2018 compared to the three months ended March 31, 2017. F&amp;A revenues were 11.6% and 11.5% of our total revenues in the three months ended March 31, 2018 compared to the three months ended March 31, 2017, respectively.</w:t>
      </w:r>
    </w:p>
    <w:p>
      <w:pPr>
        <w:spacing w:after="0" w:line="72" w:lineRule="exact"/>
        <w:rPr>
          <w:sz w:val="20"/>
          <w:szCs w:val="20"/>
          <w:color w:val="auto"/>
        </w:rPr>
      </w:pPr>
    </w:p>
    <w:p>
      <w:pPr>
        <w:jc w:val="both"/>
        <w:ind w:firstLine="554"/>
        <w:spacing w:after="0" w:line="258" w:lineRule="auto"/>
        <w:rPr>
          <w:sz w:val="20"/>
          <w:szCs w:val="20"/>
          <w:color w:val="auto"/>
        </w:rPr>
      </w:pPr>
      <w:r>
        <w:rPr>
          <w:rFonts w:ascii="Times New Roman" w:cs="Times New Roman" w:eastAsia="Times New Roman" w:hAnsi="Times New Roman"/>
          <w:sz w:val="18"/>
          <w:szCs w:val="18"/>
          <w:color w:val="auto"/>
        </w:rPr>
        <w:t>Revenue growth in All Other of $0.6 million was driven by higher revenues in the Consulting operating segment, fully offset by lower revenue in our Banking and Financial Services and Utilities operating segments aggregating to an overall flat revenues. The revenues increased by $0.6 million due to the appreciation of the Indian rupee against the U.S. dollar during the three months ended March 31, 2018 compared to the three months ended March 31, 2017. All Other revenues were 10.5% and 11.5% of our total revenues in the three months ended March 31, 2018 compared to the three months ended March 31, 2017, respectively.</w:t>
      </w:r>
    </w:p>
    <w:p>
      <w:pPr>
        <w:spacing w:after="0" w:line="76"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Revenue growth in Analytics of $8.1 million was driven by our recurring and project based engagements from our new and existing clients of $7.8 million. The remaining increase of $0.3 million was due to the net impact of the appreciation of U.K. pound sterling against U.S. dollar during the three months ended March 31, 2018 compared to the three months ended March 31, 2017. Analytics revenues were 27.6% and 26.8% of our total revenues in the three months ended March 31, 2018 compared to the three months ended March 31, 2017,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3"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22"/>
                <w:szCs w:val="2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3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0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vMerge w:val="restart"/>
          </w:tcPr>
          <w:p>
            <w:pPr>
              <w:spacing w:after="0"/>
              <w:rPr>
                <w:sz w:val="5"/>
                <w:szCs w:val="5"/>
                <w:color w:val="auto"/>
              </w:rPr>
            </w:pPr>
          </w:p>
        </w:tc>
        <w:tc>
          <w:tcPr>
            <w:tcW w:w="84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cost of revenues was $138.1 million compared to $119.1 million for the three months ended March 31, 2017, an increase of $19.0 million, or 16.0%. Our gross margin for the three months ended March 31, 2018 was 33.3% compared to 34.9% for three months ended March 31, 2017, a decrease of 160 basis points (“bps”).</w:t>
      </w:r>
    </w:p>
    <w:p>
      <w:pPr>
        <w:spacing w:after="0" w:line="68" w:lineRule="exact"/>
        <w:rPr>
          <w:sz w:val="20"/>
          <w:szCs w:val="20"/>
          <w:color w:val="auto"/>
        </w:rPr>
      </w:pPr>
    </w:p>
    <w:p>
      <w:pPr>
        <w:jc w:val="both"/>
        <w:ind w:firstLine="554"/>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Insurance of $4.4 million was primarily due to an increase in employee-related costs of $2.5 million on account of higher headcount and wage inflation, technology and infrastructure costs of $0.4 million, travel costs of $0.6 million and other operating costs of $0.6 million. There was a net increase of $0.2 million due to foreign exchange gains and losses on settlement of cash flow hedges during the three months ended March 31, 2018 compared to the three months ended March 31, 2017. Gross margin in Insurance increased by 160 bps during the three months ended March 31, 2018 compared to the three months ended March 31, 2017, primarily due to higher revenues and margin expansion in existing clients.</w:t>
      </w:r>
    </w:p>
    <w:p>
      <w:pPr>
        <w:spacing w:after="0" w:line="76"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Healthcare of $4.9 million was primarily due to an increase in employee-related costs of $3.9 million on account of our acquisition of Health Integrated in 2017 and higher technology and infrastructure costs of $1.0 million. Gross margin in Healthcare decreased by 1,060 bps during the three months ended March 31, 2018 compared to the three months ended March 31, 2017, primarily due to the impact of acquisition of Health Integrated and the termination of client contracts.</w:t>
      </w:r>
    </w:p>
    <w:p>
      <w:pPr>
        <w:spacing w:after="0" w:line="72"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in TT&amp;L of $0.4 million was primarily due to an increase in technology and infrastructure costs of $0.3 million during the three months ended March 31, 2018 compared to the three months ended March 31, 2017. Gross margin in TT&amp;L decreased by 20 bps during the three months ended March 31, 2018 compared to the three months ended March 31, 2017.</w:t>
      </w:r>
    </w:p>
    <w:p>
      <w:pPr>
        <w:spacing w:after="0" w:line="68"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F&amp;A of $2.3 million was primarily due to an increase in employee-related costs of $1.4 million on account of higher headcount and wage inflation, and technology and infrastructure costs of $0.5 million and travel costs of $0.2 million and other operating costs of $0.1 million. Gross margin in F&amp;A decreased by 230 bps during the three months ended March 31, 2018 compared to the three months ended March 31, 2017, primarily due to higher operating expenses associated with the initiation of services for new clients.</w:t>
      </w:r>
    </w:p>
    <w:p>
      <w:pPr>
        <w:spacing w:after="0" w:line="72"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All Other of $0.7 million was primarily due to an increase in employee-related costs of $0.3 million on account of higher headcount and wage inflation, travel cost of $0.2 million and foreign exchange losses of $0.3 million. Gross margin in All Other decreased by 170 bps during the three months ended March 31, 2018 compared to the three months ended March 31, 2017, primarily due to lower revenues in our Banking and Financial Services and Utilities operating segments.</w:t>
      </w:r>
    </w:p>
    <w:p>
      <w:pPr>
        <w:spacing w:after="0" w:line="72" w:lineRule="exact"/>
        <w:rPr>
          <w:sz w:val="20"/>
          <w:szCs w:val="20"/>
          <w:color w:val="auto"/>
        </w:rPr>
      </w:pPr>
    </w:p>
    <w:p>
      <w:pPr>
        <w:jc w:val="both"/>
        <w:ind w:firstLine="554"/>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Analytics of $6.3 million was primarily due to an increase in employee-related costs of $3.8 million on account of higher headcount and wage inflation, and an increase in technology and infrastructure costs of $0.7 million, travel costs of $0.4 million and other operating costs of $1.0 million. There was an increase of $0.3 million due to foreign exchange gains and losses on settlement of cash flow hedges during the three months ended March 31, 2018 compared to the three months ended March 31, 2017. Gross margin in Analytics decreased by 190 bps during the three months ended March 31, 2018 compared to the three months ended March 31, 2017, primarily due to higher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3"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9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5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56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The increase in SG&amp;A expenses of $5.9 million was primarily due to an increase in employee-related costs and other operating expenses of $2.4 million related to our Health Integrated acquisition in 2017 and an increase of $2.4 million due to the recognition of a claim for litigation settlement during the three months ended March 31, 2018. There was a further increase of $1.0 million due to continued investments in strategic initiatives, product development, digital technology, advance automation and robotics.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28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680" w:type="dxa"/>
            <w:vAlign w:val="bottom"/>
          </w:tcPr>
          <w:p>
            <w:pPr>
              <w:spacing w:after="0"/>
              <w:rPr>
                <w:sz w:val="5"/>
                <w:szCs w:val="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6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28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tcBorders>
              <w:bottom w:val="single" w:sz="8" w:color="CCEEFF"/>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2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20" w:type="dxa"/>
            <w:vAlign w:val="bottom"/>
            <w:tcBorders>
              <w:bottom w:val="single" w:sz="8" w:color="CCEEFF"/>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The increase in intangibles amortization expense of $0.4 million was primarily due to amortization of intangibles associated with our Health Integrated acquisition in 2017. The increase in depreciation expense of $0.7 million was due to depreciation related to our new operating centers commenced during 2017 to support our business growth.</w:t>
      </w:r>
    </w:p>
    <w:p>
      <w:pPr>
        <w:spacing w:after="0" w:line="280"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decreased by $2.0 million, or 12.0%, from $17.2 million for the three months ended March 31,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$15.2 million for the three months ended March 31, 2018. As a percentage of revenues, income from operations decreased from 9.4% for the three months ended March 31, 2017 to 7.3% for the three months ended March 31, 2018.</w:t>
      </w:r>
    </w:p>
    <w:p>
      <w:pPr>
        <w:spacing w:after="0" w:line="27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2017. The average exchange rate of the U.S. dollar against the Indian rupee decreased from 66.46 during the three months ended March 31, 2017 to 64.64 during the three months ended March 31, 2018. The average exchange rate of the U.K. pound sterling against the U.S. dollar increased from 1.24 during the three months ended March 31, 2017 to 1.40 during the three months ended March 31, 2018. The average exchange rate of the U.S. dollar against the Philippine peso increased from 50.05 during the three months ended March 31, 2017 to 51.85 during the three months ended March 31, 2018.</w:t>
      </w:r>
    </w:p>
    <w:p>
      <w:pPr>
        <w:spacing w:after="0" w:line="79" w:lineRule="exact"/>
        <w:rPr>
          <w:sz w:val="20"/>
          <w:szCs w:val="20"/>
          <w:color w:val="auto"/>
        </w:rPr>
      </w:pPr>
    </w:p>
    <w:p>
      <w:pPr>
        <w:jc w:val="both"/>
        <w:ind w:right="20" w:firstLine="554"/>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$0.6 million for the three months ended March 31, 2018 compared to the net foreign exchange gain of $0.4 million for the three months ended March 31, 2017.</w:t>
      </w:r>
    </w:p>
    <w:p>
      <w:pPr>
        <w:spacing w:after="0" w:line="158"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from $0.4 million for the three months ended March 31, 2017 to $0.5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2018.</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3"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4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5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vMerge w:val="restart"/>
          </w:tcPr>
          <w:p>
            <w:pPr>
              <w:jc w:val="right"/>
              <w:ind w:right="276"/>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740" w:type="dxa"/>
            <w:vAlign w:val="bottom"/>
          </w:tcPr>
          <w:p>
            <w:pPr>
              <w:spacing w:after="0"/>
              <w:rPr>
                <w:sz w:val="5"/>
                <w:szCs w:val="5"/>
                <w:color w:val="auto"/>
              </w:rPr>
            </w:pPr>
          </w:p>
        </w:tc>
        <w:tc>
          <w:tcPr>
            <w:tcW w:w="92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tcPr>
          <w:p>
            <w:pPr>
              <w:spacing w:after="0"/>
              <w:rPr>
                <w:sz w:val="21"/>
                <w:szCs w:val="21"/>
                <w:color w:val="auto"/>
              </w:rPr>
            </w:pPr>
          </w:p>
        </w:tc>
        <w:tc>
          <w:tcPr>
            <w:tcW w:w="2280" w:type="dxa"/>
            <w:vAlign w:val="bottom"/>
            <w:tcBorders>
              <w:top w:val="single" w:sz="8" w:color="auto"/>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mutual fund investments</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net increased by $0.3 million, from $3.2 million for the three months ended March 31, 2017 to $3.5 million for the three months ended March 31, 2018 primarily due to a higher gain from mutual fund investments of $1.3 million during the three months ended March 31, 2018 compared to three months ended March 31, 2017. This increase is partially offset by a decrease in interest and dividend income of $0.4 million and other income, net of $0.6 million.</w:t>
      </w:r>
    </w:p>
    <w:p>
      <w:pPr>
        <w:spacing w:after="0" w:line="17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The effective tax rate decreased from 17.5% for the three month ended March 31, 2017 to (23.7%) for the three month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2018 primarily as a result of: (i) adjustment of $4.8 million reducing the provisional transition tax on the mandatory deemed repatriation of accumulated earnings and profits ("E&amp;P") of foreign subsidiaries recognized during the year-ended December 31, 2017, (ii) a reduction in the U.S. federal corporate tax rate from 35.0% to 21.0% effective January 1, 2018, and (iii) excess tax benefits related to stock awards of $4.8 million pursuant to ASU No. 2016-09 during the three months ended March 31, 2018 compared to $2.1 million during the three months ended March 31, 2017.</w:t>
      </w:r>
    </w:p>
    <w:p>
      <w:pPr>
        <w:spacing w:after="0" w:line="180"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increased from $16.8 million for the three months ended March 31, 2017 to $23.2 million for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2018, primarily due to lower income tax expense of $8.1 million, higher foreign exchange gain of $0.2 million and other income of $0.3 million, partially offset by a decrease in income from operations of $2.0 million. As a percentage of revenues, net income increased from 9.2% for the three months ended March 31, 2017 to 11.2% for the three months ended March 31, 2018.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1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196"/>
        </w:trPr>
        <w:tc>
          <w:tcPr>
            <w:tcW w:w="7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Pr>
          <w:p>
            <w:pPr>
              <w:spacing w:after="0"/>
              <w:rPr>
                <w:sz w:val="17"/>
                <w:szCs w:val="17"/>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for)/provided by operating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7"/>
        </w:trPr>
        <w:tc>
          <w:tcPr>
            <w:tcW w:w="7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As of March 31, 2018 and 2017, we had $94.3 million and $220.4 million, respectively, in cash, cash equivalents and restricted cash. We have not determined the extent, if any, to which we may repatriate funds held by our foreign subsidiaries in light of the current regulatory environment (including under the U.S. Tax Cuts and Jobs Act of 2017 ("Tax Reform Act")) and because our future growth depends in part upon continued infrastructure and technology investments, geographical expansions and acquisitions outside of the U.S. Not all of our undistributed foreign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If we decide to repatriate such earnings, we may have to accrue further taxes associated with such earnings in accordance with local tax laws, rules and regulations in the relevant jurisdictions.</w:t>
      </w:r>
    </w:p>
    <w:p>
      <w:pPr>
        <w:spacing w:after="0" w:line="18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used for operating activities were $8.0 million for the three months ended March 31, 2018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operating activities of $6.0 million during the three months ended March 31, 2017. Generally, factors that affect our earnings—including pricing, volume of services, costs and productivity—affect our cash flows used or provided from operations in a similar manner. However, while management of working capital, including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3"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timing of collections and payments affects operating results only indirectly, the impact on the working capital and cash flows provided by operating activities can be significant.</w:t>
      </w:r>
    </w:p>
    <w:p>
      <w:pPr>
        <w:spacing w:after="0" w:line="162"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decreased by $14.0 million from a cash flow from operating activities of $6.0 million for the three months ended on March 31, 2017 to a negative cash flow from operating activities of $8.0 million for the three months ended March 31, 2018. This decrease was due to an increase in working capital of $43.6 million during the three months ended March 31, 2018 as compared to $24.1 million during the three months ended March 31, 2017. This was partially offset by higher net income of $6.4 million from $16.8 million for three months ended March 31, 2017 to $23.2 million for three months ended March 31, 2018. The increase in working capital was primarily due to an increase in advance tax, prepaid expenses, other operating assets and a decrease in accrued employee costs and accounts payable offset by a decrease in accounts receivable and an increase in accrued expenses and other liabilities.</w:t>
      </w:r>
    </w:p>
    <w:p>
      <w:pPr>
        <w:spacing w:after="0" w:line="187" w:lineRule="exact"/>
        <w:rPr>
          <w:sz w:val="20"/>
          <w:szCs w:val="20"/>
          <w:color w:val="auto"/>
        </w:rPr>
      </w:pPr>
    </w:p>
    <w:p>
      <w:pPr>
        <w:jc w:val="both"/>
        <w:ind w:firstLine="3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used for investing activities decreased from $117.1 million for the three months ended March 31, 2017 to $3.0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2018. The decrease was primarily due to net cash used for purchase of investments of $106.9 million, during the three months ended March 31, 2017 compared to net proceeds from redemption of investments of $10.1 million during the three months ended March 31, 2018.</w:t>
      </w:r>
    </w:p>
    <w:p>
      <w:pPr>
        <w:spacing w:after="0" w:line="174"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used for financing activities were $6.2 million during the three months ended March 31, 2018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used for financing activities of $11.8 million during the three months ended March 31, 2017. The decrease in cash flows used for financing activities was primarily due to net borrowings of $7.0 million (net of repayments) under our New Credit Facility (as described below in “Financing Arrangements”) during the three months ended March 31, 2018. This decrease was partially offset by higher purchases of treasury stock by $1.6 million under our share repurchase program during the three months ended March 31, 2018 compared to the three months ended March 31, 2017.</w:t>
      </w:r>
    </w:p>
    <w:p>
      <w:pPr>
        <w:spacing w:after="0" w:line="18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As we have focused on expanding our cash flow from operating activities we expect to continue to make capital investments, primarily related to new facilities and capital expenditures associated with leasehold improvements to build our facilities, and purchase telecommunications equipment and computer hardware and software in connection with managing client operations. We incurred $12.7 million of capital expenditures in the three months ended March 31, 2018. We expect to incur capital expenditures of between $35.0 million to $40.0 million in 2018, primarily to meet our growth requirements, including additions to our facilities as well as investments in technology applications, product development, digital technology, advanced automation &amp; robotics and infrastructure.</w:t>
      </w:r>
    </w:p>
    <w:p>
      <w:pPr>
        <w:spacing w:after="0" w:line="18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(refer to Note 24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22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On October 24, 2014, we entered into a Credit Agreement that provided for a $50.0 million revolving credit facility (“Credit Facility”). We had an option to increase the commitments under the Credit Facility by up to an additional $50.0 million which we exercised on February 23, 2015, via an amendment to the Credit Agreement under the same terms and conditions which were available in the Credit Agreement. The Credit Facility had a maturity date of October 24, 2019 and was voluntarily pre-payable from time to time without premium or penalty. On November 21, 2017, we prepaid all outstanding amounts, including accrued interest and fees, and terminated all commitments under, the Credit Agreement.</w:t>
      </w:r>
    </w:p>
    <w:p>
      <w:pPr>
        <w:spacing w:after="0" w:line="184"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On November 21, 2017, we and each of our wholly owned material domestic subsidiaries entered into a Credit Agreement with Citibank, N.A., PNC Bank, N.A., JPMorgan Chase Bank, N.A., Bank of America, N.A. and the lenders party thereto from time to time, with Citibank, N.A. serving as administrative agent (the “New Credit Agreement”). The New Credit Agreement provides for a $200.0 million revolving credit facility (the “New Credit Facility”). The Company has an option to increase the commitments under the New Credit Agreement by up to $100.0 million, subject to certain approvals and conditions as set forth in the New Credit Agreement. The New Credit Agreement also includes a letter of credit sub-facility. The New Credit Facility has a maturity date of November 21, 2022 and is voluntarily pre-payable from time to time without premium or penalty. Borrowings under the New Credit Agreement were used to refinance Credit Facility and may otherwise be used for working capital and general corporate purposes of the Company and its subsidiaries, including permitted acquisitions.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to our unaudited consolidated financial statements herein for further details on our debt facilities.</w:t>
      </w:r>
    </w:p>
    <w:p>
      <w:pPr>
        <w:spacing w:after="0" w:line="225"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As of March 31, 2018, we had outstanding debt of $67.0 million under the New Credit Agreement, which is presented under "long-term borrowings" in the unaudited consolidated balance sheets. As of December 31, 2017, we had outstanding debt of $60.0 million, of which $10.0 million was presented under "current portion of long-term borrowings" and the balance of $50.0 million was presented under "long-term borrowings" in the unaudited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2018, we had no off-balance sheet arrangements or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March 31, 2018:</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8"/>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4"/>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22"/>
                <w:szCs w:val="22"/>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1-3</w:t>
            </w: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4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4"/>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99.3</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obligations</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r>
      <w:tr>
        <w:trPr>
          <w:trHeight w:val="264"/>
        </w:trPr>
        <w:tc>
          <w:tcPr>
            <w:tcW w:w="428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5"/>
                <w:szCs w:val="25"/>
                <w:color w:val="auto"/>
                <w:vertAlign w:val="superscript"/>
              </w:rPr>
              <w:t>(d)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78.7</w:t>
            </w:r>
          </w:p>
        </w:tc>
        <w:tc>
          <w:tcPr>
            <w:tcW w:w="9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192.1</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minimum lease payments payable for cancellable and non-cancellable lease period.</w:t>
      </w:r>
    </w:p>
    <w:p>
      <w:pPr>
        <w:spacing w:after="0" w:line="2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estimated payments under the Gratuity Plan.</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on borrowings is calculated based on the effective interest rate on the outstanding borrowings as of March 31, 2018.</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$0.8 million related to uncertain tax positions, since the extent of the amount and timing of payment is currently not reliably estimable or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14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refer to Note 2—“Recent Accounting Pronouncements” to the unaudited consolidated financial statements contained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3"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2018,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2017.</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2018. Based upon that evaluation, the CEO and CFO have concluded that, as of March 31, 2018, our disclosure controls and procedures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2018,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refer to Note 24 to the unaudited consolidated financial statements contained herein for details regarding certain contingent liabilities.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2017 a number of risks which may materially affect our business, financial condition or results of operations. You should carefully consider the “Risk Factors” set forth in our Annual Report on Form 10-K for the fiscal year ended December 31, 2017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2018, purchases of common stock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Dollar</w:t>
      </w:r>
    </w:p>
    <w:p>
      <w:pPr>
        <w:spacing w:after="0" w:line="31" w:lineRule="exact"/>
        <w:rPr>
          <w:sz w:val="20"/>
          <w:szCs w:val="20"/>
          <w:color w:val="auto"/>
        </w:rPr>
      </w:pPr>
    </w:p>
    <w:p>
      <w:pPr>
        <w:sectPr>
          <w:pgSz w:w="11900" w:h="16838" w:orient="portrait"/>
          <w:cols w:equalWidth="0" w:num="3">
            <w:col w:w="7180" w:space="360"/>
            <w:col w:w="1280" w:space="580"/>
            <w:col w:w="2020"/>
          </w:cols>
          <w:pgMar w:left="240" w:top="333" w:right="239" w:bottom="1440" w:gutter="0" w:footer="0" w:header="0"/>
        </w:sectPr>
      </w:pP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0" w:lineRule="exact"/>
        <w:rPr>
          <w:sz w:val="20"/>
          <w:szCs w:val="20"/>
          <w:color w:val="auto"/>
        </w:rPr>
      </w:pPr>
    </w:p>
    <w:p>
      <w:pPr>
        <w:spacing w:after="0" w:line="313" w:lineRule="exact"/>
        <w:rPr>
          <w:sz w:val="20"/>
          <w:szCs w:val="20"/>
          <w:color w:val="auto"/>
        </w:rPr>
      </w:pPr>
    </w:p>
    <w:p>
      <w:pPr>
        <w:ind w:left="300" w:right="240"/>
        <w:spacing w:after="0" w:line="281" w:lineRule="auto"/>
        <w:rPr>
          <w:sz w:val="20"/>
          <w:szCs w:val="20"/>
          <w:color w:val="auto"/>
        </w:rPr>
      </w:pPr>
      <w:r>
        <w:rPr>
          <w:rFonts w:ascii="Times New Roman" w:cs="Times New Roman" w:eastAsia="Times New Roman" w:hAnsi="Times New Roman"/>
          <w:sz w:val="18"/>
          <w:szCs w:val="18"/>
          <w:color w:val="auto"/>
        </w:rPr>
        <w:t>January 1, 2018 through January 31, 2018</w:t>
      </w:r>
    </w:p>
    <w:p>
      <w:pPr>
        <w:spacing w:after="0" w:line="2" w:lineRule="exact"/>
        <w:rPr>
          <w:sz w:val="20"/>
          <w:szCs w:val="20"/>
          <w:color w:val="auto"/>
        </w:rPr>
      </w:pPr>
    </w:p>
    <w:p>
      <w:pPr>
        <w:ind w:left="300" w:right="60"/>
        <w:spacing w:after="0" w:line="281" w:lineRule="auto"/>
        <w:rPr>
          <w:sz w:val="20"/>
          <w:szCs w:val="20"/>
          <w:color w:val="auto"/>
        </w:rPr>
      </w:pPr>
      <w:r>
        <w:rPr>
          <w:rFonts w:ascii="Times New Roman" w:cs="Times New Roman" w:eastAsia="Times New Roman" w:hAnsi="Times New Roman"/>
          <w:sz w:val="18"/>
          <w:szCs w:val="18"/>
          <w:color w:val="auto"/>
        </w:rPr>
        <w:t>February 1, 2018 through February 28, 2018</w:t>
      </w:r>
    </w:p>
    <w:p>
      <w:pPr>
        <w:spacing w:after="0" w:line="2" w:lineRule="exact"/>
        <w:rPr>
          <w:sz w:val="20"/>
          <w:szCs w:val="20"/>
          <w:color w:val="auto"/>
        </w:rPr>
      </w:pPr>
    </w:p>
    <w:p>
      <w:pPr>
        <w:ind w:left="300"/>
        <w:spacing w:after="0" w:line="376" w:lineRule="auto"/>
        <w:rPr>
          <w:sz w:val="20"/>
          <w:szCs w:val="20"/>
          <w:color w:val="auto"/>
        </w:rPr>
      </w:pPr>
      <w:r>
        <w:rPr>
          <w:rFonts w:ascii="Times New Roman" w:cs="Times New Roman" w:eastAsia="Times New Roman" w:hAnsi="Times New Roman"/>
          <w:sz w:val="18"/>
          <w:szCs w:val="18"/>
          <w:color w:val="auto"/>
        </w:rPr>
        <w:t>March 1, 2018 through March 31, 2018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123190</wp:posOffset>
            </wp:positionV>
            <wp:extent cx="2152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20" w:firstLine="48"/>
        <w:spacing w:after="0" w:line="317" w:lineRule="auto"/>
        <w:rPr>
          <w:sz w:val="20"/>
          <w:szCs w:val="20"/>
          <w:color w:val="auto"/>
        </w:rPr>
      </w:pPr>
      <w:r>
        <w:rPr>
          <w:rFonts w:ascii="Times New Roman" w:cs="Times New Roman" w:eastAsia="Times New Roman" w:hAnsi="Times New Roman"/>
          <w:sz w:val="17"/>
          <w:szCs w:val="17"/>
          <w:b w:val="1"/>
          <w:bCs w:val="1"/>
          <w:color w:val="auto"/>
        </w:rPr>
        <w:t>Total Number of Shares Purchased</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93,174</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79,919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34290</wp:posOffset>
            </wp:positionV>
            <wp:extent cx="1183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223,993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34290</wp:posOffset>
            </wp:positionV>
            <wp:extent cx="1183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51435</wp:posOffset>
            </wp:positionV>
            <wp:extent cx="11836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Paid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228600</wp:posOffset>
            </wp:positionV>
            <wp:extent cx="6903720" cy="31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3720" cy="31750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62.08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34290</wp:posOffset>
            </wp:positionV>
            <wp:extent cx="69037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34290</wp:posOffset>
            </wp:positionV>
            <wp:extent cx="11664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34290</wp:posOffset>
            </wp:positionV>
            <wp:extent cx="11664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51435</wp:posOffset>
            </wp:positionV>
            <wp:extent cx="1166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Shares Purchased as Part of Publicly Announced Plans or Programs</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69,594</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61,688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34290</wp:posOffset>
            </wp:positionV>
            <wp:extent cx="11664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182,182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34290</wp:posOffset>
            </wp:positionV>
            <wp:extent cx="11664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51435</wp:posOffset>
            </wp:positionV>
            <wp:extent cx="11664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80"/>
        <w:spacing w:after="0" w:line="258" w:lineRule="auto"/>
        <w:rPr>
          <w:sz w:val="20"/>
          <w:szCs w:val="20"/>
          <w:color w:val="auto"/>
        </w:rPr>
      </w:pPr>
      <w:r>
        <w:rPr>
          <w:rFonts w:ascii="Times New Roman" w:cs="Times New Roman" w:eastAsia="Times New Roman" w:hAnsi="Times New Roman"/>
          <w:sz w:val="18"/>
          <w:szCs w:val="18"/>
          <w:b w:val="1"/>
          <w:bCs w:val="1"/>
          <w:color w:val="auto"/>
        </w:rPr>
        <w:t>Value of Shares That May Yet Be Purchased Under the Plans or Programs</w:t>
      </w:r>
      <w:r>
        <w:rPr>
          <w:rFonts w:ascii="Times New Roman" w:cs="Times New Roman" w:eastAsia="Times New Roman" w:hAnsi="Times New Roman"/>
          <w:sz w:val="25"/>
          <w:szCs w:val="25"/>
          <w:b w:val="1"/>
          <w:bCs w:val="1"/>
          <w:color w:val="auto"/>
          <w:vertAlign w:val="superscript"/>
        </w:rPr>
        <w:t>(1)</w:t>
      </w:r>
    </w:p>
    <w:p>
      <w:pPr>
        <w:spacing w:after="0" w:line="1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35,676,208</w:t>
      </w:r>
    </w:p>
    <w:p>
      <w:pPr>
        <w:spacing w:after="0" w:line="291"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31,999,579</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29,060,626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34290</wp:posOffset>
            </wp:positionV>
            <wp:extent cx="1235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7"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34290</wp:posOffset>
            </wp:positionV>
            <wp:extent cx="1235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51435</wp:posOffset>
            </wp:positionV>
            <wp:extent cx="1235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7" w:lineRule="exact"/>
        <w:rPr>
          <w:sz w:val="20"/>
          <w:szCs w:val="20"/>
          <w:color w:val="auto"/>
        </w:rPr>
      </w:pPr>
    </w:p>
    <w:p>
      <w:pPr>
        <w:sectPr>
          <w:pgSz w:w="11900" w:h="16838" w:orient="portrait"/>
          <w:cols w:equalWidth="0" w:num="5">
            <w:col w:w="3160" w:space="440"/>
            <w:col w:w="1480" w:space="600"/>
            <w:col w:w="1360" w:space="360"/>
            <w:col w:w="1580" w:space="320"/>
            <w:col w:w="2120"/>
          </w:cols>
          <w:pgMar w:left="240" w:top="333" w:right="239" w:bottom="1440" w:gutter="0" w:footer="0" w:header="0"/>
          <w:type w:val="continuous"/>
        </w:sectPr>
      </w:pPr>
    </w:p>
    <w:p>
      <w:pPr>
        <w:spacing w:after="0" w:line="205" w:lineRule="exact"/>
        <w:rPr>
          <w:sz w:val="20"/>
          <w:szCs w:val="20"/>
          <w:color w:val="auto"/>
        </w:rPr>
      </w:pPr>
    </w:p>
    <w:p>
      <w:pPr>
        <w:jc w:val="both"/>
        <w:ind w:firstLine="440"/>
        <w:spacing w:after="0" w:line="261" w:lineRule="auto"/>
        <w:tabs>
          <w:tab w:leader="none" w:pos="7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increases the 2017 authorization from $20 million to $40 million and authorizes stock repurchases of up to $40 million in each of 2018 and 2019.</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as part of this Quarterly Report on Form 10-Q:</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2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the Company’s Current Report on Form 8-K (File No. 1-33089) filed on October 25,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Fourth Amended and Restated By-Laws of ExlService Holdings, Inc., as in effect on the date hereof (incorporated by reference to Exhibit 3.2</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to the Company’s Current Report on Form 8-K (File No. 1-33089) filed on February 28,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 to</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pursuant to</w:t>
            </w:r>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13a-14(b) of the Exchange Act and 18 U.S.C. Section 1350, as adopted pursuant</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6560" w:type="dxa"/>
            <w:vAlign w:val="bottom"/>
            <w:tcBorders>
              <w:top w:val="single" w:sz="8" w:color="0000FF"/>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 13a-14(b) of the Exchange Act and 18 U.S.C. Section 1350, as adopted pursuant</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6740" w:type="dxa"/>
            <w:vAlign w:val="bottom"/>
            <w:gridSpan w:val="5"/>
            <w:vMerge w:val="restart"/>
          </w:tcPr>
          <w:p>
            <w:pPr>
              <w:jc w:val="right"/>
              <w:ind w:right="186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67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3" w:right="3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2018</w:t>
            </w:r>
          </w:p>
        </w:tc>
        <w:tc>
          <w:tcPr>
            <w:tcW w:w="81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94"/>
        </w:trPr>
        <w:tc>
          <w:tcPr>
            <w:tcW w:w="3180" w:type="dxa"/>
            <w:vAlign w:val="bottom"/>
          </w:tcPr>
          <w:p>
            <w:pPr>
              <w:spacing w:after="0"/>
              <w:rPr>
                <w:sz w:val="24"/>
                <w:szCs w:val="24"/>
                <w:color w:val="auto"/>
              </w:rPr>
            </w:pPr>
          </w:p>
        </w:tc>
        <w:tc>
          <w:tcPr>
            <w:tcW w:w="8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r>
      <w:tr>
        <w:trPr>
          <w:trHeight w:val="27"/>
        </w:trPr>
        <w:tc>
          <w:tcPr>
            <w:tcW w:w="3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4"/>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Vishal Chhibbar</w:t>
            </w:r>
          </w:p>
        </w:tc>
      </w:tr>
      <w:tr>
        <w:trPr>
          <w:trHeight w:val="149"/>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3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tc>
      </w:tr>
      <w:tr>
        <w:trPr>
          <w:trHeight w:val="685"/>
        </w:trPr>
        <w:tc>
          <w:tcPr>
            <w:tcW w:w="3180" w:type="dxa"/>
            <w:vAlign w:val="bottom"/>
          </w:tcPr>
          <w:p>
            <w:pPr>
              <w:spacing w:after="0"/>
              <w:rPr>
                <w:sz w:val="24"/>
                <w:szCs w:val="24"/>
                <w:color w:val="auto"/>
              </w:rPr>
            </w:pPr>
          </w:p>
        </w:tc>
        <w:tc>
          <w:tcPr>
            <w:tcW w:w="81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400"/>
          </w:cols>
          <w:pgMar w:left="240" w:top="333" w:right="2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1, 2018</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1, 2018</w:t>
      </w:r>
      <w:r>
        <w:rPr>
          <w:sz w:val="20"/>
          <w:szCs w:val="20"/>
          <w:color w:val="auto"/>
        </w:rPr>
        <w:tab/>
      </w:r>
      <w:r>
        <w:rPr>
          <w:rFonts w:ascii="Times New Roman" w:cs="Times New Roman" w:eastAsia="Times New Roman" w:hAnsi="Times New Roman"/>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2018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1, 2018</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2018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1,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1"/>
    </w:lvl>
    <w:lvl w:ilvl="1">
      <w:lvlJc w:val="left"/>
      <w:lvlText w:val="%2)"/>
      <w:numFmt w:val="lowerLetter"/>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lvl w:ilvl="1">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7" Type="http://schemas.openxmlformats.org/officeDocument/2006/relationships/hyperlink" Target="http://www.sec.gov/Archives/edgar/data/1297989/000119312506214684/dex31.htm" TargetMode="External"/><Relationship Id="rId58" Type="http://schemas.openxmlformats.org/officeDocument/2006/relationships/hyperlink" Target="http://www.sec.gov/Archives/edgar/data/1297989/000114420417011696/v4607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2019-12-06T23:50:56Z</dcterms:created>
  <dcterms:modified xsi:type="dcterms:W3CDTF">2019-12-06T23:50:56Z</dcterms:modified>
</cp:coreProperties>
</file>