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ind w:left="500" w:hanging="490"/>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1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-275590</wp:posOffset>
            </wp:positionV>
            <wp:extent cx="7254875" cy="518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188585"/>
                    </a:xfrm>
                    <a:prstGeom prst="rect">
                      <a:avLst/>
                    </a:prstGeom>
                    <a:noFill/>
                  </pic:spPr>
                </pic:pic>
              </a:graphicData>
            </a:graphic>
          </wp:anchor>
        </w:drawing>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Columbia Wanger Asset Management, LLC</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04-3519872</w:t>
      </w:r>
    </w:p>
    <w:p>
      <w:pPr>
        <w:spacing w:after="0" w:line="12" w:lineRule="exact"/>
        <w:rPr>
          <w:sz w:val="20"/>
          <w:szCs w:val="20"/>
          <w:color w:val="auto"/>
        </w:rPr>
      </w:pPr>
    </w:p>
    <w:p>
      <w:pPr>
        <w:ind w:left="500" w:hanging="490"/>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500"/>
        <w:spacing w:after="0" w:line="207" w:lineRule="exact"/>
        <w:tabs>
          <w:tab w:leader="none" w:pos="12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78" w:lineRule="exact"/>
        <w:rPr>
          <w:sz w:val="20"/>
          <w:szCs w:val="20"/>
          <w:color w:val="auto"/>
        </w:rPr>
      </w:pPr>
    </w:p>
    <w:p>
      <w:pPr>
        <w:ind w:left="500" w:hanging="490"/>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00" w:hanging="490"/>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b w:val="1"/>
                <w:bCs w:val="1"/>
                <w:color w:val="auto"/>
              </w:rPr>
              <w:t>5</w:t>
            </w:r>
          </w:p>
        </w:tc>
        <w:tc>
          <w:tcPr>
            <w:tcW w:w="96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1"/>
        </w:trPr>
        <w:tc>
          <w:tcPr>
            <w:tcW w:w="130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2,140,850</w:t>
            </w:r>
          </w:p>
        </w:tc>
        <w:tc>
          <w:tcPr>
            <w:tcW w:w="0" w:type="dxa"/>
            <w:vAlign w:val="bottom"/>
          </w:tcPr>
          <w:p>
            <w:pPr>
              <w:spacing w:after="0"/>
              <w:rPr>
                <w:sz w:val="1"/>
                <w:szCs w:val="1"/>
                <w:color w:val="auto"/>
              </w:rPr>
            </w:pPr>
          </w:p>
        </w:tc>
      </w:tr>
      <w:tr>
        <w:trPr>
          <w:trHeight w:val="228"/>
        </w:trPr>
        <w:tc>
          <w:tcPr>
            <w:tcW w:w="13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380" w:type="dxa"/>
            <w:vAlign w:val="bottom"/>
          </w:tcPr>
          <w:p>
            <w:pPr>
              <w:jc w:val="right"/>
              <w:ind w:right="112"/>
              <w:spacing w:after="0"/>
              <w:rPr>
                <w:sz w:val="20"/>
                <w:szCs w:val="20"/>
                <w:color w:val="auto"/>
              </w:rPr>
            </w:pPr>
            <w:r>
              <w:rPr>
                <w:rFonts w:ascii="Arial" w:cs="Arial" w:eastAsia="Arial" w:hAnsi="Arial"/>
                <w:sz w:val="18"/>
                <w:szCs w:val="18"/>
                <w:b w:val="1"/>
                <w:bCs w:val="1"/>
                <w:color w:val="auto"/>
              </w:rPr>
              <w:t>6</w:t>
            </w:r>
          </w:p>
        </w:tc>
        <w:tc>
          <w:tcPr>
            <w:tcW w:w="96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964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3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ind w:right="112"/>
              <w:spacing w:after="0" w:line="190" w:lineRule="exact"/>
              <w:rPr>
                <w:sz w:val="20"/>
                <w:szCs w:val="20"/>
                <w:color w:val="auto"/>
              </w:rPr>
            </w:pPr>
            <w:r>
              <w:rPr>
                <w:rFonts w:ascii="Arial" w:cs="Arial" w:eastAsia="Arial" w:hAnsi="Arial"/>
                <w:sz w:val="18"/>
                <w:szCs w:val="18"/>
                <w:b w:val="1"/>
                <w:bCs w:val="1"/>
                <w:color w:val="auto"/>
              </w:rPr>
              <w:t>7</w:t>
            </w:r>
          </w:p>
        </w:tc>
        <w:tc>
          <w:tcPr>
            <w:tcW w:w="9640" w:type="dxa"/>
            <w:vAlign w:val="bottom"/>
          </w:tcPr>
          <w:p>
            <w:pPr>
              <w:ind w:left="1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380" w:type="dxa"/>
            <w:vAlign w:val="bottom"/>
          </w:tcPr>
          <w:p>
            <w:pPr>
              <w:spacing w:after="0"/>
              <w:rPr>
                <w:sz w:val="18"/>
                <w:szCs w:val="18"/>
                <w:color w:val="auto"/>
              </w:rPr>
            </w:pPr>
          </w:p>
        </w:tc>
        <w:tc>
          <w:tcPr>
            <w:tcW w:w="9640" w:type="dxa"/>
            <w:vAlign w:val="bottom"/>
            <w:vMerge w:val="restart"/>
          </w:tcPr>
          <w:p>
            <w:pPr>
              <w:ind w:left="400"/>
              <w:spacing w:after="0"/>
              <w:rPr>
                <w:sz w:val="20"/>
                <w:szCs w:val="20"/>
                <w:color w:val="auto"/>
              </w:rPr>
            </w:pPr>
            <w:r>
              <w:rPr>
                <w:rFonts w:ascii="Arial" w:cs="Arial" w:eastAsia="Arial" w:hAnsi="Arial"/>
                <w:sz w:val="22"/>
                <w:szCs w:val="22"/>
                <w:color w:val="auto"/>
              </w:rPr>
              <w:t>2,694,850</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18"/>
                <w:szCs w:val="18"/>
                <w:color w:val="auto"/>
              </w:rPr>
            </w:pPr>
          </w:p>
        </w:tc>
        <w:tc>
          <w:tcPr>
            <w:tcW w:w="9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4"/>
                <w:szCs w:val="4"/>
                <w:color w:val="auto"/>
              </w:rPr>
            </w:pPr>
          </w:p>
        </w:tc>
        <w:tc>
          <w:tcPr>
            <w:tcW w:w="9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300" w:type="dxa"/>
            <w:vAlign w:val="bottom"/>
            <w:vMerge w:val="continue"/>
          </w:tcPr>
          <w:p>
            <w:pPr>
              <w:spacing w:after="0"/>
              <w:rPr>
                <w:sz w:val="19"/>
                <w:szCs w:val="19"/>
                <w:color w:val="auto"/>
              </w:rPr>
            </w:pPr>
          </w:p>
        </w:tc>
        <w:tc>
          <w:tcPr>
            <w:tcW w:w="380" w:type="dxa"/>
            <w:vAlign w:val="bottom"/>
          </w:tcPr>
          <w:p>
            <w:pPr>
              <w:jc w:val="right"/>
              <w:ind w:right="112"/>
              <w:spacing w:after="0"/>
              <w:rPr>
                <w:sz w:val="20"/>
                <w:szCs w:val="20"/>
                <w:color w:val="auto"/>
              </w:rPr>
            </w:pPr>
            <w:r>
              <w:rPr>
                <w:rFonts w:ascii="Arial" w:cs="Arial" w:eastAsia="Arial" w:hAnsi="Arial"/>
                <w:sz w:val="18"/>
                <w:szCs w:val="18"/>
                <w:b w:val="1"/>
                <w:bCs w:val="1"/>
                <w:color w:val="auto"/>
              </w:rPr>
              <w:t>8</w:t>
            </w:r>
          </w:p>
        </w:tc>
        <w:tc>
          <w:tcPr>
            <w:tcW w:w="96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500" w:hanging="490"/>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2,694,850</w:t>
      </w:r>
    </w:p>
    <w:p>
      <w:pPr>
        <w:spacing w:after="0" w:line="22" w:lineRule="exact"/>
        <w:rPr>
          <w:sz w:val="20"/>
          <w:szCs w:val="20"/>
          <w:color w:val="auto"/>
        </w:rPr>
      </w:pPr>
    </w:p>
    <w:p>
      <w:pPr>
        <w:spacing w:after="0" w:line="184" w:lineRule="exact"/>
        <w:tabs>
          <w:tab w:leader="none" w:pos="480" w:val="left"/>
          <w:tab w:leader="none" w:pos="84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0" w:lineRule="exact"/>
        <w:rPr>
          <w:sz w:val="20"/>
          <w:szCs w:val="20"/>
          <w:color w:val="auto"/>
        </w:rPr>
      </w:pPr>
    </w:p>
    <w:p>
      <w:pPr>
        <w:ind w:left="500" w:hanging="49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8.6%</w:t>
      </w:r>
    </w:p>
    <w:p>
      <w:pPr>
        <w:spacing w:after="0" w:line="30" w:lineRule="exact"/>
        <w:rPr>
          <w:sz w:val="20"/>
          <w:szCs w:val="20"/>
          <w:color w:val="auto"/>
        </w:rPr>
      </w:pPr>
    </w:p>
    <w:p>
      <w:pPr>
        <w:ind w:left="500" w:hanging="490"/>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IA</w:t>
      </w:r>
    </w:p>
    <w:p>
      <w:pPr>
        <w:sectPr>
          <w:pgSz w:w="11900" w:h="16838" w:orient="portrait"/>
          <w:cols w:equalWidth="0" w:num="1">
            <w:col w:w="11320"/>
          </w:cols>
          <w:pgMar w:left="360" w:top="293" w:right="21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Name of Issuer:</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Exlservice Holdings Inc.</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280 Park Avenue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10017</w:t>
      </w:r>
    </w:p>
    <w:p>
      <w:pPr>
        <w:spacing w:after="0" w:line="3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 Filing:</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Columbia Wanger Asset Management, LLC</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227 West Monroe Street, Suite 3000, Chicago, IL 60606.</w:t>
      </w:r>
    </w:p>
    <w:p>
      <w:pPr>
        <w:spacing w:after="0" w:line="3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6"/>
          <w:szCs w:val="16"/>
          <w:b w:val="1"/>
          <w:bCs w:val="1"/>
          <w:color w:val="auto"/>
        </w:rPr>
        <w:t>CUSIP Number:</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302081104</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520" w:hanging="364"/>
        <w:spacing w:after="0" w:line="207" w:lineRule="exact"/>
        <w:tabs>
          <w:tab w:leader="none" w:pos="15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540" w:hanging="384"/>
        <w:spacing w:after="0" w:line="207" w:lineRule="exact"/>
        <w:tabs>
          <w:tab w:leader="none" w:pos="15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520" w:hanging="364"/>
        <w:spacing w:after="0" w:line="207" w:lineRule="exact"/>
        <w:tabs>
          <w:tab w:leader="none" w:pos="15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540" w:hanging="384"/>
        <w:spacing w:after="0" w:line="207" w:lineRule="exact"/>
        <w:tabs>
          <w:tab w:leader="none" w:pos="15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520" w:hanging="364"/>
        <w:spacing w:after="0" w:line="207" w:lineRule="exact"/>
        <w:tabs>
          <w:tab w:leader="none" w:pos="15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560" w:hanging="404"/>
        <w:spacing w:after="0" w:line="207" w:lineRule="exact"/>
        <w:tabs>
          <w:tab w:leader="none" w:pos="1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540" w:hanging="384"/>
        <w:spacing w:after="0" w:line="207" w:lineRule="exact"/>
        <w:tabs>
          <w:tab w:leader="none" w:pos="15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540" w:hanging="384"/>
        <w:spacing w:after="0" w:line="207" w:lineRule="exact"/>
        <w:tabs>
          <w:tab w:leader="none" w:pos="15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900" w:right="1920" w:hanging="744"/>
        <w:spacing w:after="0" w:line="236" w:lineRule="exact"/>
        <w:tabs>
          <w:tab w:leader="none" w:pos="1539"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560" w:hanging="404"/>
        <w:spacing w:after="0" w:line="207" w:lineRule="exact"/>
        <w:tabs>
          <w:tab w:leader="none" w:pos="1560" w:val="left"/>
        </w:tabs>
        <w:numPr>
          <w:ilvl w:val="0"/>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116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3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160" w:right="34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3" w:lineRule="exact"/>
        <w:rPr>
          <w:sz w:val="20"/>
          <w:szCs w:val="20"/>
          <w:color w:val="auto"/>
        </w:rPr>
      </w:pPr>
    </w:p>
    <w:p>
      <w:pPr>
        <w:ind w:left="116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or More than Five Percent on Behalf of Another Person:</w:t>
      </w:r>
    </w:p>
    <w:p>
      <w:pPr>
        <w:spacing w:after="0" w:line="123" w:lineRule="exact"/>
        <w:rPr>
          <w:sz w:val="20"/>
          <w:szCs w:val="20"/>
          <w:color w:val="auto"/>
        </w:rPr>
      </w:pPr>
    </w:p>
    <w:p>
      <w:pPr>
        <w:ind w:left="1160" w:right="100"/>
        <w:spacing w:after="0" w:line="268" w:lineRule="auto"/>
        <w:rPr>
          <w:sz w:val="20"/>
          <w:szCs w:val="20"/>
          <w:color w:val="auto"/>
        </w:rPr>
      </w:pPr>
      <w:r>
        <w:rPr>
          <w:rFonts w:ascii="Arial" w:cs="Arial" w:eastAsia="Arial" w:hAnsi="Arial"/>
          <w:sz w:val="18"/>
          <w:szCs w:val="18"/>
          <w:color w:val="auto"/>
        </w:rPr>
        <w:t>The shares reported herein include shares held by Columbia Acorn Trust (CAT), a Massachusetts business trust that is advised by the reporting person. CAT holds 5.4% of the shares of the Issuer.</w:t>
      </w:r>
    </w:p>
    <w:p>
      <w:pPr>
        <w:sectPr>
          <w:pgSz w:w="11900" w:h="16838" w:orient="portrait"/>
          <w:cols w:equalWidth="0" w:num="1">
            <w:col w:w="11280"/>
          </w:cols>
          <w:pgMar w:left="240" w:top="274" w:right="379" w:bottom="1440" w:gutter="0" w:footer="0" w:header="0"/>
        </w:sectPr>
      </w:pPr>
    </w:p>
    <w:bookmarkStart w:id="4" w:name="page5"/>
    <w:bookmarkEnd w:id="4"/>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Identification and Classification of the Subsidiary Which Acquired he Security Being Reported on by the Parent Holding Company or</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Control Person:</w:t>
      </w:r>
    </w:p>
    <w:p>
      <w:pPr>
        <w:spacing w:after="0" w:line="1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180"/>
          </w:cols>
          <w:pgMar w:left="240" w:top="274" w:right="479" w:bottom="1440"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300"/>
          </w:cols>
          <w:pgMar w:left="240" w:top="274"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99.1 - JOINT FILING AGREEMENT</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Acorn Trust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Bruce H. Lauer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Treasurer and Secretary</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2019-12-09T17:39:34Z</dcterms:created>
  <dcterms:modified xsi:type="dcterms:W3CDTF">2019-12-09T17:39:34Z</dcterms:modified>
</cp:coreProperties>
</file>