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8-K/A</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(Amendment No. 1)</w:t>
      </w:r>
    </w:p>
    <w:p>
      <w:pPr>
        <w:spacing w:after="0" w:line="6"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ind w:left="2980"/>
        <w:spacing w:after="0"/>
        <w:rPr>
          <w:sz w:val="20"/>
          <w:szCs w:val="20"/>
          <w:color w:val="auto"/>
        </w:rPr>
      </w:pPr>
      <w:r>
        <w:rPr>
          <w:rFonts w:ascii="Arial" w:cs="Arial" w:eastAsia="Arial" w:hAnsi="Arial"/>
          <w:sz w:val="18"/>
          <w:szCs w:val="18"/>
          <w:b w:val="1"/>
          <w:bCs w:val="1"/>
          <w:color w:val="auto"/>
        </w:rPr>
        <w:t>Pursuant to Sections 13 or 15(d) of the Securities Exchange Act of 1934</w:t>
      </w:r>
    </w:p>
    <w:p>
      <w:pPr>
        <w:spacing w:after="0" w:line="27"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Date of Report (Date of earliest event reported): March 29, 2019</w:t>
      </w:r>
    </w:p>
    <w:p>
      <w:pPr>
        <w:spacing w:after="0" w:line="9"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EXLSERVICE HOLDINGS, INC.</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207" w:lineRule="exact"/>
        <w:rPr>
          <w:sz w:val="24"/>
          <w:szCs w:val="24"/>
          <w:color w:val="auto"/>
        </w:rPr>
      </w:pPr>
    </w:p>
    <w:tbl>
      <w:tblPr>
        <w:tblLayout w:type="fixed"/>
        <w:tblInd w:w="720" w:type="dxa"/>
        <w:tblCellMar>
          <w:top w:w="0" w:type="dxa"/>
          <w:left w:w="0" w:type="dxa"/>
          <w:bottom w:w="0" w:type="dxa"/>
          <w:right w:w="0" w:type="dxa"/>
        </w:tblCellMar>
      </w:tblPr>
      <w:tr>
        <w:trPr>
          <w:trHeight w:val="220"/>
        </w:trPr>
        <w:tc>
          <w:tcPr>
            <w:tcW w:w="24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3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001-33089</w:t>
            </w:r>
          </w:p>
        </w:tc>
        <w:tc>
          <w:tcPr>
            <w:tcW w:w="1680" w:type="dxa"/>
            <w:vAlign w:val="bottom"/>
          </w:tcPr>
          <w:p>
            <w:pPr>
              <w:jc w:val="right"/>
              <w:ind w:right="150"/>
              <w:spacing w:after="0"/>
              <w:rPr>
                <w:sz w:val="20"/>
                <w:szCs w:val="20"/>
                <w:color w:val="auto"/>
              </w:rPr>
            </w:pPr>
            <w:r>
              <w:rPr>
                <w:rFonts w:ascii="Arial" w:cs="Arial" w:eastAsia="Arial" w:hAnsi="Arial"/>
                <w:sz w:val="18"/>
                <w:szCs w:val="18"/>
                <w:b w:val="1"/>
                <w:bCs w:val="1"/>
                <w:color w:val="auto"/>
              </w:rPr>
              <w:t>82-0572194</w:t>
            </w:r>
          </w:p>
        </w:tc>
      </w:tr>
      <w:tr>
        <w:trPr>
          <w:trHeight w:val="216"/>
        </w:trPr>
        <w:tc>
          <w:tcPr>
            <w:tcW w:w="2440" w:type="dxa"/>
            <w:vAlign w:val="bottom"/>
          </w:tcPr>
          <w:p>
            <w:pPr>
              <w:jc w:val="center"/>
              <w:ind w:right="10"/>
              <w:spacing w:after="0"/>
              <w:rPr>
                <w:sz w:val="20"/>
                <w:szCs w:val="20"/>
                <w:color w:val="auto"/>
              </w:rPr>
            </w:pPr>
            <w:r>
              <w:rPr>
                <w:rFonts w:ascii="Arial" w:cs="Arial" w:eastAsia="Arial" w:hAnsi="Arial"/>
                <w:sz w:val="18"/>
                <w:szCs w:val="18"/>
                <w:color w:val="auto"/>
                <w:w w:val="92"/>
              </w:rPr>
              <w:t>(State or other jurisdiction</w:t>
            </w:r>
          </w:p>
        </w:tc>
        <w:tc>
          <w:tcPr>
            <w:tcW w:w="5380" w:type="dxa"/>
            <w:vAlign w:val="bottom"/>
          </w:tcPr>
          <w:p>
            <w:pPr>
              <w:jc w:val="center"/>
              <w:ind w:right="170"/>
              <w:spacing w:after="0"/>
              <w:rPr>
                <w:sz w:val="20"/>
                <w:szCs w:val="20"/>
                <w:color w:val="auto"/>
              </w:rPr>
            </w:pPr>
            <w:r>
              <w:rPr>
                <w:rFonts w:ascii="Arial" w:cs="Arial" w:eastAsia="Arial" w:hAnsi="Arial"/>
                <w:sz w:val="18"/>
                <w:szCs w:val="18"/>
                <w:color w:val="auto"/>
                <w:w w:val="93"/>
              </w:rPr>
              <w:t>(Commission File Number)</w:t>
            </w:r>
          </w:p>
        </w:tc>
        <w:tc>
          <w:tcPr>
            <w:tcW w:w="1680" w:type="dxa"/>
            <w:vAlign w:val="bottom"/>
          </w:tcPr>
          <w:p>
            <w:pPr>
              <w:jc w:val="center"/>
              <w:ind w:left="230"/>
              <w:spacing w:after="0"/>
              <w:rPr>
                <w:sz w:val="20"/>
                <w:szCs w:val="20"/>
                <w:color w:val="auto"/>
              </w:rPr>
            </w:pPr>
            <w:r>
              <w:rPr>
                <w:rFonts w:ascii="Arial" w:cs="Arial" w:eastAsia="Arial" w:hAnsi="Arial"/>
                <w:sz w:val="18"/>
                <w:szCs w:val="18"/>
                <w:color w:val="auto"/>
                <w:w w:val="93"/>
              </w:rPr>
              <w:t>(I.R.S. Employer</w:t>
            </w:r>
          </w:p>
        </w:tc>
      </w:tr>
      <w:tr>
        <w:trPr>
          <w:trHeight w:val="230"/>
        </w:trPr>
        <w:tc>
          <w:tcPr>
            <w:tcW w:w="2440" w:type="dxa"/>
            <w:vAlign w:val="bottom"/>
          </w:tcPr>
          <w:p>
            <w:pPr>
              <w:jc w:val="center"/>
              <w:spacing w:after="0"/>
              <w:rPr>
                <w:sz w:val="20"/>
                <w:szCs w:val="20"/>
                <w:color w:val="auto"/>
              </w:rPr>
            </w:pPr>
            <w:r>
              <w:rPr>
                <w:rFonts w:ascii="Arial" w:cs="Arial" w:eastAsia="Arial" w:hAnsi="Arial"/>
                <w:sz w:val="18"/>
                <w:szCs w:val="18"/>
                <w:color w:val="auto"/>
                <w:w w:val="92"/>
              </w:rPr>
              <w:t>of incorporation or organization)</w:t>
            </w:r>
          </w:p>
        </w:tc>
        <w:tc>
          <w:tcPr>
            <w:tcW w:w="5380" w:type="dxa"/>
            <w:vAlign w:val="bottom"/>
          </w:tcPr>
          <w:p>
            <w:pPr>
              <w:spacing w:after="0"/>
              <w:rPr>
                <w:sz w:val="20"/>
                <w:szCs w:val="20"/>
                <w:color w:val="auto"/>
              </w:rPr>
            </w:pP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5"/>
              </w:rPr>
              <w:t>Identification No.)</w:t>
            </w:r>
          </w:p>
        </w:tc>
      </w:tr>
      <w:tr>
        <w:trPr>
          <w:trHeight w:val="419"/>
        </w:trPr>
        <w:tc>
          <w:tcPr>
            <w:tcW w:w="2440" w:type="dxa"/>
            <w:vAlign w:val="bottom"/>
          </w:tcPr>
          <w:p>
            <w:pPr>
              <w:spacing w:after="0"/>
              <w:rPr>
                <w:sz w:val="24"/>
                <w:szCs w:val="24"/>
                <w:color w:val="auto"/>
              </w:rPr>
            </w:pPr>
          </w:p>
        </w:tc>
        <w:tc>
          <w:tcPr>
            <w:tcW w:w="538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320 Park Avenue, 29</w:t>
            </w:r>
            <w:r>
              <w:rPr>
                <w:rFonts w:ascii="Arial" w:cs="Arial" w:eastAsia="Arial" w:hAnsi="Arial"/>
                <w:sz w:val="30"/>
                <w:szCs w:val="30"/>
                <w:b w:val="1"/>
                <w:bCs w:val="1"/>
                <w:color w:val="auto"/>
                <w:w w:val="88"/>
                <w:vertAlign w:val="superscript"/>
              </w:rPr>
              <w:t>th</w:t>
            </w:r>
            <w:r>
              <w:rPr>
                <w:rFonts w:ascii="Arial" w:cs="Arial" w:eastAsia="Arial" w:hAnsi="Arial"/>
                <w:sz w:val="18"/>
                <w:szCs w:val="18"/>
                <w:b w:val="1"/>
                <w:bCs w:val="1"/>
                <w:color w:val="auto"/>
                <w:w w:val="88"/>
              </w:rPr>
              <w:t xml:space="preserve"> Floor</w:t>
            </w:r>
          </w:p>
        </w:tc>
        <w:tc>
          <w:tcPr>
            <w:tcW w:w="1680" w:type="dxa"/>
            <w:vAlign w:val="bottom"/>
          </w:tcPr>
          <w:p>
            <w:pPr>
              <w:jc w:val="right"/>
              <w:ind w:right="370"/>
              <w:spacing w:after="0"/>
              <w:rPr>
                <w:sz w:val="20"/>
                <w:szCs w:val="20"/>
                <w:color w:val="auto"/>
              </w:rPr>
            </w:pPr>
            <w:r>
              <w:rPr>
                <w:rFonts w:ascii="Arial" w:cs="Arial" w:eastAsia="Arial" w:hAnsi="Arial"/>
                <w:sz w:val="18"/>
                <w:szCs w:val="18"/>
                <w:b w:val="1"/>
                <w:bCs w:val="1"/>
                <w:color w:val="auto"/>
              </w:rPr>
              <w:t>10022</w:t>
            </w:r>
          </w:p>
        </w:tc>
      </w:tr>
      <w:tr>
        <w:trPr>
          <w:trHeight w:val="256"/>
        </w:trPr>
        <w:tc>
          <w:tcPr>
            <w:tcW w:w="2440" w:type="dxa"/>
            <w:vAlign w:val="bottom"/>
          </w:tcPr>
          <w:p>
            <w:pPr>
              <w:spacing w:after="0"/>
              <w:rPr>
                <w:sz w:val="22"/>
                <w:szCs w:val="22"/>
                <w:color w:val="auto"/>
              </w:rPr>
            </w:pPr>
          </w:p>
        </w:tc>
        <w:tc>
          <w:tcPr>
            <w:tcW w:w="538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New York, New York</w:t>
            </w:r>
          </w:p>
        </w:tc>
        <w:tc>
          <w:tcPr>
            <w:tcW w:w="1680" w:type="dxa"/>
            <w:vAlign w:val="bottom"/>
          </w:tcPr>
          <w:p>
            <w:pPr>
              <w:jc w:val="center"/>
              <w:ind w:left="230"/>
              <w:spacing w:after="0"/>
              <w:rPr>
                <w:sz w:val="20"/>
                <w:szCs w:val="20"/>
                <w:color w:val="auto"/>
              </w:rPr>
            </w:pPr>
            <w:r>
              <w:rPr>
                <w:rFonts w:ascii="Arial" w:cs="Arial" w:eastAsia="Arial" w:hAnsi="Arial"/>
                <w:sz w:val="18"/>
                <w:szCs w:val="18"/>
                <w:color w:val="auto"/>
                <w:w w:val="93"/>
              </w:rPr>
              <w:t>(Zip code)</w:t>
            </w:r>
          </w:p>
        </w:tc>
      </w:tr>
      <w:tr>
        <w:trPr>
          <w:trHeight w:val="230"/>
        </w:trPr>
        <w:tc>
          <w:tcPr>
            <w:tcW w:w="2440" w:type="dxa"/>
            <w:vAlign w:val="bottom"/>
          </w:tcPr>
          <w:p>
            <w:pPr>
              <w:spacing w:after="0"/>
              <w:rPr>
                <w:sz w:val="20"/>
                <w:szCs w:val="20"/>
                <w:color w:val="auto"/>
              </w:rPr>
            </w:pPr>
          </w:p>
        </w:tc>
        <w:tc>
          <w:tcPr>
            <w:tcW w:w="5380" w:type="dxa"/>
            <w:vAlign w:val="bottom"/>
          </w:tcPr>
          <w:p>
            <w:pPr>
              <w:jc w:val="center"/>
              <w:ind w:right="170"/>
              <w:spacing w:after="0"/>
              <w:rPr>
                <w:sz w:val="20"/>
                <w:szCs w:val="20"/>
                <w:color w:val="auto"/>
              </w:rPr>
            </w:pPr>
            <w:r>
              <w:rPr>
                <w:rFonts w:ascii="Arial" w:cs="Arial" w:eastAsia="Arial" w:hAnsi="Arial"/>
                <w:sz w:val="18"/>
                <w:szCs w:val="18"/>
                <w:color w:val="auto"/>
                <w:w w:val="92"/>
              </w:rPr>
              <w:t>(Address of principal executive offices)</w:t>
            </w:r>
          </w:p>
        </w:tc>
        <w:tc>
          <w:tcPr>
            <w:tcW w:w="1680" w:type="dxa"/>
            <w:vAlign w:val="bottom"/>
          </w:tcPr>
          <w:p>
            <w:pPr>
              <w:spacing w:after="0"/>
              <w:rPr>
                <w:sz w:val="20"/>
                <w:szCs w:val="20"/>
                <w:color w:val="auto"/>
              </w:rPr>
            </w:pPr>
          </w:p>
        </w:tc>
      </w:tr>
      <w:tr>
        <w:trPr>
          <w:trHeight w:val="432"/>
        </w:trPr>
        <w:tc>
          <w:tcPr>
            <w:tcW w:w="2440" w:type="dxa"/>
            <w:vAlign w:val="bottom"/>
          </w:tcPr>
          <w:p>
            <w:pPr>
              <w:spacing w:after="0"/>
              <w:rPr>
                <w:sz w:val="24"/>
                <w:szCs w:val="24"/>
                <w:color w:val="auto"/>
              </w:rPr>
            </w:pPr>
          </w:p>
        </w:tc>
        <w:tc>
          <w:tcPr>
            <w:tcW w:w="5380" w:type="dxa"/>
            <w:vAlign w:val="bottom"/>
          </w:tcPr>
          <w:p>
            <w:pPr>
              <w:jc w:val="center"/>
              <w:ind w:right="130"/>
              <w:spacing w:after="0"/>
              <w:rPr>
                <w:sz w:val="20"/>
                <w:szCs w:val="20"/>
                <w:color w:val="auto"/>
              </w:rPr>
            </w:pPr>
            <w:r>
              <w:rPr>
                <w:rFonts w:ascii="Arial" w:cs="Arial" w:eastAsia="Arial" w:hAnsi="Arial"/>
                <w:sz w:val="18"/>
                <w:szCs w:val="18"/>
                <w:color w:val="auto"/>
                <w:w w:val="91"/>
              </w:rPr>
              <w:t xml:space="preserve">Registrant’s telephone number, including area code: </w:t>
            </w:r>
            <w:r>
              <w:rPr>
                <w:rFonts w:ascii="Arial" w:cs="Arial" w:eastAsia="Arial" w:hAnsi="Arial"/>
                <w:sz w:val="18"/>
                <w:szCs w:val="18"/>
                <w:b w:val="1"/>
                <w:bCs w:val="1"/>
                <w:color w:val="auto"/>
                <w:w w:val="91"/>
              </w:rPr>
              <w:t>(212) 277-7100</w:t>
            </w:r>
          </w:p>
        </w:tc>
        <w:tc>
          <w:tcPr>
            <w:tcW w:w="1680" w:type="dxa"/>
            <w:vAlign w:val="bottom"/>
          </w:tcPr>
          <w:p>
            <w:pPr>
              <w:spacing w:after="0"/>
              <w:rPr>
                <w:sz w:val="24"/>
                <w:szCs w:val="24"/>
                <w:color w:val="auto"/>
              </w:rPr>
            </w:pPr>
          </w:p>
        </w:tc>
      </w:tr>
      <w:tr>
        <w:trPr>
          <w:trHeight w:val="418"/>
        </w:trPr>
        <w:tc>
          <w:tcPr>
            <w:tcW w:w="2440" w:type="dxa"/>
            <w:vAlign w:val="bottom"/>
          </w:tcPr>
          <w:p>
            <w:pPr>
              <w:spacing w:after="0"/>
              <w:rPr>
                <w:sz w:val="24"/>
                <w:szCs w:val="24"/>
                <w:color w:val="auto"/>
              </w:rPr>
            </w:pPr>
          </w:p>
        </w:tc>
        <w:tc>
          <w:tcPr>
            <w:tcW w:w="5380" w:type="dxa"/>
            <w:vAlign w:val="bottom"/>
          </w:tcPr>
          <w:p>
            <w:pPr>
              <w:jc w:val="center"/>
              <w:ind w:right="170"/>
              <w:spacing w:after="0"/>
              <w:rPr>
                <w:sz w:val="20"/>
                <w:szCs w:val="20"/>
                <w:color w:val="auto"/>
              </w:rPr>
            </w:pPr>
            <w:r>
              <w:rPr>
                <w:rFonts w:ascii="Arial" w:cs="Arial" w:eastAsia="Arial" w:hAnsi="Arial"/>
                <w:sz w:val="18"/>
                <w:szCs w:val="18"/>
                <w:b w:val="1"/>
                <w:bCs w:val="1"/>
                <w:color w:val="auto"/>
              </w:rPr>
              <w:t>NOT APPLICABLE</w:t>
            </w:r>
          </w:p>
        </w:tc>
        <w:tc>
          <w:tcPr>
            <w:tcW w:w="1680" w:type="dxa"/>
            <w:vAlign w:val="bottom"/>
          </w:tcPr>
          <w:p>
            <w:pPr>
              <w:spacing w:after="0"/>
              <w:rPr>
                <w:sz w:val="24"/>
                <w:szCs w:val="24"/>
                <w:color w:val="auto"/>
              </w:rPr>
            </w:pPr>
          </w:p>
        </w:tc>
      </w:tr>
      <w:tr>
        <w:trPr>
          <w:trHeight w:val="212"/>
        </w:trPr>
        <w:tc>
          <w:tcPr>
            <w:tcW w:w="2440" w:type="dxa"/>
            <w:vAlign w:val="bottom"/>
          </w:tcPr>
          <w:p>
            <w:pPr>
              <w:spacing w:after="0"/>
              <w:rPr>
                <w:sz w:val="18"/>
                <w:szCs w:val="18"/>
                <w:color w:val="auto"/>
              </w:rPr>
            </w:pPr>
          </w:p>
        </w:tc>
        <w:tc>
          <w:tcPr>
            <w:tcW w:w="5380" w:type="dxa"/>
            <w:vAlign w:val="bottom"/>
          </w:tcPr>
          <w:p>
            <w:pPr>
              <w:jc w:val="center"/>
              <w:ind w:right="190"/>
              <w:spacing w:after="0"/>
              <w:rPr>
                <w:sz w:val="20"/>
                <w:szCs w:val="20"/>
                <w:color w:val="auto"/>
              </w:rPr>
            </w:pPr>
            <w:r>
              <w:rPr>
                <w:rFonts w:ascii="Arial" w:cs="Arial" w:eastAsia="Arial" w:hAnsi="Arial"/>
                <w:sz w:val="18"/>
                <w:szCs w:val="18"/>
                <w:color w:val="auto"/>
                <w:w w:val="89"/>
              </w:rPr>
              <w:t>(Former name or address, if changed since last report)</w:t>
            </w:r>
          </w:p>
        </w:tc>
        <w:tc>
          <w:tcPr>
            <w:tcW w:w="1680" w:type="dxa"/>
            <w:vAlign w:val="bottom"/>
          </w:tcPr>
          <w:p>
            <w:pPr>
              <w:spacing w:after="0"/>
              <w:rPr>
                <w:sz w:val="18"/>
                <w:szCs w:val="18"/>
                <w:color w:val="auto"/>
              </w:rPr>
            </w:pPr>
          </w:p>
        </w:tc>
      </w:tr>
      <w:tr>
        <w:trPr>
          <w:trHeight w:val="234"/>
        </w:trPr>
        <w:tc>
          <w:tcPr>
            <w:tcW w:w="2440" w:type="dxa"/>
            <w:vAlign w:val="bottom"/>
          </w:tcPr>
          <w:p>
            <w:pPr>
              <w:spacing w:after="0"/>
              <w:rPr>
                <w:sz w:val="20"/>
                <w:szCs w:val="20"/>
                <w:color w:val="auto"/>
              </w:rPr>
            </w:pPr>
          </w:p>
        </w:tc>
        <w:tc>
          <w:tcPr>
            <w:tcW w:w="53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____________________________________________</w:t>
            </w:r>
          </w:p>
        </w:tc>
        <w:tc>
          <w:tcPr>
            <w:tcW w:w="1680" w:type="dxa"/>
            <w:vAlign w:val="bottom"/>
          </w:tcPr>
          <w:p>
            <w:pPr>
              <w:spacing w:after="0"/>
              <w:rPr>
                <w:sz w:val="20"/>
                <w:szCs w:val="20"/>
                <w:color w:val="auto"/>
              </w:rPr>
            </w:pPr>
          </w:p>
        </w:tc>
      </w:tr>
    </w:tbl>
    <w:p>
      <w:pPr>
        <w:ind w:right="12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1"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63"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or Rule 12b-2 of the Securities Exchange Act of 1934 (§240.12b-2 of this chapter)</w:t>
      </w:r>
    </w:p>
    <w:p>
      <w:pPr>
        <w:spacing w:after="0" w:line="238" w:lineRule="exact"/>
        <w:rPr>
          <w:sz w:val="24"/>
          <w:szCs w:val="24"/>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Emerging growth company</w:t>
      </w:r>
    </w:p>
    <w:p>
      <w:pPr>
        <w:spacing w:after="0" w:line="333" w:lineRule="exact"/>
        <w:rPr>
          <w:rFonts w:ascii="Arial" w:cs="Arial" w:eastAsia="Arial" w:hAnsi="Arial"/>
          <w:sz w:val="18"/>
          <w:szCs w:val="18"/>
          <w:color w:val="auto"/>
        </w:rPr>
      </w:pPr>
    </w:p>
    <w:p>
      <w:pPr>
        <w:ind w:left="580" w:right="100" w:hanging="572"/>
        <w:spacing w:after="0" w:line="277"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4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0"/>
        </w:trPr>
        <w:tc>
          <w:tcPr>
            <w:tcW w:w="4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EXLS</w:t>
            </w: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NASDAQ</w:t>
            </w:r>
          </w:p>
        </w:tc>
      </w:tr>
      <w:tr>
        <w:trPr>
          <w:trHeight w:val="264"/>
        </w:trPr>
        <w:tc>
          <w:tcPr>
            <w:tcW w:w="460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spacing w:after="0"/>
              <w:rPr>
                <w:sz w:val="22"/>
                <w:szCs w:val="22"/>
                <w:color w:val="auto"/>
              </w:rPr>
            </w:pPr>
          </w:p>
        </w:tc>
        <w:tc>
          <w:tcPr>
            <w:tcW w:w="4540" w:type="dxa"/>
            <w:vAlign w:val="bottom"/>
            <w:tcBorders>
              <w:bottom w:val="single" w:sz="8" w:color="auto"/>
            </w:tcBorders>
          </w:tcPr>
          <w:p>
            <w:pPr>
              <w:spacing w:after="0"/>
              <w:rPr>
                <w:sz w:val="22"/>
                <w:szCs w:val="22"/>
                <w:color w:val="auto"/>
              </w:rPr>
            </w:pPr>
          </w:p>
        </w:tc>
      </w:tr>
      <w:tr>
        <w:trPr>
          <w:trHeight w:val="28"/>
        </w:trPr>
        <w:tc>
          <w:tcPr>
            <w:tcW w:w="46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459"/>
        </w:trPr>
        <w:tc>
          <w:tcPr>
            <w:tcW w:w="46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7"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This Amendment No. 1 on Form 8-K/A amends the Current Report on Form 8-K filed on April 4, 2019 (the “Original Filing”) by ExlService Holdings, Inc. (the “Company”). The Original Filing reported, among other items, the Company’s commencement of substantially winding down the operations of the Health Integrated business. At the time of the Original Filing, the Company was not able to make a good faith determination of the amount or range of amounts of each major type of cost that would be incurred or the amount or range of amounts of costs that would result in future cash expenditures. The Company hereby amends the Original Filing to include information on such estimate or range of estimates with respect to such action in Item 2.05 below. Other than as set forth in Item 2.05 below, no other disclosure in the Original Filing is amended by this Form 8-K/A.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2.05. Costs Associated with Exit or Disposal Activities.</w:t>
      </w:r>
    </w:p>
    <w:p>
      <w:pPr>
        <w:spacing w:after="0" w:line="22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On July 10, 2019, the Company determined that it currently expects to incur pre-tax costs in the range of $8.5 million to $10.0 million to wind down the Health Integrated business. Components of the major types of estimated pre-tax costs include contract termination costs between $3.0 million and $3.5 million, impairments of property, equipment and right-of-use assets between $3.0 million and $3.5 million, and employee severance, retention and other associated costs between $2.5 million and $3.0 million. Expected cash expenditures in connection with the wind down are now estimated to be in the range of $7.0 million to $8.0 million. Costs and cash expenditures expected to be incurred are subject to a number of assumptions, and we may incur additional costs not currently contemplated due to events that may occur as a result of, or that are associated with the foregoing or any of the factors listed below under “Cautionary Note Regarding Forward-Looking Statements”. We currently expect the wind down process to be substantially completed by the end of 2019.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2.06. Material Impairments.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disclosure set forth above in Item 2.05 of this Amendment No. 1 to Current Report on Form 8-K is incorporated by reference herein.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Form 8-K release contains forward-looking statements. Investors should not place undue 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These statements are not guarantees of performance or results. They involve known and unknown risks, uncertainties and assumptions. Although EXL believes that these forward-looking statements are based on reasonable assumptions, many factors could affect EXL’s actual financial results or results of operations and could cause actual results to differ materially from those in the forward-looking statements. These factors, which include our ability to successfully close and integrate strategic acquisitions, are discussed in more detail in EXL’s filings with the Securities and Exchange Commission, including its Annual Reports on Form 10-K and Quarterly Reports on Form 10-Q. These risks, including the risk that we are not able to accurately estimate or manage the costs or timing of winding down businesses, could cause actual results to differ materially from those implied by forward-looking statements in this release.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60" w:type="dxa"/>
            <w:vAlign w:val="bottom"/>
          </w:tcPr>
          <w:p>
            <w:pPr>
              <w:spacing w:after="0"/>
              <w:rPr>
                <w:sz w:val="19"/>
                <w:szCs w:val="19"/>
                <w:color w:val="auto"/>
              </w:rPr>
            </w:pPr>
          </w:p>
        </w:tc>
        <w:tc>
          <w:tcPr>
            <w:tcW w:w="6160" w:type="dxa"/>
            <w:vAlign w:val="bottom"/>
            <w:gridSpan w:val="2"/>
          </w:tcPr>
          <w:p>
            <w:pPr>
              <w:ind w:left="2160"/>
              <w:spacing w:after="0"/>
              <w:rPr>
                <w:sz w:val="20"/>
                <w:szCs w:val="20"/>
                <w:color w:val="auto"/>
              </w:rPr>
            </w:pPr>
            <w:r>
              <w:rPr>
                <w:rFonts w:ascii="Arial" w:cs="Arial" w:eastAsia="Arial" w:hAnsi="Arial"/>
                <w:sz w:val="18"/>
                <w:szCs w:val="18"/>
                <w:b w:val="1"/>
                <w:bCs w:val="1"/>
                <w:color w:val="auto"/>
              </w:rPr>
              <w:t>EXLSERVICE HOLDINGS, INC.</w:t>
            </w:r>
          </w:p>
        </w:tc>
        <w:tc>
          <w:tcPr>
            <w:tcW w:w="1700" w:type="dxa"/>
            <w:vAlign w:val="bottom"/>
          </w:tcPr>
          <w:p>
            <w:pPr>
              <w:spacing w:after="0"/>
              <w:rPr>
                <w:sz w:val="19"/>
                <w:szCs w:val="19"/>
                <w:color w:val="auto"/>
              </w:rPr>
            </w:pPr>
          </w:p>
        </w:tc>
      </w:tr>
      <w:tr>
        <w:trPr>
          <w:trHeight w:val="230"/>
        </w:trPr>
        <w:tc>
          <w:tcPr>
            <w:tcW w:w="3560" w:type="dxa"/>
            <w:vAlign w:val="bottom"/>
          </w:tcPr>
          <w:p>
            <w:pPr>
              <w:spacing w:after="0"/>
              <w:rPr>
                <w:sz w:val="20"/>
                <w:szCs w:val="20"/>
                <w:color w:val="auto"/>
              </w:rPr>
            </w:pPr>
          </w:p>
        </w:tc>
        <w:tc>
          <w:tcPr>
            <w:tcW w:w="6160" w:type="dxa"/>
            <w:vAlign w:val="bottom"/>
            <w:gridSpan w:val="2"/>
          </w:tcPr>
          <w:p>
            <w:pPr>
              <w:ind w:left="2160"/>
              <w:spacing w:after="0"/>
              <w:rPr>
                <w:sz w:val="20"/>
                <w:szCs w:val="20"/>
                <w:color w:val="auto"/>
              </w:rPr>
            </w:pPr>
            <w:r>
              <w:rPr>
                <w:rFonts w:ascii="Arial" w:cs="Arial" w:eastAsia="Arial" w:hAnsi="Arial"/>
                <w:sz w:val="18"/>
                <w:szCs w:val="18"/>
                <w:color w:val="auto"/>
              </w:rPr>
              <w:t>(Registrant)</w:t>
            </w:r>
          </w:p>
        </w:tc>
        <w:tc>
          <w:tcPr>
            <w:tcW w:w="1700" w:type="dxa"/>
            <w:vAlign w:val="bottom"/>
          </w:tcPr>
          <w:p>
            <w:pPr>
              <w:spacing w:after="0"/>
              <w:rPr>
                <w:sz w:val="20"/>
                <w:szCs w:val="20"/>
                <w:color w:val="auto"/>
              </w:rPr>
            </w:pPr>
          </w:p>
        </w:tc>
      </w:tr>
      <w:tr>
        <w:trPr>
          <w:trHeight w:val="648"/>
        </w:trPr>
        <w:tc>
          <w:tcPr>
            <w:tcW w:w="3560" w:type="dxa"/>
            <w:vAlign w:val="bottom"/>
          </w:tcPr>
          <w:p>
            <w:pPr>
              <w:spacing w:after="0"/>
              <w:rPr>
                <w:sz w:val="20"/>
                <w:szCs w:val="20"/>
                <w:color w:val="auto"/>
              </w:rPr>
            </w:pPr>
            <w:r>
              <w:rPr>
                <w:rFonts w:ascii="Arial" w:cs="Arial" w:eastAsia="Arial" w:hAnsi="Arial"/>
                <w:sz w:val="18"/>
                <w:szCs w:val="18"/>
                <w:color w:val="auto"/>
              </w:rPr>
              <w:t>Date: July 16, 2019</w:t>
            </w:r>
          </w:p>
        </w:tc>
        <w:tc>
          <w:tcPr>
            <w:tcW w:w="2740" w:type="dxa"/>
            <w:vAlign w:val="bottom"/>
          </w:tcPr>
          <w:p>
            <w:pPr>
              <w:ind w:left="216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Ajay Ayyappan</w:t>
            </w:r>
          </w:p>
        </w:tc>
        <w:tc>
          <w:tcPr>
            <w:tcW w:w="170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740" w:type="dxa"/>
            <w:vAlign w:val="bottom"/>
          </w:tcPr>
          <w:p>
            <w:pPr>
              <w:ind w:left="2160"/>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Ajay Ayyappan</w:t>
            </w:r>
          </w:p>
        </w:tc>
        <w:tc>
          <w:tcPr>
            <w:tcW w:w="170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740" w:type="dxa"/>
            <w:vAlign w:val="bottom"/>
          </w:tcPr>
          <w:p>
            <w:pPr>
              <w:ind w:left="2160"/>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c>
          <w:tcPr>
            <w:tcW w:w="1700" w:type="dxa"/>
            <w:vAlign w:val="bottom"/>
          </w:tcPr>
          <w:p>
            <w:pPr>
              <w:spacing w:after="0"/>
              <w:rPr>
                <w:sz w:val="20"/>
                <w:szCs w:val="20"/>
                <w:color w:val="auto"/>
              </w:rPr>
            </w:pPr>
          </w:p>
        </w:tc>
      </w:tr>
      <w:tr>
        <w:trPr>
          <w:trHeight w:val="675"/>
        </w:trPr>
        <w:tc>
          <w:tcPr>
            <w:tcW w:w="35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2019-12-01T00:35:44Z</dcterms:created>
  <dcterms:modified xsi:type="dcterms:W3CDTF">2019-12-01T00:35:44Z</dcterms:modified>
</cp:coreProperties>
</file>