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331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3146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 Villa Rembert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09/25/2017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5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020" w:type="dxa"/>
            <w:vAlign w:val="bottom"/>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020" w:type="dxa"/>
            <w:vAlign w:val="bottom"/>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5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02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40" w:type="dxa"/>
            <w:vAlign w:val="bottom"/>
          </w:tcPr>
          <w:p>
            <w:pPr>
              <w:spacing w:after="0"/>
              <w:rPr>
                <w:sz w:val="22"/>
                <w:szCs w:val="22"/>
                <w:color w:val="auto"/>
              </w:rPr>
            </w:pPr>
          </w:p>
        </w:tc>
        <w:tc>
          <w:tcPr>
            <w:tcW w:w="1540" w:type="dxa"/>
            <w:vAlign w:val="bottom"/>
          </w:tcPr>
          <w:p>
            <w:pPr>
              <w:ind w:left="1040"/>
              <w:spacing w:after="0"/>
              <w:rPr>
                <w:sz w:val="20"/>
                <w:szCs w:val="20"/>
                <w:color w:val="auto"/>
              </w:rPr>
            </w:pPr>
            <w:r>
              <w:rPr>
                <w:rFonts w:ascii="Arial" w:cs="Arial" w:eastAsia="Arial" w:hAnsi="Arial"/>
                <w:sz w:val="17"/>
                <w:szCs w:val="17"/>
                <w:color w:val="0000FF"/>
              </w:rPr>
              <w:t>EVP</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0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10017</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42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4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112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09/25/2017</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141"/>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8"/>
              </w:rPr>
              <w:t>19,391</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23.82</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30,088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112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09/25/2017</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14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8"/>
              </w:rPr>
              <w:t>19,391</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57.4</w:t>
            </w:r>
            <w:r>
              <w:rPr>
                <w:rFonts w:ascii="Arial" w:cs="Arial" w:eastAsia="Arial" w:hAnsi="Arial"/>
                <w:sz w:val="22"/>
                <w:szCs w:val="22"/>
                <w:color w:val="008000"/>
                <w:vertAlign w:val="superscript"/>
              </w:rPr>
              <w:t>(3)</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10,697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w w:val="98"/>
              </w:rPr>
              <w:t>3A. Deemed</w:t>
            </w:r>
          </w:p>
        </w:tc>
        <w:tc>
          <w:tcPr>
            <w:tcW w:w="3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rPr>
                <w:sz w:val="11"/>
                <w:szCs w:val="11"/>
                <w:color w:val="auto"/>
              </w:rPr>
            </w:pPr>
          </w:p>
        </w:tc>
        <w:tc>
          <w:tcPr>
            <w:tcW w:w="12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94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ind w:left="8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19,391</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Options</w:t>
            </w:r>
          </w:p>
        </w:tc>
        <w:tc>
          <w:tcPr>
            <w:tcW w:w="800" w:type="dxa"/>
            <w:vAlign w:val="bottom"/>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23.82</w:t>
            </w:r>
          </w:p>
        </w:tc>
        <w:tc>
          <w:tcPr>
            <w:tcW w:w="1080" w:type="dxa"/>
            <w:vAlign w:val="bottom"/>
          </w:tcPr>
          <w:p>
            <w:pPr>
              <w:jc w:val="right"/>
              <w:ind w:right="138"/>
              <w:spacing w:after="0" w:line="148" w:lineRule="exact"/>
              <w:rPr>
                <w:sz w:val="20"/>
                <w:szCs w:val="20"/>
                <w:color w:val="auto"/>
              </w:rPr>
            </w:pPr>
            <w:r>
              <w:rPr>
                <w:rFonts w:ascii="Arial" w:cs="Arial" w:eastAsia="Arial" w:hAnsi="Arial"/>
                <w:sz w:val="13"/>
                <w:szCs w:val="13"/>
                <w:color w:val="0000FF"/>
              </w:rPr>
              <w:t>09/25/2017</w:t>
            </w: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940" w:type="dxa"/>
            <w:vAlign w:val="bottom"/>
          </w:tcPr>
          <w:p>
            <w:pPr>
              <w:ind w:left="460"/>
              <w:spacing w:after="0" w:line="148" w:lineRule="exact"/>
              <w:rPr>
                <w:sz w:val="20"/>
                <w:szCs w:val="20"/>
                <w:color w:val="auto"/>
              </w:rPr>
            </w:pPr>
            <w:r>
              <w:rPr>
                <w:rFonts w:ascii="Arial" w:cs="Arial" w:eastAsia="Arial" w:hAnsi="Arial"/>
                <w:sz w:val="13"/>
                <w:szCs w:val="13"/>
                <w:color w:val="0000FF"/>
              </w:rPr>
              <w:t>19,391</w:t>
            </w:r>
          </w:p>
        </w:tc>
        <w:tc>
          <w:tcPr>
            <w:tcW w:w="800" w:type="dxa"/>
            <w:vAlign w:val="bottom"/>
            <w:gridSpan w:val="2"/>
            <w:vMerge w:val="continue"/>
          </w:tcPr>
          <w:p>
            <w:pPr>
              <w:spacing w:after="0"/>
              <w:rPr>
                <w:sz w:val="12"/>
                <w:szCs w:val="12"/>
                <w:color w:val="auto"/>
              </w:rPr>
            </w:pPr>
          </w:p>
        </w:tc>
        <w:tc>
          <w:tcPr>
            <w:tcW w:w="80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04/24/2018</w:t>
            </w:r>
          </w:p>
        </w:tc>
        <w:tc>
          <w:tcPr>
            <w:tcW w:w="640" w:type="dxa"/>
            <w:vAlign w:val="bottom"/>
          </w:tcPr>
          <w:p>
            <w:pPr>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ind w:left="1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8" w:lineRule="exact"/>
              <w:rPr>
                <w:sz w:val="20"/>
                <w:szCs w:val="20"/>
                <w:color w:val="auto"/>
              </w:rPr>
            </w:pPr>
            <w:r>
              <w:rPr>
                <w:rFonts w:ascii="Arial" w:cs="Arial" w:eastAsia="Arial" w:hAnsi="Arial"/>
                <w:sz w:val="13"/>
                <w:szCs w:val="13"/>
                <w:color w:val="0000FF"/>
                <w:w w:val="90"/>
              </w:rPr>
              <w:t>14,239</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ind w:left="80"/>
              <w:spacing w:after="0" w:line="148" w:lineRule="exact"/>
              <w:rPr>
                <w:sz w:val="20"/>
                <w:szCs w:val="20"/>
                <w:color w:val="auto"/>
              </w:rPr>
            </w:pPr>
            <w:r>
              <w:rPr>
                <w:rFonts w:ascii="Arial" w:cs="Arial" w:eastAsia="Arial" w:hAnsi="Arial"/>
                <w:sz w:val="13"/>
                <w:szCs w:val="13"/>
                <w:color w:val="0000FF"/>
              </w:rPr>
              <w:t>$0.001</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25, 2017 the reporting person exercised previously issued options to purchase an aggregate of 19,391 shares of common stock of ExlService Holdings, Inc.</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1" w:lineRule="exact"/>
        <w:rPr>
          <w:rFonts w:ascii="Arial" w:cs="Arial" w:eastAsia="Arial" w:hAnsi="Arial"/>
          <w:sz w:val="13"/>
          <w:szCs w:val="13"/>
          <w:color w:val="008000"/>
        </w:rPr>
      </w:pPr>
    </w:p>
    <w:p>
      <w:pPr>
        <w:jc w:val="both"/>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$56.86 to $57.67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40" w:right="1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April 24, 2008, the reporting person was granted 40,000 stock options. 10 percent of these options became vested and exercisable on April 24, 2009, an additional 20 percent became vested and exercisable on April 24, 2010, an additional 30 percent became vested and exercisable on April 24, 2011, and the balance of 40 percent became vested and exercisable on April 24, 2012.</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09/27/2017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088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2019-12-04T01:00:47Z</dcterms:created>
  <dcterms:modified xsi:type="dcterms:W3CDTF">2019-12-04T01:00:47Z</dcterms:modified>
</cp:coreProperties>
</file>