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2311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2311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KELSO DAVID B</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07/06/2011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8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80" w:type="dxa"/>
            <w:vAlign w:val="bottom"/>
            <w:gridSpan w:val="2"/>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820" w:type="dxa"/>
            <w:vAlign w:val="bottom"/>
            <w:tcBorders>
              <w:bottom w:val="single" w:sz="8" w:color="2C2C2C"/>
            </w:tcBorders>
            <w:gridSpan w:val="4"/>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820" w:type="dxa"/>
            <w:vAlign w:val="bottom"/>
            <w:gridSpan w:val="4"/>
          </w:tcPr>
          <w:p>
            <w:pPr>
              <w:ind w:left="60"/>
              <w:spacing w:after="0"/>
              <w:rPr>
                <w:sz w:val="20"/>
                <w:szCs w:val="20"/>
                <w:color w:val="auto"/>
              </w:rPr>
            </w:pPr>
            <w:r>
              <w:rPr>
                <w:rFonts w:ascii="Arial" w:cs="Arial" w:eastAsia="Arial" w:hAnsi="Arial"/>
                <w:sz w:val="18"/>
                <w:szCs w:val="18"/>
                <w:color w:val="0000FF"/>
              </w:rPr>
              <w:t>Common Stock, par value $0.001 per share</w:t>
            </w:r>
          </w:p>
        </w:tc>
        <w:tc>
          <w:tcPr>
            <w:tcW w:w="7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60" w:type="dxa"/>
            <w:vAlign w:val="bottom"/>
            <w:gridSpan w:val="3"/>
          </w:tcPr>
          <w:p>
            <w:pPr>
              <w:ind w:left="520"/>
              <w:spacing w:after="0"/>
              <w:rPr>
                <w:sz w:val="20"/>
                <w:szCs w:val="20"/>
                <w:color w:val="auto"/>
              </w:rPr>
            </w:pPr>
            <w:r>
              <w:rPr>
                <w:rFonts w:ascii="Arial" w:cs="Arial" w:eastAsia="Arial" w:hAnsi="Arial"/>
                <w:sz w:val="18"/>
                <w:szCs w:val="18"/>
                <w:color w:val="0000FF"/>
              </w:rPr>
              <w:t>5,000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100" w:type="dxa"/>
            <w:vAlign w:val="bottom"/>
            <w:tcBorders>
              <w:bottom w:val="single" w:sz="8" w:color="2C2C2C"/>
            </w:tcBorders>
            <w:gridSpan w:val="6"/>
          </w:tcPr>
          <w:p>
            <w:pPr>
              <w:spacing w:after="0"/>
              <w:rPr>
                <w:sz w:val="8"/>
                <w:szCs w:val="8"/>
                <w:color w:val="auto"/>
              </w:rPr>
            </w:pPr>
          </w:p>
        </w:tc>
        <w:tc>
          <w:tcPr>
            <w:tcW w:w="260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4"/>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11"/>
          </w:tcPr>
          <w:p>
            <w:pPr>
              <w:jc w:val="right"/>
              <w:ind w:right="1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ind w:left="4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340" w:type="dxa"/>
            <w:vAlign w:val="bottom"/>
          </w:tcPr>
          <w:p>
            <w:pPr>
              <w:spacing w:after="0"/>
              <w:rPr>
                <w:sz w:val="12"/>
                <w:szCs w:val="12"/>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color w:val="008000"/>
              </w:rPr>
              <w:t>(1)</w:t>
            </w:r>
          </w:p>
        </w:tc>
        <w:tc>
          <w:tcPr>
            <w:tcW w:w="680" w:type="dxa"/>
            <w:vAlign w:val="bottom"/>
          </w:tcPr>
          <w:p>
            <w:pPr>
              <w:ind w:left="12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jc w:val="right"/>
              <w:ind w:right="35"/>
              <w:spacing w:after="0"/>
              <w:rPr>
                <w:sz w:val="20"/>
                <w:szCs w:val="20"/>
                <w:color w:val="auto"/>
              </w:rPr>
            </w:pPr>
            <w:r>
              <w:rPr>
                <w:rFonts w:ascii="Arial" w:cs="Arial" w:eastAsia="Arial" w:hAnsi="Arial"/>
                <w:sz w:val="18"/>
                <w:szCs w:val="18"/>
                <w:color w:val="0000FF"/>
                <w:w w:val="93"/>
              </w:rPr>
              <w:t>4,000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2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4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rPr>
              <w:t>07/06/2011</w:t>
            </w:r>
          </w:p>
        </w:tc>
        <w:tc>
          <w:tcPr>
            <w:tcW w:w="1140" w:type="dxa"/>
            <w:vAlign w:val="bottom"/>
          </w:tcPr>
          <w:p>
            <w:pPr>
              <w:spacing w:after="0"/>
              <w:rPr>
                <w:sz w:val="5"/>
                <w:szCs w:val="5"/>
                <w:color w:val="auto"/>
              </w:rPr>
            </w:pPr>
          </w:p>
        </w:tc>
        <w:tc>
          <w:tcPr>
            <w:tcW w:w="74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580" w:type="dxa"/>
            <w:vAlign w:val="bottom"/>
            <w:vMerge w:val="restart"/>
          </w:tcPr>
          <w:p>
            <w:pPr>
              <w:ind w:left="180"/>
              <w:spacing w:after="0" w:line="149" w:lineRule="exact"/>
              <w:rPr>
                <w:sz w:val="20"/>
                <w:szCs w:val="20"/>
                <w:color w:val="auto"/>
              </w:rPr>
            </w:pPr>
            <w:r>
              <w:rPr>
                <w:rFonts w:ascii="Arial" w:cs="Arial" w:eastAsia="Arial" w:hAnsi="Arial"/>
                <w:sz w:val="14"/>
                <w:szCs w:val="14"/>
                <w:color w:val="0000FF"/>
              </w:rPr>
              <w:t>4,000</w:t>
            </w:r>
          </w:p>
        </w:tc>
        <w:tc>
          <w:tcPr>
            <w:tcW w:w="34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restart"/>
          </w:tcPr>
          <w:p>
            <w:pPr>
              <w:ind w:left="4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20"/>
              <w:spacing w:after="0" w:line="149" w:lineRule="exact"/>
              <w:rPr>
                <w:sz w:val="20"/>
                <w:szCs w:val="20"/>
                <w:color w:val="auto"/>
              </w:rPr>
            </w:pPr>
            <w:r>
              <w:rPr>
                <w:rFonts w:ascii="Arial" w:cs="Arial" w:eastAsia="Arial" w:hAnsi="Arial"/>
                <w:sz w:val="14"/>
                <w:szCs w:val="14"/>
                <w:color w:val="0000FF"/>
                <w:w w:val="88"/>
              </w:rPr>
              <w:t>24,000</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vMerge w:val="restart"/>
          </w:tcPr>
          <w:p>
            <w:pPr>
              <w:ind w:left="100"/>
              <w:spacing w:after="0"/>
              <w:rPr>
                <w:sz w:val="20"/>
                <w:szCs w:val="20"/>
                <w:color w:val="auto"/>
              </w:rPr>
            </w:pPr>
            <w:r>
              <w:rPr>
                <w:rFonts w:ascii="Arial" w:cs="Arial" w:eastAsia="Arial" w:hAnsi="Arial"/>
                <w:sz w:val="14"/>
                <w:szCs w:val="14"/>
                <w:color w:val="0000FF"/>
              </w:rPr>
              <w:t>$0.001</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080"/>
        <w:spacing w:after="0"/>
        <w:rPr>
          <w:sz w:val="20"/>
          <w:szCs w:val="20"/>
          <w:color w:val="auto"/>
        </w:rPr>
      </w:pPr>
      <w:r>
        <w:rPr>
          <w:rFonts w:ascii="Arial" w:cs="Arial" w:eastAsia="Arial" w:hAnsi="Arial"/>
          <w:sz w:val="14"/>
          <w:szCs w:val="14"/>
          <w:color w:val="0000FF"/>
        </w:rPr>
        <w:t>per share</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restricted stock vests upon the earlier of (i) the first anniversary of the date of grant, (ii) the end of the reporting person's term on the Board of Directors of ExlService Holdings, Inc. (the "Board") if such person is not subsequently elected to a new term on the Board, and (iii) the occurrence of a "Change in Control", as defined in the ExlService Holdings, Inc. 2006 Omnibus Award Plan (the "2006 Plan"), and such awards settle upon the earlier of (i) the reporting person's death, (ii) the occurrence of a "Change of Control", as defined in the 2006 Plan and (iii) 180 days following the end of the reporting person's term on the Board.</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07/08/2011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7801"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2019-12-16T15:21:14Z</dcterms:created>
  <dcterms:modified xsi:type="dcterms:W3CDTF">2019-12-16T15:21:14Z</dcterms:modified>
</cp:coreProperties>
</file>