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74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Shashank Amit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04/23/2007</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18"/>
          <w:szCs w:val="18"/>
          <w:color w:val="0000FF"/>
        </w:rPr>
        <w:t>VP, Gen. Counsel/Corp. Sec'y</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744"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744"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w w:val="9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04/23/2007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7"/>
                <w:szCs w:val="27"/>
                <w:color w:val="0000FF"/>
                <w:w w:val="90"/>
                <w:vertAlign w:val="subscript"/>
              </w:rPr>
              <w:t>M</w:t>
            </w:r>
            <w:r>
              <w:rPr>
                <w:rFonts w:ascii="Times New Roman" w:cs="Times New Roman" w:eastAsia="Times New Roman" w:hAnsi="Times New Roman"/>
                <w:sz w:val="11"/>
                <w:szCs w:val="11"/>
                <w:color w:val="008000"/>
                <w:w w:val="9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11.875</w:t>
            </w:r>
            <w:r>
              <w:rPr>
                <w:rFonts w:ascii="Times New Roman" w:cs="Times New Roman" w:eastAsia="Times New Roman" w:hAnsi="Times New Roman"/>
                <w:sz w:val="22"/>
                <w:szCs w:val="22"/>
                <w:color w:val="008000"/>
                <w:w w:val="91"/>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4,000</w:t>
            </w:r>
          </w:p>
        </w:tc>
        <w:tc>
          <w:tcPr>
            <w:tcW w:w="9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w w:val="9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04/23/2007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7"/>
                <w:szCs w:val="27"/>
                <w:color w:val="0000FF"/>
                <w:w w:val="90"/>
                <w:vertAlign w:val="subscript"/>
              </w:rPr>
              <w:t>M</w:t>
            </w:r>
            <w:r>
              <w:rPr>
                <w:rFonts w:ascii="Times New Roman" w:cs="Times New Roman" w:eastAsia="Times New Roman" w:hAnsi="Times New Roman"/>
                <w:sz w:val="11"/>
                <w:szCs w:val="11"/>
                <w:color w:val="008000"/>
                <w:w w:val="9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9,000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10.625</w:t>
            </w:r>
            <w:r>
              <w:rPr>
                <w:rFonts w:ascii="Times New Roman" w:cs="Times New Roman" w:eastAsia="Times New Roman" w:hAnsi="Times New Roman"/>
                <w:sz w:val="22"/>
                <w:szCs w:val="22"/>
                <w:color w:val="008000"/>
                <w:w w:val="91"/>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13,000</w:t>
            </w:r>
          </w:p>
        </w:tc>
        <w:tc>
          <w:tcPr>
            <w:tcW w:w="9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w w:val="9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04/23/2007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7"/>
                <w:szCs w:val="27"/>
                <w:color w:val="0000FF"/>
                <w:w w:val="96"/>
                <w:vertAlign w:val="subscript"/>
              </w:rPr>
              <w:t>S</w:t>
            </w:r>
            <w:r>
              <w:rPr>
                <w:rFonts w:ascii="Times New Roman" w:cs="Times New Roman" w:eastAsia="Times New Roman" w:hAnsi="Times New Roman"/>
                <w:sz w:val="11"/>
                <w:szCs w:val="11"/>
                <w:color w:val="008000"/>
                <w:w w:val="96"/>
              </w:rPr>
              <w:t>(4)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10,000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20.2939</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3,000</w:t>
            </w:r>
          </w:p>
        </w:tc>
        <w:tc>
          <w:tcPr>
            <w:tcW w:w="9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vMerge w:val="restart"/>
          </w:tcPr>
          <w:p>
            <w:pPr>
              <w:ind w:left="140"/>
              <w:spacing w:after="0" w:line="2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11.875</w:t>
            </w:r>
            <w:r>
              <w:rPr>
                <w:rFonts w:ascii="Times New Roman" w:cs="Times New Roman" w:eastAsia="Times New Roman" w:hAnsi="Times New Roman"/>
                <w:sz w:val="22"/>
                <w:szCs w:val="22"/>
                <w:color w:val="008000"/>
                <w:vertAlign w:val="superscript"/>
              </w:rPr>
              <w:t>(2)</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restart"/>
          </w:tcPr>
          <w:p>
            <w:pPr>
              <w:ind w:left="80"/>
              <w:spacing w:after="0" w:line="230"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1,000</w:t>
            </w: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Times New Roman" w:cs="Times New Roman" w:eastAsia="Times New Roman" w:hAnsi="Times New Roman"/>
                <w:sz w:val="14"/>
                <w:szCs w:val="14"/>
                <w:color w:val="0000FF"/>
              </w:rPr>
              <w:t>04/23/2007</w:t>
            </w: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restart"/>
          </w:tcPr>
          <w:p>
            <w:pPr>
              <w:ind w:left="400"/>
              <w:spacing w:after="0" w:line="149" w:lineRule="exact"/>
              <w:rPr>
                <w:sz w:val="20"/>
                <w:szCs w:val="20"/>
                <w:color w:val="auto"/>
              </w:rPr>
            </w:pPr>
            <w:r>
              <w:rPr>
                <w:rFonts w:ascii="Times New Roman" w:cs="Times New Roman" w:eastAsia="Times New Roman" w:hAnsi="Times New Roman"/>
                <w:sz w:val="14"/>
                <w:szCs w:val="14"/>
                <w:color w:val="0000FF"/>
              </w:rPr>
              <w:t>1,000</w:t>
            </w: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04/20/2016</w:t>
            </w:r>
          </w:p>
        </w:tc>
        <w:tc>
          <w:tcPr>
            <w:tcW w:w="70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vMerge w:val="restart"/>
          </w:tcPr>
          <w:p>
            <w:pPr>
              <w:jc w:val="right"/>
              <w:ind w:right="278"/>
              <w:spacing w:after="0" w:line="149" w:lineRule="exact"/>
              <w:rPr>
                <w:sz w:val="20"/>
                <w:szCs w:val="20"/>
                <w:color w:val="auto"/>
              </w:rPr>
            </w:pPr>
            <w:r>
              <w:rPr>
                <w:rFonts w:ascii="Times New Roman" w:cs="Times New Roman" w:eastAsia="Times New Roman" w:hAnsi="Times New Roman"/>
                <w:sz w:val="14"/>
                <w:szCs w:val="14"/>
                <w:color w:val="0000FF"/>
              </w:rPr>
              <w:t>9,000</w:t>
            </w:r>
          </w:p>
        </w:tc>
        <w:tc>
          <w:tcPr>
            <w:tcW w:w="76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10.625</w:t>
            </w:r>
            <w:r>
              <w:rPr>
                <w:rFonts w:ascii="Times New Roman" w:cs="Times New Roman" w:eastAsia="Times New Roman" w:hAnsi="Times New Roman"/>
                <w:sz w:val="22"/>
                <w:szCs w:val="22"/>
                <w:color w:val="008000"/>
                <w:vertAlign w:val="superscript"/>
              </w:rPr>
              <w:t>(3)</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restart"/>
          </w:tcPr>
          <w:p>
            <w:pPr>
              <w:ind w:left="80"/>
              <w:spacing w:after="0" w:line="283" w:lineRule="exact"/>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7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9,000</w:t>
            </w: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0000FF"/>
              </w:rPr>
              <w:t>04/23/2007</w:t>
            </w: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0000FF"/>
              </w:rPr>
              <w:t>9,000</w:t>
            </w: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06/07/2014</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color w:val="0000FF"/>
              </w:rPr>
              <w:t>51,000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95" w:lineRule="exact"/>
              <w:rPr>
                <w:sz w:val="20"/>
                <w:szCs w:val="20"/>
                <w:color w:val="auto"/>
              </w:rPr>
            </w:pPr>
            <w:r>
              <w:rPr>
                <w:rFonts w:ascii="Times New Roman" w:cs="Times New Roman" w:eastAsia="Times New Roman" w:hAnsi="Times New Roman"/>
                <w:sz w:val="11"/>
                <w:szCs w:val="11"/>
                <w:color w:val="0000FF"/>
              </w:rPr>
              <w:t>(right to</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5"/>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buy)</w:t>
            </w:r>
          </w:p>
        </w:tc>
        <w:tc>
          <w:tcPr>
            <w:tcW w:w="38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0000FF"/>
              </w:rPr>
              <w:t>$0.001</w:t>
            </w:r>
          </w:p>
        </w:tc>
        <w:tc>
          <w:tcPr>
            <w:tcW w:w="0" w:type="dxa"/>
            <w:vAlign w:val="bottom"/>
          </w:tcPr>
          <w:p>
            <w:pPr>
              <w:spacing w:after="0"/>
              <w:rPr>
                <w:sz w:val="1"/>
                <w:szCs w:val="1"/>
                <w:color w:val="auto"/>
              </w:rPr>
            </w:pPr>
          </w:p>
        </w:tc>
      </w:tr>
      <w:tr>
        <w:trPr>
          <w:trHeight w:val="93"/>
        </w:trPr>
        <w:tc>
          <w:tcPr>
            <w:tcW w:w="3640" w:type="dxa"/>
            <w:vAlign w:val="bottom"/>
            <w:vMerge w:val="continue"/>
          </w:tcPr>
          <w:p>
            <w:pPr>
              <w:spacing w:after="0"/>
              <w:rPr>
                <w:sz w:val="8"/>
                <w:szCs w:val="8"/>
                <w:color w:val="auto"/>
              </w:rPr>
            </w:pPr>
          </w:p>
        </w:tc>
        <w:tc>
          <w:tcPr>
            <w:tcW w:w="3860" w:type="dxa"/>
            <w:vAlign w:val="bottom"/>
            <w:vMerge w:val="restart"/>
          </w:tcPr>
          <w:p>
            <w:pPr>
              <w:jc w:val="center"/>
              <w:ind w:left="3312"/>
              <w:spacing w:after="0"/>
              <w:rPr>
                <w:sz w:val="20"/>
                <w:szCs w:val="20"/>
                <w:color w:val="auto"/>
              </w:rPr>
            </w:pPr>
            <w:r>
              <w:rPr>
                <w:rFonts w:ascii="Times New Roman" w:cs="Times New Roman" w:eastAsia="Times New Roman" w:hAnsi="Times New Roman"/>
                <w:sz w:val="14"/>
                <w:szCs w:val="14"/>
                <w:color w:val="0000FF"/>
                <w:w w:val="94"/>
              </w:rPr>
              <w:t>per share</w:t>
            </w: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April 23, 2007, the reporting person exercised previously issued options to purchase an aggregate of 10,000 shares of common stock of ExlService Holdings, Inc.</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 the reporting person's Form 3 filed October 19, 2006, the exercise price of these options was rounded to $11.88.</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 the reporting person's Form 3 filed October 19, 2006, the exercise price of these options was rounded to $10.62.</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sale was made pursuant to a 10b5-1 plan previously entered into by the reporting person.</w:t>
      </w:r>
    </w:p>
    <w:p>
      <w:pPr>
        <w:spacing w:after="0" w:line="41" w:lineRule="exact"/>
        <w:rPr>
          <w:rFonts w:ascii="Times New Roman" w:cs="Times New Roman" w:eastAsia="Times New Roman" w:hAnsi="Times New Roman"/>
          <w:sz w:val="14"/>
          <w:szCs w:val="14"/>
          <w:color w:val="008000"/>
        </w:rPr>
      </w:pPr>
    </w:p>
    <w:p>
      <w:pPr>
        <w:ind w:left="40" w:right="2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1,000 of these options are currently vested, an additional 2,000 of these options will vest on April 20, 2008, an additional 3,000 of these options will vest on April 20, 2009, and the remaining 4,000 of these options will vest on April 20, 2010.</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30,000 of these options are currently vested, 15,000 of these options vest on June 7, 2007 and 15,000 of these options vest on June 7, 2008.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04/25/2007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2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7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2019-12-16T15:15:16Z</dcterms:created>
  <dcterms:modified xsi:type="dcterms:W3CDTF">2019-12-16T15:15:16Z</dcterms:modified>
</cp:coreProperties>
</file>