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2017</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57"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2"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500" w:type="dxa"/>
        <w:tblCellMar>
          <w:top w:w="0" w:type="dxa"/>
          <w:left w:w="0" w:type="dxa"/>
          <w:bottom w:w="0" w:type="dxa"/>
          <w:right w:w="0" w:type="dxa"/>
        </w:tblCellMar>
      </w:tblPr>
      <w:tr>
        <w:trPr>
          <w:trHeight w:val="210"/>
        </w:trPr>
        <w:tc>
          <w:tcPr>
            <w:tcW w:w="3100" w:type="dxa"/>
            <w:vAlign w:val="bottom"/>
          </w:tcPr>
          <w:p>
            <w:pPr>
              <w:jc w:val="center"/>
              <w:ind w:right="523"/>
              <w:spacing w:after="0"/>
              <w:rPr>
                <w:sz w:val="20"/>
                <w:szCs w:val="20"/>
                <w:color w:val="auto"/>
              </w:rPr>
            </w:pPr>
            <w:r>
              <w:rPr>
                <w:rFonts w:ascii="Arial" w:cs="Arial" w:eastAsia="Arial" w:hAnsi="Arial"/>
                <w:sz w:val="16"/>
                <w:szCs w:val="16"/>
                <w:b w:val="1"/>
                <w:bCs w:val="1"/>
                <w:color w:val="auto"/>
                <w:w w:val="97"/>
              </w:rPr>
              <w:t>DELAWARE</w:t>
            </w:r>
          </w:p>
        </w:tc>
        <w:tc>
          <w:tcPr>
            <w:tcW w:w="4580" w:type="dxa"/>
            <w:vAlign w:val="bottom"/>
          </w:tcPr>
          <w:p>
            <w:pPr>
              <w:jc w:val="right"/>
              <w:ind w:right="83"/>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3100" w:type="dxa"/>
            <w:vAlign w:val="bottom"/>
          </w:tcPr>
          <w:p>
            <w:pPr>
              <w:jc w:val="center"/>
              <w:ind w:right="523"/>
              <w:spacing w:after="0"/>
              <w:rPr>
                <w:sz w:val="20"/>
                <w:szCs w:val="20"/>
                <w:color w:val="auto"/>
              </w:rPr>
            </w:pPr>
            <w:r>
              <w:rPr>
                <w:rFonts w:ascii="Arial" w:cs="Arial" w:eastAsia="Arial" w:hAnsi="Arial"/>
                <w:sz w:val="14"/>
                <w:szCs w:val="14"/>
                <w:b w:val="1"/>
                <w:bCs w:val="1"/>
                <w:color w:val="auto"/>
                <w:w w:val="92"/>
              </w:rPr>
              <w:t>(State or other jurisdiction of</w:t>
            </w:r>
          </w:p>
        </w:tc>
        <w:tc>
          <w:tcPr>
            <w:tcW w:w="4580" w:type="dxa"/>
            <w:vAlign w:val="bottom"/>
          </w:tcPr>
          <w:p>
            <w:pPr>
              <w:jc w:val="center"/>
              <w:ind w:left="338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00" w:type="dxa"/>
            <w:vAlign w:val="bottom"/>
          </w:tcPr>
          <w:p>
            <w:pPr>
              <w:jc w:val="center"/>
              <w:ind w:right="523"/>
              <w:spacing w:after="0"/>
              <w:rPr>
                <w:sz w:val="20"/>
                <w:szCs w:val="20"/>
                <w:color w:val="auto"/>
              </w:rPr>
            </w:pPr>
            <w:r>
              <w:rPr>
                <w:rFonts w:ascii="Arial" w:cs="Arial" w:eastAsia="Arial" w:hAnsi="Arial"/>
                <w:sz w:val="14"/>
                <w:szCs w:val="14"/>
                <w:b w:val="1"/>
                <w:bCs w:val="1"/>
                <w:color w:val="auto"/>
                <w:w w:val="93"/>
              </w:rPr>
              <w:t>incorporation or organization)</w:t>
            </w:r>
          </w:p>
        </w:tc>
        <w:tc>
          <w:tcPr>
            <w:tcW w:w="4580" w:type="dxa"/>
            <w:vAlign w:val="bottom"/>
          </w:tcPr>
          <w:p>
            <w:pPr>
              <w:jc w:val="center"/>
              <w:ind w:left="3383"/>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3100" w:type="dxa"/>
            <w:vAlign w:val="bottom"/>
          </w:tcPr>
          <w:p>
            <w:pPr>
              <w:jc w:val="center"/>
              <w:ind w:right="523"/>
              <w:spacing w:after="0"/>
              <w:rPr>
                <w:sz w:val="20"/>
                <w:szCs w:val="20"/>
                <w:color w:val="auto"/>
              </w:rPr>
            </w:pPr>
            <w:r>
              <w:rPr>
                <w:rFonts w:ascii="Arial" w:cs="Arial" w:eastAsia="Arial" w:hAnsi="Arial"/>
                <w:sz w:val="16"/>
                <w:szCs w:val="16"/>
                <w:b w:val="1"/>
                <w:bCs w:val="1"/>
                <w:color w:val="auto"/>
                <w:w w:val="96"/>
              </w:rPr>
              <w:t>280 PARK AVENUE, 38</w:t>
            </w:r>
            <w:r>
              <w:rPr>
                <w:rFonts w:ascii="Arial" w:cs="Arial" w:eastAsia="Arial" w:hAnsi="Arial"/>
                <w:sz w:val="21"/>
                <w:szCs w:val="21"/>
                <w:b w:val="1"/>
                <w:bCs w:val="1"/>
                <w:color w:val="auto"/>
                <w:w w:val="96"/>
                <w:vertAlign w:val="superscript"/>
              </w:rPr>
              <w:t>TH</w:t>
            </w:r>
            <w:r>
              <w:rPr>
                <w:rFonts w:ascii="Arial" w:cs="Arial" w:eastAsia="Arial" w:hAnsi="Arial"/>
                <w:sz w:val="16"/>
                <w:szCs w:val="16"/>
                <w:b w:val="1"/>
                <w:bCs w:val="1"/>
                <w:color w:val="auto"/>
                <w:w w:val="96"/>
              </w:rPr>
              <w:t xml:space="preserve"> FLOOR,</w:t>
            </w:r>
          </w:p>
        </w:tc>
        <w:tc>
          <w:tcPr>
            <w:tcW w:w="4580" w:type="dxa"/>
            <w:vAlign w:val="bottom"/>
          </w:tcPr>
          <w:p>
            <w:pPr>
              <w:spacing w:after="0"/>
              <w:rPr>
                <w:sz w:val="24"/>
                <w:szCs w:val="24"/>
                <w:color w:val="auto"/>
              </w:rPr>
            </w:pPr>
          </w:p>
        </w:tc>
      </w:tr>
      <w:tr>
        <w:trPr>
          <w:trHeight w:val="210"/>
        </w:trPr>
        <w:tc>
          <w:tcPr>
            <w:tcW w:w="3100" w:type="dxa"/>
            <w:vAlign w:val="bottom"/>
          </w:tcPr>
          <w:p>
            <w:pPr>
              <w:jc w:val="center"/>
              <w:ind w:right="523"/>
              <w:spacing w:after="0"/>
              <w:rPr>
                <w:sz w:val="20"/>
                <w:szCs w:val="20"/>
                <w:color w:val="auto"/>
              </w:rPr>
            </w:pPr>
            <w:r>
              <w:rPr>
                <w:rFonts w:ascii="Arial" w:cs="Arial" w:eastAsia="Arial" w:hAnsi="Arial"/>
                <w:sz w:val="16"/>
                <w:szCs w:val="16"/>
                <w:b w:val="1"/>
                <w:bCs w:val="1"/>
                <w:color w:val="auto"/>
              </w:rPr>
              <w:t>NEW YORK, NEW YORK</w:t>
            </w:r>
          </w:p>
        </w:tc>
        <w:tc>
          <w:tcPr>
            <w:tcW w:w="4580" w:type="dxa"/>
            <w:vAlign w:val="bottom"/>
          </w:tcPr>
          <w:p>
            <w:pPr>
              <w:jc w:val="right"/>
              <w:ind w:right="283"/>
              <w:spacing w:after="0"/>
              <w:rPr>
                <w:sz w:val="20"/>
                <w:szCs w:val="20"/>
                <w:color w:val="auto"/>
              </w:rPr>
            </w:pPr>
            <w:r>
              <w:rPr>
                <w:rFonts w:ascii="Arial" w:cs="Arial" w:eastAsia="Arial" w:hAnsi="Arial"/>
                <w:sz w:val="16"/>
                <w:szCs w:val="16"/>
                <w:b w:val="1"/>
                <w:bCs w:val="1"/>
                <w:color w:val="auto"/>
              </w:rPr>
              <w:t>10017</w:t>
            </w:r>
          </w:p>
        </w:tc>
      </w:tr>
      <w:tr>
        <w:trPr>
          <w:trHeight w:val="224"/>
        </w:trPr>
        <w:tc>
          <w:tcPr>
            <w:tcW w:w="3100" w:type="dxa"/>
            <w:vAlign w:val="bottom"/>
          </w:tcPr>
          <w:p>
            <w:pPr>
              <w:jc w:val="center"/>
              <w:ind w:right="52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80" w:type="dxa"/>
            <w:vAlign w:val="bottom"/>
          </w:tcPr>
          <w:p>
            <w:pPr>
              <w:jc w:val="center"/>
              <w:ind w:left="3403"/>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3100" w:type="dxa"/>
            <w:vAlign w:val="bottom"/>
          </w:tcPr>
          <w:p>
            <w:pPr>
              <w:spacing w:after="0"/>
              <w:rPr>
                <w:sz w:val="22"/>
                <w:szCs w:val="22"/>
                <w:color w:val="auto"/>
              </w:rPr>
            </w:pPr>
          </w:p>
        </w:tc>
        <w:tc>
          <w:tcPr>
            <w:tcW w:w="4580" w:type="dxa"/>
            <w:vAlign w:val="bottom"/>
          </w:tcPr>
          <w:p>
            <w:pPr>
              <w:jc w:val="right"/>
              <w:ind w:right="2883"/>
              <w:spacing w:after="0"/>
              <w:rPr>
                <w:sz w:val="20"/>
                <w:szCs w:val="20"/>
                <w:color w:val="auto"/>
              </w:rPr>
            </w:pPr>
            <w:r>
              <w:rPr>
                <w:rFonts w:ascii="Arial" w:cs="Arial" w:eastAsia="Arial" w:hAnsi="Arial"/>
                <w:sz w:val="16"/>
                <w:szCs w:val="16"/>
                <w:b w:val="1"/>
                <w:bCs w:val="1"/>
                <w:color w:val="auto"/>
              </w:rPr>
              <w:t>(212) 277-7100</w:t>
            </w:r>
          </w:p>
        </w:tc>
      </w:tr>
    </w:tbl>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Title of Each Class:</w:t>
            </w:r>
          </w:p>
        </w:tc>
        <w:tc>
          <w:tcPr>
            <w:tcW w:w="384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4"/>
        </w:trPr>
        <w:tc>
          <w:tcPr>
            <w:tcW w:w="5940" w:type="dxa"/>
            <w:vAlign w:val="bottom"/>
            <w:gridSpan w:val="3"/>
          </w:tcPr>
          <w:p>
            <w:pPr>
              <w:jc w:val="center"/>
              <w:ind w:right="2960"/>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None</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ind w:left="340" w:right="2500"/>
        <w:spacing w:after="0" w:line="21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00" w:firstLine="324"/>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firstLine="324"/>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360" w:firstLine="324"/>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7" w:lineRule="exact"/>
        <w:rPr>
          <w:sz w:val="24"/>
          <w:szCs w:val="24"/>
          <w:color w:val="auto"/>
        </w:rPr>
      </w:pPr>
    </w:p>
    <w:p>
      <w:pPr>
        <w:ind w:right="40" w:firstLine="324"/>
        <w:spacing w:after="0" w:line="33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20"/>
          </w:cols>
          <w:pgMar w:left="240" w:top="445" w:right="439" w:bottom="1440" w:gutter="0" w:footer="0" w:header="0"/>
        </w:sectPr>
      </w:pPr>
    </w:p>
    <w:p>
      <w:pPr>
        <w:spacing w:after="0" w:line="118"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2200" w:space="720"/>
            <w:col w:w="4560" w:space="720"/>
            <w:col w:w="1900" w:space="720"/>
            <w:col w:w="400"/>
          </w:cols>
          <w:pgMar w:left="240" w:top="445" w:right="4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59" w:lineRule="exact"/>
        <w:rPr>
          <w:sz w:val="24"/>
          <w:szCs w:val="24"/>
          <w:color w:val="auto"/>
        </w:rPr>
      </w:pPr>
    </w:p>
    <w:p>
      <w:pPr>
        <w:sectPr>
          <w:pgSz w:w="11900" w:h="16838" w:orient="portrait"/>
          <w:cols w:equalWidth="0" w:num="5">
            <w:col w:w="2200" w:space="720"/>
            <w:col w:w="120" w:space="80"/>
            <w:col w:w="4360" w:space="720"/>
            <w:col w:w="1900" w:space="720"/>
            <w:col w:w="400"/>
          </w:cols>
          <w:pgMar w:left="240" w:top="445" w:right="439" w:bottom="1440" w:gutter="0" w:footer="0" w:header="0"/>
          <w:type w:val="continuous"/>
        </w:sectPr>
      </w:pPr>
    </w:p>
    <w:p>
      <w:pPr>
        <w:ind w:right="260" w:firstLine="324"/>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40" w:right="280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30, 2017, the aggregate market value of common stock held by non-affiliates was approximately $1,816,029,590.</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February 21, 2018, there were 34,198,252 shares of the registrant’s common stock outstanding, par value $0.001 per share.</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 w:lineRule="exact"/>
        <w:rPr>
          <w:sz w:val="24"/>
          <w:szCs w:val="24"/>
          <w:color w:val="auto"/>
        </w:rPr>
      </w:pPr>
    </w:p>
    <w:p>
      <w:pPr>
        <w:ind w:right="20"/>
        <w:spacing w:after="0" w:line="258" w:lineRule="auto"/>
        <w:rPr>
          <w:sz w:val="20"/>
          <w:szCs w:val="20"/>
          <w:color w:val="auto"/>
        </w:rPr>
      </w:pPr>
      <w:r>
        <w:rPr>
          <w:rFonts w:ascii="Arial" w:cs="Arial" w:eastAsia="Arial" w:hAnsi="Arial"/>
          <w:sz w:val="15"/>
          <w:szCs w:val="15"/>
          <w:color w:val="auto"/>
        </w:rPr>
        <w:t>Part III incorporates information from certain portions of the registrant’s definitive proxy statement to be filed with the Securities and Exchange Commission within 120 days after the fiscal year end of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45"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6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723"/>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30"/>
        </w:trPr>
        <w:tc>
          <w:tcPr>
            <w:tcW w:w="206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w:t>
            </w:r>
          </w:p>
        </w:tc>
        <w:tc>
          <w:tcPr>
            <w:tcW w:w="8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1A.</w:t>
            </w:r>
          </w:p>
        </w:tc>
        <w:tc>
          <w:tcPr>
            <w:tcW w:w="864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10</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1B.</w:t>
            </w:r>
          </w:p>
        </w:tc>
        <w:tc>
          <w:tcPr>
            <w:tcW w:w="864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21"/>
                <w:szCs w:val="21"/>
                <w:color w:val="auto"/>
              </w:rPr>
            </w:pPr>
          </w:p>
        </w:tc>
        <w:tc>
          <w:tcPr>
            <w:tcW w:w="660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7300" w:type="dxa"/>
            <w:vAlign w:val="bottom"/>
            <w:gridSpan w:val="1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4.</w:t>
            </w:r>
          </w:p>
        </w:tc>
        <w:tc>
          <w:tcPr>
            <w:tcW w:w="86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250"/>
        </w:trPr>
        <w:tc>
          <w:tcPr>
            <w:tcW w:w="7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30">
              <w:r>
                <w:rPr>
                  <w:rFonts w:ascii="Arial" w:cs="Arial" w:eastAsia="Arial" w:hAnsi="Arial"/>
                  <w:sz w:val="18"/>
                  <w:szCs w:val="18"/>
                  <w:b w:val="1"/>
                  <w:bCs w:val="1"/>
                  <w:color w:val="0000EE"/>
                  <w:w w:val="98"/>
                </w:rPr>
                <w:t>PART II.</w:t>
              </w:r>
            </w:hyperlink>
          </w:p>
        </w:tc>
        <w:tc>
          <w:tcPr>
            <w:tcW w:w="1360" w:type="dxa"/>
            <w:vAlign w:val="bottom"/>
            <w:gridSpan w:val="4"/>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 Securities</w:t>
              </w:r>
            </w:hyperlink>
          </w:p>
        </w:tc>
        <w:tc>
          <w:tcPr>
            <w:tcW w:w="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69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w:t>
            </w:r>
          </w:p>
        </w:tc>
        <w:tc>
          <w:tcPr>
            <w:tcW w:w="864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18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2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w:t>
            </w:r>
          </w:p>
        </w:tc>
        <w:tc>
          <w:tcPr>
            <w:tcW w:w="864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 with Accountants on Accounting and Financial Disclosure</w:t>
              </w:r>
            </w:hyperlink>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Controls and Procedures</w:t>
              </w:r>
            </w:hyperlink>
          </w:p>
        </w:tc>
        <w:tc>
          <w:tcPr>
            <w:tcW w:w="4620" w:type="dxa"/>
            <w:vAlign w:val="bottom"/>
            <w:tcBorders>
              <w:top w:val="single" w:sz="8" w:color="0000EE"/>
            </w:tcBorders>
            <w:gridSpan w:val="10"/>
          </w:tcPr>
          <w:p>
            <w:pPr>
              <w:spacing w:after="0"/>
              <w:rPr>
                <w:sz w:val="21"/>
                <w:szCs w:val="21"/>
                <w:color w:val="auto"/>
              </w:rPr>
            </w:pPr>
          </w:p>
        </w:tc>
        <w:tc>
          <w:tcPr>
            <w:tcW w:w="2240" w:type="dxa"/>
            <w:vAlign w:val="bottom"/>
            <w:gridSpan w:val="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9B.</w:t>
            </w:r>
          </w:p>
        </w:tc>
        <w:tc>
          <w:tcPr>
            <w:tcW w:w="864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68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Directors, Executive Officers and Corporate Governance</w:t>
              </w:r>
            </w:hyperlink>
          </w:p>
        </w:tc>
        <w:tc>
          <w:tcPr>
            <w:tcW w:w="454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11.</w:t>
            </w:r>
          </w:p>
        </w:tc>
        <w:tc>
          <w:tcPr>
            <w:tcW w:w="864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Security Ownership of Certain Beneficial Owners and Management and Related Stockholder Matters</w:t>
              </w:r>
            </w:hyperlink>
          </w:p>
        </w:tc>
        <w:tc>
          <w:tcPr>
            <w:tcW w:w="134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Certain Relationships and Related Transactions, and Director Independence</w:t>
              </w:r>
            </w:hyperlink>
          </w:p>
        </w:tc>
        <w:tc>
          <w:tcPr>
            <w:tcW w:w="3180" w:type="dxa"/>
            <w:vAlign w:val="bottom"/>
            <w:gridSpan w:val="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14.</w:t>
            </w:r>
          </w:p>
        </w:tc>
        <w:tc>
          <w:tcPr>
            <w:tcW w:w="864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15.</w:t>
            </w:r>
          </w:p>
        </w:tc>
        <w:tc>
          <w:tcPr>
            <w:tcW w:w="864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68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r>
      <w:tr>
        <w:trPr>
          <w:trHeight w:val="37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SIGNATURES</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r>
      <w:tr>
        <w:trPr>
          <w:trHeight w:val="372"/>
        </w:trPr>
        <w:tc>
          <w:tcPr>
            <w:tcW w:w="13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EXHIBIT INDEX</w:t>
              </w:r>
            </w:hyperlink>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372"/>
        </w:trPr>
        <w:tc>
          <w:tcPr>
            <w:tcW w:w="10700" w:type="dxa"/>
            <w:vAlign w:val="bottom"/>
            <w:gridSpan w:val="2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INDEX TO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F-1</w:t>
              </w:r>
            </w:hyperlink>
          </w:p>
        </w:tc>
      </w:tr>
      <w:tr>
        <w:trPr>
          <w:trHeight w:val="20"/>
        </w:trPr>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1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ExlService Holdings, Inc. (“EXL”, “we”, “us", "our" or the "Company"), incorporated in Delaware in 2002, is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27,800 professionals in locations throughout the United States, Europe, Asia (primarily India and the Philippines), Latin America, Australia and South Africa.</w:t>
      </w:r>
    </w:p>
    <w:p>
      <w:pPr>
        <w:spacing w:after="0" w:line="11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including our Banking and Financial services, Utilities and Consulting operating segments).</w:t>
      </w:r>
    </w:p>
    <w:p>
      <w:pPr>
        <w:spacing w:after="0" w:line="4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For the year ended December 31, 2015, we reported and presented two reportable segments: Operations Management (which included our Insurance, Healthcare, Travel, Transportation and Logistics, Finance and Accounting, Banking and Financial services, Utilities and Consulting operating segments) and Analytics.</w:t>
      </w:r>
    </w:p>
    <w:p>
      <w:pPr>
        <w:spacing w:after="0" w:line="12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Segment information for all prior periods presented herein have been changed to conform to the current presentation. This change in segment presentation does not affect our consolidated statements of income and comprehensive income, balance sheets or statements of cash flows. We do not allocate assets by operating segment, although our operating segments do manage and control certain assets. For further descriptions of our segments, including financial information and revenues and cost of revenues, see Note 3 to our consolidated financial statements.</w:t>
      </w:r>
    </w:p>
    <w:p>
      <w:pPr>
        <w:spacing w:after="0" w:line="14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December 2017 acquisition of substantially all of the assets, and assumption of certain liabilities related thereto, of Health Integrated, Inc. (“Health Integrated”) is included in the Healthcare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Management Services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operations management services, which we provide from our Insurance, Healthcare, Travel, Transportation and Logistics, Finance and Accounting, Banking and Financial Services, Utilities and Consulting operating segments, typically involve the transfer to EXL business operations of a client such as claims processing, clinical operations, or financial transaction processing, after which we administer and manage those operations for our client on an ongoing basis, or in case of consulting, consulting services related to transformation services. We use a focused industry vertical approach to manage our business and to provide a suite of integrated BPM services to organizations in the insurance, healthcare, travel transportation and logistics, banking and financial services and utilities industries in addition to providing finance and accounting and consulting services across these industries as well as to clients in other industries like manufacturing and media among others.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230" w:lineRule="auto"/>
        <w:rPr>
          <w:sz w:val="20"/>
          <w:szCs w:val="20"/>
          <w:color w:val="auto"/>
        </w:rPr>
      </w:pPr>
      <w:r>
        <w:rPr>
          <w:rFonts w:ascii="Arial" w:cs="Arial" w:eastAsia="Arial" w:hAnsi="Arial"/>
          <w:sz w:val="17"/>
          <w:szCs w:val="17"/>
          <w:color w:val="auto"/>
        </w:rPr>
        <w:t>The key differentiators and salient features of our BPM services include our agile operating and delivery model utilizing domain expertise and process excellence, 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our ability to deploy a Business Process-as-a-Service (“BPaaS”) delivery model, business process automation (including robotics), consulting-driven digital transformation and our industry vertical focused approach. 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our integrated approach to operations management which enables us to drive better customer outcomes by using advanced automation (such as robotics), lean six-sigma, workflow management, data visualization and embedded analytics.</w:t>
      </w:r>
    </w:p>
    <w:p>
      <w:pPr>
        <w:spacing w:after="0" w:line="20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While the majority of our operations management services are provided to clients using client-owned or licensed technology platforms, we also deliver our services across clients and industries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services may use standardized and shared technology and operational delivery infrastructure enabling us to leverage technology and infrastructure investments across multiple clients.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operating segments providing operations management services are described below:</w:t>
      </w:r>
    </w:p>
    <w:p>
      <w:pPr>
        <w:spacing w:after="0" w:line="3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operating segment serves property and casualty insurance, life insurance, disability insurance, annuity and retirement services companies. We provide BPM services related to business processes in the insurance industry such as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 using the Business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robotics and advanced automation. We provide insurance policy administration &amp; digital customer acquisition services using a BPaaS delivery model through our LifePRO ® and Liss platforms in order to help clients administer life insurance, health insurance, annuities and credit life and disability insurance policies. We also provide subrogation services to property and casualty insurers using a BPaaS delivery model and our proprietary Subrosource ® software platform, the largest commercial end-to-end subrogation platform. Subrosource ® integrates with client systems, manages recovery workflow, increases recoveries and reduces costs.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Healthcare</w:t>
      </w:r>
      <w:r>
        <w:rPr>
          <w:rFonts w:ascii="Arial" w:cs="Arial" w:eastAsia="Arial" w:hAnsi="Arial"/>
          <w:sz w:val="18"/>
          <w:szCs w:val="18"/>
          <w:color w:val="auto"/>
        </w:rPr>
        <w:t xml:space="preserve"> operating segment primarily serves U.S.-based healthcare payers and providers. We provide BPM services related to Care Management and population health, multi-chronic case management (“MCCM”), dual eligible special needs plans (D-SNP), payment integrity, revenue optimization and customer engagement directly addressing the market need for improved healthcare outcomes, reduced claims and administrative costs, and improved access to the healthcare system in the healthcare market. We offer BPaaS, SaaS and platform BPM services designed to serve the healthcare industry as well as proprietary technology platforms, robotics and advanced analytics. EXL’s CareRadius® and MaxMC® applications connect payors, providers and members with critical clinical information, and automates a payor's operations to increase efficiencies across all aspects of care management including behavioral health.</w:t>
      </w:r>
    </w:p>
    <w:p>
      <w:pPr>
        <w:spacing w:after="0" w:line="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n December 22, 2017, we acquired substantially all of the assets, and assumed certain liabilities related thereto, of Health Integrated, a Florida</w:t>
      </w:r>
      <w:r>
        <w:rPr>
          <w:rFonts w:ascii="Arial" w:cs="Arial" w:eastAsia="Arial" w:hAnsi="Arial"/>
          <w:sz w:val="20"/>
          <w:szCs w:val="20"/>
          <w:color w:val="auto"/>
        </w:rPr>
        <w:t xml:space="preserve"> </w:t>
      </w:r>
      <w:r>
        <w:rPr>
          <w:rFonts w:ascii="Arial" w:cs="Arial" w:eastAsia="Arial" w:hAnsi="Arial"/>
          <w:sz w:val="18"/>
          <w:szCs w:val="18"/>
          <w:color w:val="auto"/>
        </w:rPr>
        <w:t>based care management company that provides end-to-end analytics- and behavioral IP-enabled care management services including case management, utilization management, disease management, special needs programs, and MCCM on behalf of health plans. Health Integrated serves millions of lives in the Medicaid, Medicare, and dual eligible populations.</w:t>
      </w:r>
    </w:p>
    <w:p>
      <w:pPr>
        <w:spacing w:after="0" w:line="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Healthcare business also provides Program Integrity services to payors. Our current work is mainly in special investigations and claims overpayment. In addition, we provide Customer Experience solutions for both customer acquisition and customer service.</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Travel, Transportation and Logistics</w:t>
      </w:r>
      <w:r>
        <w:rPr>
          <w:rFonts w:ascii="Arial" w:cs="Arial" w:eastAsia="Arial" w:hAnsi="Arial"/>
          <w:sz w:val="17"/>
          <w:szCs w:val="17"/>
          <w:color w:val="auto"/>
        </w:rPr>
        <w:t xml:space="preserve"> operating segment primarily serves clients in the travel &amp; leisure and transportation and logistics industries, including less-than-truckload (LTL), truckload and intermodal logistics sectors. We provide BPM services related to business processes in corporate and leisure travel such as reservations, customer service, fulfillment and finance and accounting. In addition, we have expertise in processing transportation and logistics transactions, including supply chain management, warehousing, transportation management and international logistics services using advanced automation including robotics process automation. For companies in the transportation and logistics sector, we provide sales, billing, collection, claims management, revenue management, accounting freight audit and payment and logistics engineering services.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Finance and Accounting (“F&amp;A”)</w:t>
      </w:r>
      <w:r>
        <w:rPr>
          <w:rFonts w:ascii="Arial" w:cs="Arial" w:eastAsia="Arial" w:hAnsi="Arial"/>
          <w:sz w:val="16"/>
          <w:szCs w:val="16"/>
          <w:color w:val="auto"/>
        </w:rPr>
        <w:t xml:space="preserve"> operating segment provides finance and accounting BPM services across an array of F&amp;A processes including procure-to-pay, order-to-cash, hire-to-retire, record-to-report, regulatory reporting, financial planning and analysis, audit and assurance, treasury and tax processes. This operating segment provides services across the five industry verticals within operations management as well as to clients in other industries like manufacturing, media and retail among others. We also provide “Operations-as-a-Service” offerings in the procure to pay, order to cash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 to report areas by integrating proprietary analytics, advanced automation including robotics process automation, and F&amp;A technology platforms, both proprietary as well as those from leading third party technology platform providers.</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Banking and Financial Services</w:t>
      </w:r>
      <w:r>
        <w:rPr>
          <w:rFonts w:ascii="Arial" w:cs="Arial" w:eastAsia="Arial" w:hAnsi="Arial"/>
          <w:sz w:val="16"/>
          <w:szCs w:val="16"/>
          <w:color w:val="auto"/>
        </w:rPr>
        <w:t xml:space="preserve"> operating segment offers a comprehensive range of BPM services across the spectrum of the banking and financial services industry including residential mortgage lending, retail banking and credit cards, commercial banking and investment management. We have also assisted global banking and financial institutions with improving their operations by enabling clients to identify regulatory and compliance gaps, develop remediation plans and services, and track ongoing performance. EXL uses robotics process automation and proprietary business intelligence tools to innovate workflow management, transaction monitoring, and management information and reporting to enhance transparency in regulatory and management reporting.</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Utilities</w:t>
      </w:r>
      <w:r>
        <w:rPr>
          <w:rFonts w:ascii="Arial" w:cs="Arial" w:eastAsia="Arial" w:hAnsi="Arial"/>
          <w:sz w:val="16"/>
          <w:szCs w:val="16"/>
          <w:color w:val="auto"/>
        </w:rPr>
        <w:t xml:space="preserve"> operating segment services offers BPM services related to enhancing operating models, improving customer experience, reducing costs, shortening turnaround time and simplifying compliance for our clients. By leveraging our “Operations-as-a-Service” model, we combine domain expertise, customer-centric operations management practices, robotics and advanced analytics capabilities with cloud-based billing and customer relationship management platform, digital services (Customer and Field Mobility Solutions), industry-specific products, business process automation and robotics.</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Consulting</w:t>
      </w:r>
      <w:r>
        <w:rPr>
          <w:rFonts w:ascii="Arial" w:cs="Arial" w:eastAsia="Arial" w:hAnsi="Arial"/>
          <w:sz w:val="17"/>
          <w:szCs w:val="17"/>
          <w:color w:val="auto"/>
        </w:rPr>
        <w:t xml:space="preserve"> operating segment provides industry-specific digital transformational services, targeting select industries and functions (primarily Insurance, Healthcare, Travel, Transportation and Logistics, Banking and Financial Services and Finance and Accounting), where we have developed broad and deep core competencies. Our services are designed to address contemporary problems across the aforementioned domains, embracing the digital and analytics revolution, to deliver business models that help our clients realize their business and innovation goals and improve their strategic competitive position. Our digital consulting offerings include leveraging design thinking to help improve customer experience, using lean models to drive process excellence and using agile delivery models to implement digital technologies and interventions like advanced automation and robotics. We also offer a full range of finance transformation services to the CFO suite, including finance platform modernization and implementation, finance process transformation and digitization as well as governance, risk and compliance support.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Analytics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Analytics services focus on driving improved business outcomes for our customers by generating data-driven insights across all parts of our customers’ businesses. Our teams deliver predictive and prescriptive analytics in the areas of customer acquisition and lifecycle management, risk underwriting and pricing, operational effectiveness, credit and operational risk monitoring and governance, regulatory reporting, and data management. Our Analytics team comprises over 3,000 professionals.</w:t>
      </w:r>
    </w:p>
    <w:p>
      <w:pPr>
        <w:spacing w:after="0" w:line="18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help our customers leverage internal and external data sources, enhance their data assets, identify and visualize data patterns, and utilize data-driven insights to improve their effectiveness. Our Analytics services for our customers include:</w:t>
      </w:r>
    </w:p>
    <w:p>
      <w:pPr>
        <w:spacing w:after="0" w:line="197" w:lineRule="exact"/>
        <w:rPr>
          <w:sz w:val="20"/>
          <w:szCs w:val="20"/>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cleansing, matching and use of structured, semi-structured and unstructured data available both internally to our customer’s organization and externally;</w:t>
      </w:r>
    </w:p>
    <w:p>
      <w:pPr>
        <w:spacing w:after="0" w:line="170" w:lineRule="exact"/>
        <w:rPr>
          <w:rFonts w:ascii="Arial" w:cs="Arial" w:eastAsia="Arial" w:hAnsi="Arial"/>
          <w:sz w:val="18"/>
          <w:szCs w:val="18"/>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70" w:lineRule="exact"/>
        <w:rPr>
          <w:rFonts w:ascii="Arial" w:cs="Arial" w:eastAsia="Arial" w:hAnsi="Arial"/>
          <w:sz w:val="18"/>
          <w:szCs w:val="18"/>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and implementation of services enabling data visualization and management reporting enabling business users to segment, drill-down, and filter data; and</w:t>
      </w:r>
    </w:p>
    <w:p>
      <w:pPr>
        <w:spacing w:after="0" w:line="170" w:lineRule="exact"/>
        <w:rPr>
          <w:rFonts w:ascii="Arial" w:cs="Arial" w:eastAsia="Arial" w:hAnsi="Arial"/>
          <w:sz w:val="18"/>
          <w:szCs w:val="18"/>
          <w:color w:val="auto"/>
        </w:rPr>
      </w:pPr>
    </w:p>
    <w:p>
      <w:pPr>
        <w:ind w:left="700" w:hanging="30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of data insights and predictive models in the real-time decision making processes to drive measurable business impact.</w:t>
      </w:r>
    </w:p>
    <w:p>
      <w:pPr>
        <w:spacing w:after="0" w:line="239"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Our Analytics engagements span both project work and longer-term arrangements where EXL provides ongoing analytics modeling and services for a year or more. We utilize domain and industry knowledge related to the business problem being considered to support these Analytics engagements.</w:t>
      </w:r>
    </w:p>
    <w:p>
      <w:pPr>
        <w:spacing w:after="0" w:line="124"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Analytics services support: (1) retail banking, commercial banking and investment banking and management for the banking and financial services industry; (2) actuarial, claims, informatics, CRM and marketing analysis, medical cost and care management, payment integrity and operational effectiveness in the healthcare industry; (3) marketing and agency management, actuarial, servicing and operations, customer management, and claims and money movement in the insurance industry; and (4) marketing analytics in the retail and media industries.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Please see the disclosures in Note 3 to our consolidated financial statements for segment and geographic information regarding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are a business process management company providing operations management and analytics services that help businesses enhance revenue growth and enhance profitability. Specific elements of our strategy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Deploying our Business EXLerator Framework</w:t>
      </w:r>
      <w:r>
        <w:rPr>
          <w:rFonts w:ascii="Arial" w:cs="Arial" w:eastAsia="Arial" w:hAnsi="Arial"/>
          <w:sz w:val="25"/>
          <w:szCs w:val="25"/>
          <w:color w:val="auto"/>
          <w:vertAlign w:val="superscript"/>
        </w:rPr>
        <w:t>TM</w:t>
      </w:r>
      <w:r>
        <w:rPr>
          <w:rFonts w:ascii="Arial" w:cs="Arial" w:eastAsia="Arial" w:hAnsi="Arial"/>
          <w:sz w:val="18"/>
          <w:szCs w:val="18"/>
          <w:b w:val="1"/>
          <w:bCs w:val="1"/>
          <w:i w:val="1"/>
          <w:iCs w:val="1"/>
          <w:color w:val="auto"/>
        </w:rPr>
        <w:t xml:space="preserve"> in Operations Management</w:t>
      </w:r>
    </w:p>
    <w:p>
      <w:pPr>
        <w:spacing w:after="0" w:line="145" w:lineRule="exact"/>
        <w:rPr>
          <w:sz w:val="20"/>
          <w:szCs w:val="20"/>
          <w:color w:val="auto"/>
        </w:rPr>
      </w:pPr>
    </w:p>
    <w:p>
      <w:pPr>
        <w:jc w:val="both"/>
        <w:ind w:firstLine="392"/>
        <w:spacing w:after="0" w:line="213" w:lineRule="auto"/>
        <w:rPr>
          <w:sz w:val="20"/>
          <w:szCs w:val="20"/>
          <w:color w:val="auto"/>
        </w:rPr>
      </w:pPr>
      <w:r>
        <w:rPr>
          <w:rFonts w:ascii="Arial" w:cs="Arial" w:eastAsia="Arial" w:hAnsi="Arial"/>
          <w:sz w:val="18"/>
          <w:szCs w:val="18"/>
          <w:color w:val="auto"/>
        </w:rPr>
        <w:t>In servicing our operations management clients, we differentiate ourselves by using our proprietary Business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described above. Business EXLerator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has helped EXL win new clients as well as increase satisfaction with existing clients. Advanced automation is another key element where we leverage proprietary and partner technologies to drive operational efficiencies and provide a step-change in the degrees of automation (such as robotics) embedded within the process.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Business Process-as-a-Service (“BPaaS”) Solutions to distinguish our BPM Solutions</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continue to invest and focus in developing BPaaS and technology-enabled product solutions including updated and enhanced LifePRO®, Auditstream and Express Survey products. We are shifting part of our servicing model in niche operations management services from our current model to a BPaaS servicing model that offers an integrated technology platform with operations management services. BPaaS services are typically delivered using a transaction-based or outcome-based pricing model and can minimize a client’s initial capital investment on technology. In addition to existing solutions, we intend to enter into additional partnerships to develop and take-to-market new BPaaS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Additional Analytics Capabilities and Solution Offerings</w:t>
      </w:r>
    </w:p>
    <w:p>
      <w:pPr>
        <w:spacing w:after="0" w:line="11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We continue to invest in our Analytics capabilities by expanding our digital solution offerings, enhancing the skill sets and training of our team, and developing reusable intellectual property that can be incorporated into our analytics services. We intend to further increase our investment in our proprietary methodologies and algorithms that help us improve our ability to predict outcomes for our clients to help them capture data signals in a more efficient manner. In order to optimize the way in which we deliver analytics services to clients and source the highest quality global talent, we intend to continue expanding</w:t>
      </w:r>
    </w:p>
    <w:p>
      <w:pPr>
        <w:sectPr>
          <w:pgSz w:w="11900" w:h="16838" w:orient="portrait"/>
          <w:cols w:equalWidth="0" w:num="1">
            <w:col w:w="11420"/>
          </w:cols>
          <w:pgMar w:left="240" w:top="337"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multi-shore delivery capabilities by adding to our team of professionals in the United States, United Kingdom, Europe, India, Singapore, the Philippines, South Africa and Colombia. In addition to hiring directly from educational institutions, we actively look to hire additional experienced senior team members in order to deepen our industry expertise and thought leadership.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11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We intend to further extend our knowledge and capabilities in the industry verticals we serve in order to enhance our reputation as a provider of business process services. By focusing on transitioning, managing and digitizing more complex and value-enhancing services, we augment our capability to serve our clients, including helping our clients evolve their digital transformation efforts. In order to market our base of experience externally, we intend to continue to produce additional primary research and technical papers in order to enhance our reputation as industry thought leaders.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 Training, and Retaining the Most Talented Professionals</w:t>
      </w:r>
    </w:p>
    <w:p>
      <w:pPr>
        <w:spacing w:after="0" w:line="225"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have instituted an integrated talent management framework through active collaboration between our recruitment, capability development and business human resource functions. We deploy innovative methods to recruit, train and retain our skilled employees. We intend to focus on recruiting the right talent and develop them further on relevant competencies through our learning academies, rigorous promotion standards, client and industry specific training and competitive compensation packages that include incentive-based compensation. We are able to leverage shared resources across our services, particularly those in operations management, including as a result of our personnel having skillsets applicable to a wide variety of BPM services. We supplement our scope of operations experience with several industry-specific domain academies to enhance the specialization quotient of our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Cultivating Long-term Relationships and Expanding our Client Base</w:t>
      </w:r>
    </w:p>
    <w:p>
      <w:pPr>
        <w:spacing w:after="0" w:line="2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62" w:lineRule="exact"/>
        <w:rPr>
          <w:sz w:val="20"/>
          <w:szCs w:val="20"/>
          <w:color w:val="auto"/>
        </w:rPr>
      </w:pPr>
    </w:p>
    <w:p>
      <w:pPr>
        <w:ind w:left="820" w:hanging="4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depth and breadth of the services we provide across new client business, functions and geographies;</w:t>
      </w:r>
    </w:p>
    <w:p>
      <w:pPr>
        <w:spacing w:after="0" w:line="23" w:lineRule="exact"/>
        <w:rPr>
          <w:rFonts w:ascii="Arial" w:cs="Arial" w:eastAsia="Arial" w:hAnsi="Arial"/>
          <w:sz w:val="18"/>
          <w:szCs w:val="18"/>
          <w:color w:val="auto"/>
        </w:rPr>
      </w:pPr>
    </w:p>
    <w:p>
      <w:pPr>
        <w:ind w:left="820" w:hanging="420"/>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Offering the full suite of EXL services that includes operations management (including consulting; digital transformation) and analytics; and</w:t>
      </w:r>
    </w:p>
    <w:p>
      <w:pPr>
        <w:spacing w:after="0" w:line="20" w:lineRule="exact"/>
        <w:rPr>
          <w:rFonts w:ascii="Arial" w:cs="Arial" w:eastAsia="Arial" w:hAnsi="Arial"/>
          <w:sz w:val="17"/>
          <w:szCs w:val="17"/>
          <w:color w:val="auto"/>
        </w:rPr>
      </w:pPr>
    </w:p>
    <w:p>
      <w:pPr>
        <w:ind w:left="820" w:hanging="4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Supporting our clients’ geographic expansion leveraging our global footprint.</w:t>
      </w:r>
    </w:p>
    <w:p>
      <w:pPr>
        <w:spacing w:after="0" w:line="10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continue building a portfolio of Fortune 500 and Global 2000 companies in our focus industries that have the most complex and diverse processes and, accordingly, stand to benefit significantly from our services. We also intend to cultivate long-term relationships with medium-sized companies in our focus industries leveraging our BPaaS and technology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Global Delivery Footprint and Operational Infrastructure</w:t>
      </w:r>
    </w:p>
    <w:p>
      <w:pPr>
        <w:spacing w:after="0" w:line="225" w:lineRule="exact"/>
        <w:rPr>
          <w:sz w:val="20"/>
          <w:szCs w:val="20"/>
          <w:color w:val="auto"/>
        </w:rPr>
      </w:pPr>
    </w:p>
    <w:p>
      <w:pPr>
        <w:jc w:val="both"/>
        <w:ind w:right="20" w:firstLine="392"/>
        <w:spacing w:after="0" w:line="308" w:lineRule="auto"/>
        <w:rPr>
          <w:sz w:val="20"/>
          <w:szCs w:val="20"/>
          <w:color w:val="auto"/>
        </w:rPr>
      </w:pPr>
      <w:r>
        <w:rPr>
          <w:rFonts w:ascii="Arial" w:cs="Arial" w:eastAsia="Arial" w:hAnsi="Arial"/>
          <w:sz w:val="17"/>
          <w:szCs w:val="17"/>
          <w:color w:val="auto"/>
        </w:rPr>
        <w:t>We intend to further expand and invest in our network of delivery centers to service our clients. In 2017, we expanded our operations centers in India and in the United States. In 2017, our acquisition of the Health Integrated business added an operating facility in Tampa, Florida.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225"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intend to continue making selective acquisitions in our focus industry verticals as well as to add to our capabilities. We consider selective strategic relationships with industry leaders that add new long-term client relationships, enhance the depth and breadth of our services and complement our business strategy. We also pursue select partnerships, alliances or investments that will expand the scope and effectiveness of our services by adding proprietary technology assets and intellectual property, adding new clients or allowing us to enter new geographic markets.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Management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According to India’s National Association of Software and Service Companies, an industry trade organization, exports from India in the information technology and BPM industry are expected to grow 7%-8% year over year in the fiscal year ending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Client Management</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Australia and South Africa are supported by our business development teams.</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digital/web presence, brand awareness and participation in industry forums and conferences. As of December 31, 2017, we employed approximately 120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EXL generated revenues from approximately 415 and 400 clients in 2017 and 2016, respectively (with annual revenue exceeding $50,000 per client).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won 42 and 40 new clients during 2017 and 2016, respectively.</w:t>
      </w:r>
    </w:p>
    <w:p>
      <w:pPr>
        <w:spacing w:after="0" w:line="21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Our top three, five and ten clients generated 17.1%, 24.6% and 38.6% of our revenues, respectively, in 2017. Our top three, five and ten clients generated 16.8%, 25.4% and 40.1% of our revenues, respectively, in 2016. We have a limited number of clients in our Utilities and Banking and Financial services operating segments. However, no client accounted for more than 10% of our total revenues in 2017 or 2016.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“Item 1A. Risk Factors-Risks Related to Our Business-We derive a substantial portion of our revenues from a limited number of clients.”</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long-term relationships with our clients typically evolve from providing a single, discrete service or process into providing a series of complex, integrated processes across multiple business lines. For operations management services other than consulting, we enter into long-term agreements with our clients with typical initial terms of between three and five years. Consulting engagements have typical terms of six to twelve months. Agreements for Analytics services are either project based or having shorter initial terms, which are typically between one to three years. However, each agreement is individually negotiated with the client.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Competition in the BPM services industry is intense and growing. See “Item 1A. Risk Factors-Risks Related to Our Business-We face significant competition from U.S.-based and non-U.S.-based BPM and information technology (“IT”)</w:t>
      </w:r>
    </w:p>
    <w:p>
      <w:pPr>
        <w:sectPr>
          <w:pgSz w:w="11900" w:h="16838" w:orient="portrait"/>
          <w:cols w:equalWidth="0" w:num="1">
            <w:col w:w="11420"/>
          </w:cols>
          <w:pgMar w:left="240" w:top="337"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companies and from our clients, who may build shared services centers to perform these services themselves, either in-house, in the U.S.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85" w:lineRule="exact"/>
        <w:rPr>
          <w:sz w:val="20"/>
          <w:szCs w:val="20"/>
          <w:color w:val="auto"/>
        </w:rPr>
      </w:pPr>
    </w:p>
    <w:p>
      <w:pPr>
        <w:ind w:left="820" w:hanging="4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BPM service companies with delivery capability in offshore locations, particularly India, such as Genpact Limited and WNS (Holdings) Limited;</w:t>
      </w:r>
    </w:p>
    <w:p>
      <w:pPr>
        <w:spacing w:after="0" w:line="46" w:lineRule="exact"/>
        <w:rPr>
          <w:rFonts w:ascii="Arial" w:cs="Arial" w:eastAsia="Arial" w:hAnsi="Arial"/>
          <w:sz w:val="16"/>
          <w:szCs w:val="16"/>
          <w:color w:val="auto"/>
        </w:rPr>
      </w:pPr>
    </w:p>
    <w:p>
      <w:pPr>
        <w:ind w:left="820" w:hanging="4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BPM divisions of large global IT service companies, such as Accenture, Cognizant Technology Solutions, Infosys and Tata Consultancy Services;</w:t>
      </w:r>
    </w:p>
    <w:p>
      <w:pPr>
        <w:spacing w:after="0" w:line="32" w:lineRule="exact"/>
        <w:rPr>
          <w:rFonts w:ascii="Arial" w:cs="Arial" w:eastAsia="Arial" w:hAnsi="Arial"/>
          <w:sz w:val="16"/>
          <w:szCs w:val="16"/>
          <w:color w:val="auto"/>
        </w:rPr>
      </w:pPr>
    </w:p>
    <w:p>
      <w:pPr>
        <w:ind w:left="820" w:hanging="4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or healthcare; and</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0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Our intellectual property consists of proprietary and licensed platforms, software and databases, trade secrets, methodologies and know-how, trademarks, copyrighted software, operating procedures and other materials and patents and pending patent applications. We have several registered trademarks and logos, two patents and several pending trademark applications with the U.S. Patent and Trademark Office and certain foreign jurisdictions. We consider our business processes and implementation methodologies to be trade secrets or proprietary and confidential information. To provide our services, in addition to our own proprietary materials we use software and data licensed from third parties, as well as software and data licensed by our clients from third parties and available on their systems. We also use software-as-a-service or “SaaS” services pursuant to contracts with third parties or made available to us by our clients who contract directly with the third parties. In particular, we have developed several strategic partnerships with robotics and process automation software companies to facilitate our offering of automation to our clients.</w:t>
      </w:r>
    </w:p>
    <w:p>
      <w:pPr>
        <w:spacing w:after="0" w:line="17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Clients and business partners sign nondisclosure agreements requiring confidential treatment of our information. Our employees are required to sign work-for-hire and confidentiality covenants as a condition to their employment.</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technology group and various business lines independently develop proprietary tools that we deploy to support services for our clients. We typically retain ownership of any pre-existing tools. While working on client engagements, we also often develop new tools or methodologies, including robotics and process automation software or “bots,” and we endeavor to negotiate contracts that give us ownership or licenses to use or demonstrate such tools for other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and Data Privacy</w:t>
      </w:r>
    </w:p>
    <w:p>
      <w:pPr>
        <w:spacing w:after="0" w:line="22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have a strong focus on information security, cyber security, data privacy and the protection of our clients’ and their customers’ confidential personal and sensitive information. We have made significant investments to strengthen our information security and cyber security posture and protocols to ensure compliance with the established confidentiality policies and the laws and regulations governing our activities. These investments involve ensuring we have the appropriate people, processes and technology in place to protect information throughout its life cycle.</w:t>
      </w:r>
    </w:p>
    <w:p>
      <w:pPr>
        <w:spacing w:after="0" w:line="171" w:lineRule="exact"/>
        <w:rPr>
          <w:sz w:val="20"/>
          <w:szCs w:val="20"/>
          <w:color w:val="auto"/>
        </w:rPr>
      </w:pPr>
    </w:p>
    <w:p>
      <w:pPr>
        <w:jc w:val="both"/>
        <w:ind w:right="20" w:firstLine="392"/>
        <w:spacing w:after="0" w:line="312" w:lineRule="auto"/>
        <w:rPr>
          <w:sz w:val="20"/>
          <w:szCs w:val="20"/>
          <w:color w:val="auto"/>
        </w:rPr>
      </w:pPr>
      <w:r>
        <w:rPr>
          <w:rFonts w:ascii="Arial" w:cs="Arial" w:eastAsia="Arial" w:hAnsi="Arial"/>
          <w:sz w:val="16"/>
          <w:szCs w:val="16"/>
          <w:color w:val="auto"/>
        </w:rPr>
        <w:t>EXL places significant focus on implementing and maintaining cyber security capabilities to identify, protect, detect, respond and recover from cyber threats, incidents and attacks; reduce vulnerabilities and minimize the impact of cyber incidents. We have a strong culture of compliance and a rigorous system of institutional governance built upon and supported by policies and processes, tools and technologies, and regular knowledge and awareness training.</w:t>
      </w:r>
    </w:p>
    <w:p>
      <w:pPr>
        <w:spacing w:after="0" w:line="14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According to the needs of our clients as well as the regulatory requirements of the geographies in which we operate, most of our delivery centers are certified in regard to quality, information security and employee safety, such as the ISO 9001:2008 standard for quality management system, the ISO 27001:2013 standard for our information security management system and the OHSAS 18001:2007 standard for our occupational health and safety management system. Some of our centers in the Philippines and South Africa and certain client processes in other operation centers in India are compliant with the Payment Card Industry Data Security Standard (PCI-DSS) version 3.2 or higher requirements. We engage independent firms to conduct General Controls and business process specific SSAE 16 (SOC I - Type II) assessments. EXL aligns with the globally leading Cyber Security Framework of the National Institute of Standards and Technology of the U.S. Department of Commerce to provide security for client and business data. EXL has undertaken proactive measures to comply with new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European privacy regulations including the General Data Protection Regulation (EU) 2016/679 (“GDPR”) and/or any corresponding or equivalent national laws or regulations and expects to be compliant by the deadline included in the enacting legislation.</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EXL offers managed hosting environments for our BPaaS solutions in our Insurance and Healthcare verticals. Clients who adopt our BPaaS solutions on a managed hosted basis are offered a highly reliable, scalable, and secure hosting environment. The technology applications designed to meet disaster recover requirements are hosted in ISO 27001 certified, SSAE18 SOC1 Compliant Tier 4 data centers that are proactively monitored and managed 24 hours a day to meet the client’s business requirements.</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 robust,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redundancy in our telecommunications and network infrastructure, applications and IT infrastructure, utilities and power, and trained talent across our service delivery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of December 31, 2017, we had a headcount of approximately 27,800 employees, with approximately 19,400 employees based in India and approximately 4,800 employees in the Philippines. We have approximately 2,300 employees in the U.S, 150 employees in the U.K., 200 employees in Colombia, and 450 employees in the Czech Republic, Bulgaria, Romania, and 450 in South Africa and other geographies. None of our employees are unionized. We have never experienced any work stoppages and believe that we enjoy good employee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and Recruiting</w:t>
      </w:r>
    </w:p>
    <w:p>
      <w:pPr>
        <w:spacing w:after="0" w:line="22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employees are critical to the success of our business. Accordingly, we focus on recruiting, training and retaining our professionals. We have developed effective strategies that enable an efficient recruitment process. We have approximately 115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w:t>
      </w:r>
    </w:p>
    <w:p>
      <w:pPr>
        <w:spacing w:after="0" w:line="17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32.0% and 31.5% for the years ended December 31, 2017 and 2016,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Capability Development and Training</w:t>
      </w:r>
    </w:p>
    <w:p>
      <w:pPr>
        <w:spacing w:after="0" w:line="18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maintain a strong focus on capability development, with an emphasis on digital transformation deeper knowledge, specialization and domain expertise. Our talent and learning strategies are aligned to the overall business strategy. This creates thought leaders with high industry acumen who are better able to address our clients’ requirements. We also provide a career -linked learning path to our employees from new hires to tenured employees to senior levels of leadership.</w:t>
      </w:r>
    </w:p>
    <w:p>
      <w:pPr>
        <w:spacing w:after="0" w:line="146"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Our domain academies focus on building domain expertise through certifications and specialization. These include our Insurance Academy, Travel Academy, Finance and Accounting Academy, Healthcare Academy, Analytics Academy and Digital Capability Development.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and inclusion through our training programs. We have a global presence catering to the specific learning requirements of each geography. We provide learning through our blended learning methodology comprising of classroom, on the job coaching and technology led learning.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sometimes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249"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are one of the few service providers that can provide third-party administrator insurance services from India and the Philippines and are currently able to provide such services in the U.S. for 48 states and 16 states, respectively. Additionally, our Philippines subsidiary is able to provide utilization review services in the U.S. for 39 states (including the District of Columbia). Further, through a domestic subsidiary, we are licensed or otherwise eligible to provide third-party administrator services in all states within the U.S. as well as utilization review and insurance producer services in select states. Certain of our debt collection, utilization review, workers compensation utilization review, insurance producer and telemarketing services require us to maintain licenses in various jurisdictions or require certain categories of our professionals to be individually licensed. Our facilities in the Philippines are accredited by the Utilization Review Accreditation Commission and the National Committee for Quality Assurance, both of which are leading healthcare and education accreditation organization. We continue to obtain licenses and accreditations required from time to time by our business operations.</w:t>
      </w:r>
    </w:p>
    <w:p>
      <w:pPr>
        <w:spacing w:after="0" w:line="166"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Our operations are also subject to compliance with a variety of other laws, including U.S. federal and state regulations that apply to certain portions of our business such as the Fair Credit Reporting Act, the Foreign Corrupt Practices Act, the Federal Trade Commission Act, the Gramm-Leach-Bliley Act, the Health Insurance Portability and Accountability Act of 1996, the Health Information Technology for Economics and Clinical Health Act of 2009 and the UK Bribery Act. We must also comply with applicable regulations relating to health and other personal information that we handle as part of our services.</w:t>
      </w:r>
    </w:p>
    <w:p>
      <w:pPr>
        <w:spacing w:after="0" w:line="46"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We benefit from tax relief provided by laws and regulations in India and the Philippines from time to time.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 - Risk Factors - Risks related to the International nature of our business - Our financial condition could be negatively affected if foreign governments introduce new legislation, reduce or withdraw tax benefits and other incentives currently provided to companies within our industry or if we are not eligible for these benefits.”</w:t>
      </w:r>
    </w:p>
    <w:p>
      <w:pPr>
        <w:spacing w:after="0" w:line="142"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also benefit from a corporate tax holiday in the Philippines for some of our operations centers established there over the last several years. The Company registered with the Philippines Economic Zone Authority (“PEZA”) and is inter-alia, eligible for income tax exemption for four years. This exemption incentive may be extended in certain instances upon fulfillment of certain conditions. Following the expiry of the tax exemption, income generated from centers in the Philippines will be taxed at the prevailing annual tax rate, which is currently 5.0% on the gross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4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substantial portion of our revenues from a limited number of clients.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derived and believe that we will continue to derive a substantial portion of our total revenues from a limited number of large clients.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23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Global economic and political conditions affect our clients’ businesses and the markets they serve. The domestic and international capital and credit markets have been experiencing volatility and disruption for the past several years, resulting in uncertainty in the financial markets in general, which includes companies in the banking, financial services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Adverse developments in these industries or any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analytics and consulting services, thus reducing our revenues. Weakness in the U.S. labor market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3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results of operations and cash flows.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3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Consistent with industry practice, 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36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3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success depends to a significant extent on our ability to attract, hire, train and retain qualified employees, including our ability to attract employees with needed skills in the geographic areas in which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3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we are unable to attract and retain highly-skilled technical personnel, our ability to effectively lead our current projects and develop new business could be jeopardized, and our business, results of operations and financial condition could be adversely affected.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often have a long selling cycle for our operations management services that requires significant funds and management resources and a long implementation cycle that requires significant resource commitments.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often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2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we are engaged by a client after the selling process for our operations management services, it takes from four to six weeks to integrate the client’s systems with ours, and from three months to six months thereafter to build our services to the client’s requirements and perform any necessary transformation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typically enter into long-term contracts and fixed price contracts with our clients, and our failure to accurately estimate the resources and time required for our contracts may negatively affect our revenues, cash flows and profitability.</w:t>
      </w:r>
    </w:p>
    <w:p>
      <w:pPr>
        <w:spacing w:after="0" w:line="23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initial terms of our operations management contracts typically range from three to five years. In many of our operations management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ectPr>
          <w:pgSz w:w="11900" w:h="16838" w:orient="portrait"/>
          <w:cols w:equalWidth="0" w:num="1">
            <w:col w:w="11420"/>
          </w:cols>
          <w:pgMar w:left="240" w:top="337"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financial condition and cash flows may be adversely affected.</w:t>
      </w:r>
    </w:p>
    <w:p>
      <w:pPr>
        <w:spacing w:after="0" w:line="21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 significant portion of our contracts use a pricing model that provides for hourly or annual billing rates. Industry pricing models are evolving, however, and we anticipate that clients may increasingly request transaction-based, outcome-based or other pricing models. If we make inaccurate assumptions for contracts with such alternative pricing models,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3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addition, for the services we provide to our clients, the revenues and income from such services may decline or vary as the type and volume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price our services appropriately or manage our asset utilization levels.</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cash flows and financial condition.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analytics and consulting services are cyclical and based on specific projects involving short-term contracts.</w:t>
      </w:r>
    </w:p>
    <w:p>
      <w:pPr>
        <w:spacing w:after="0" w:line="2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analytics and consulting services are cyclical and can be significantly affected by variations in business cycles. Changes in the deadlines or the scope of work required for compliance with the requirements of legislation applicable to our clients could curtail significantly those service offerings.</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project 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experience significant variability and as a result it may be difficult for us to make accurate financial forecasts.</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3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0" w:lineRule="exact"/>
        <w:rPr>
          <w:sz w:val="20"/>
          <w:szCs w:val="20"/>
          <w:color w:val="auto"/>
        </w:rPr>
      </w:pP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23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manage our rapid infrastructure and personnel growth effectively could have a material adverse effect on our business, results of operations, financial condition and cash flows.</w:t>
      </w:r>
    </w:p>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Since we were founded in April 1999, we have experienced rapid growth and significantly expanded our operations, and that growth has continued in recent years as well. We have several operations centers in India, the U.S., the Philippines and an operations center in each of South Africa, Colombia, Bulgaria, Romania, and the Czech Republic. Further, we have acquired multiple regional offices in the U.S.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36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3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completion of some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2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periodically assess our goodwill and intangible assets to determine if they are impaired and we monitor for impairment of goodwill relating to all acquisitions. Goodwill is not amortized but is tested for impairment at least once on an annual basis as of October 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 quantitative assessment to determine whether it is more likely than not that the fair value of a reporting unit is less than its carrying amount. In the event that the carrying amount of goodwill is impaired, any such impairment would be charged to earnings in the period of impairment. Since this involves use of critical accounting estimates, we cannot assure you that future impairment of goodwill will not have a material adverse effect on our business, financial condition or results of operations.</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collect our receivables from, or bill our unbilled services to, our clients, our results of operations and cash flows could be adversely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affected.</w:t>
      </w:r>
    </w:p>
    <w:p>
      <w:pPr>
        <w:spacing w:after="0" w:line="2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We might not accurately assess the creditworthiness of our clients. Macroeconomic conditions, such as any domestic or global credit crisis and disruption or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2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w:t>
      </w:r>
    </w:p>
    <w:p>
      <w:pPr>
        <w:sectPr>
          <w:pgSz w:w="11900" w:h="16838" w:orient="portrait"/>
          <w:cols w:equalWidth="0" w:num="1">
            <w:col w:w="11420"/>
          </w:cols>
          <w:pgMar w:left="240" w:top="337"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retaining the quality and number of employees that our business requires. Wages are generally higher for employees performing analytics and consulting services than for employees performing operations management services. As the scale of our analytics and consulting services increases, wages as a percentage of revenues will likely increase.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3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2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24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3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processing errors, or impair our client’s ability to comply with its own internal control requirements.</w:t>
      </w:r>
    </w:p>
    <w:p>
      <w:pPr>
        <w:spacing w:after="0" w:line="24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 sometimes use to deliver our services.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2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meet our contractual obligations or otherwise breach obligations to our clients, we could be subject to legal liability. We may enter into non-standard agreements because we perceive an important economic opportunity by doing so or because our personnel did not adequately adhere to our guidelines. In addition, the contracting practices of our competitors may cause contract terms and conditions that are unfavorable to us to become standard in the marketplace. If we cannot or do not perform our obligations, we could face legal liability and our contracts might not always protect us adequately through limitations on the scope and/or amount of our potential liability. If we cannot, or do not, meet our contractual obligations to provide solutions and services, and if our exposure is not adequately limited through the enforceable terms of our agreements, we might face significant legal liability and our business could be adversely affected.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 Additionally, we may not be successful in obtaining or maintaining patents or trademarks for which we have applied.</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35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addition, competitors or others may allege that our systems, processes, marketing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Any such claim for intellectual property infringement may have a material adverse effect on our business, results of operations, financial condition and cash flows.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37"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29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3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the Financial Accounting Standards Board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2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internal control failures, if we cannot maintain effective internal controls or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3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adhere to the regulations or accreditation or licensing standards that govern our business could have an adverse impact on our operations.</w:t>
      </w:r>
    </w:p>
    <w:p>
      <w:pPr>
        <w:spacing w:after="0" w:line="3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w:t>
      </w:r>
    </w:p>
    <w:p>
      <w:pPr>
        <w:sectPr>
          <w:pgSz w:w="11900" w:h="16838" w:orient="portrait"/>
          <w:cols w:equalWidth="0" w:num="1">
            <w:col w:w="11420"/>
          </w:cols>
          <w:pgMar w:left="240" w:top="337"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37"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are required under various laws to obtain and maintain accreditations, permits and/or licenses for the conduct of our business in all jurisdictions in which we have operations, including India, and, in some cases,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been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service our debt or obtain additional financing on competitive terms.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credit agreement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$200 million revolving credit facility including a letter of credit sub-facility. Our credit facility has a maturity date of November 21, 2022 and is voluntarily payable from time to time without premium or penalty. Our cash flow from operations provides the primary source of funds for our debt service payments. If our cash flow from operations declines, we may be unable to service or refinance our current debt which could adversely affect our business and financial condition. In addition, we have limited ability to increase our borrowings under our existing credit agreement. 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U.S. Tax Cuts and Jobs Act of 2017 could materially affect our tax obligations and effective tax rate.</w:t>
      </w:r>
    </w:p>
    <w:p>
      <w:pPr>
        <w:spacing w:after="0" w:line="34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Tax Cuts and Jobs Act of 2017 (the “Tax Reform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Reform Act requires complex computations not previously provided in U.S. tax law. As such, the application of accounting guidance for such items is currently uncertain. Further, compliance with the Tax Reform Act and the accounting for such provisions require accumulation of information not previously required or regularly produced. As a result, we have provided a provisional estimate on the effect of the Tax Reform Act in our financial statements. As additional regulatory guidance is issued by the applicable taxing authorities, as accounting treatment is clarified, as we perform additional analysis on the application of the law, and as we refine estimates in calculating the effect, our final analysis, which will be recorded in the period completed, may be different from our current provisional amounts, which could materially affect our tax obligations and effective tax 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34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have offices and operations in various countries around the world and provide services to customers globally. 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We may also face difficulties integrating new facilities in different countries into our existing operations.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3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and cash flows may be adversely affected.</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benefited up to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last several years, we either established or acquired new centers that are eligible for tax benefits under the SEZ Act. The SEZ Act introduced a 15-year tax holiday scheme for operations established in designated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ectPr>
          <w:pgSz w:w="11900" w:h="16838" w:orient="portrait"/>
          <w:cols w:equalWidth="0" w:num="1">
            <w:col w:w="11420"/>
          </w:cols>
          <w:pgMar w:left="240" w:top="337"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37"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3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Following the expiry of the tax exemption, income generated from centers in the Philippines will be taxed at the prevailing annual tax rate.</w:t>
      </w:r>
    </w:p>
    <w:p>
      <w:pPr>
        <w:spacing w:after="0" w:line="1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As a result of the foregoing, our overall effective tax rate may increase in future years and such increase may be material and may have impact on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30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Please see Note 23 to our consolidated financial statements for details.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 of tax legislation and disputes with tax authorities may have an adverse effect on our operations and our overall effective tax rate.</w:t>
      </w:r>
    </w:p>
    <w:p>
      <w:pPr>
        <w:spacing w:after="0" w:line="3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Governments in countries in which we operate or provide services could enact new tax legislation,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financial condition and cash flows.</w:t>
      </w:r>
    </w:p>
    <w:p>
      <w:pPr>
        <w:spacing w:after="0" w:line="36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adversely affected if we repatriate funds held by our foreign subsidiaries.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earn a significant amount of our earnings outside of the United States. We have not determined the extent, if any, to which we may repatriate funds held by our foreign subsidiaries in light of the current regulatory environment (including under the Tax Reform Act) and because our future growth depends in part upon continued infrastructure and technology investments, geographical expansions and acquisitions outside of the U.S. Not all of the undistributed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described in “Management’s Discussion and Analysis of Financial Condition and Results of Operations - Income Taxes” and in Note 20 to our consolidated financial statements contained herein. If we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data privacy and labor relations. The global nature of our operations increases the difficulty of compliance. Compliance with diverse legal requirements is costly, time-consuming and requires significant resources.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3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it may be difficult to enforce our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23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Although 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Philippine peso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3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June 2016, the U.K. held a referendum in which British citizens approved an exit from the European Union ("EU"), commonly referred to as “Brexit.” As a result of the referendum, the global markets and currencies have been adversely impacted, including experiencing a decline in the value of the U.K. pound sterling as compared to the U.S. dollar. Volatility in exchange rates is expected to continue in the short term as the U.K. negotiates its exit from the EU. Although it is unknown what the result of those negotiations will be, it is possible that new terms may adversely affect our financial results, operations and cash flows.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financial condition and cash flows.</w:t>
      </w:r>
    </w:p>
    <w:p>
      <w:pPr>
        <w:spacing w:after="0" w:line="2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Terrorist attacks and other acts of violence or war, including those involving India, the Philippines, the U.S. or other countries, may adversely affect worldwide financial markets and could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3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Many of our operating subsidiaries are incorporated in India, and a substantial portion of our assets and our professionals are located in India. We intend to continue to develop and expand our offshore facilities in India. In the past,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or that any other changes made by the Indian government will be favorable to our operations or business. Recent changes in the leadership of the Indian government, could result in the modification of India’s economic liberalization, deregulation and other policies and disrupt business and economic conditions in India generally and our business in particular. Any such actions could remove benefits currently received by us or impose additional taxes or other obligations on us and therefore negatively impact our business.</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0" w:lineRule="exact"/>
        <w:rPr>
          <w:sz w:val="20"/>
          <w:szCs w:val="20"/>
          <w:color w:val="auto"/>
        </w:rPr>
      </w:pPr>
    </w:p>
    <w:p>
      <w:pPr>
        <w:spacing w:after="0" w:line="2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Restrictions on visas and work permits may affect our ability to compete for and provide services to clients in the U.S. and other jurisdictions, which could make it more difficult to staff engagements and could increase our costs, which could have an adverse effect on our net income.</w:t>
      </w:r>
    </w:p>
    <w:p>
      <w:pPr>
        <w:spacing w:after="0" w:line="19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Immigration and work permit laws and regulations in the countries in which we have customers are subject to legislative and administrative changes as well as changes in the application of standards and enforcement. For example, the U.S. Congress has been actively considering various proposals that would make extensive changes to U.S. immigration laws regarding the admission of high-skilled temporary and permanent workers.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ability of some of our executives and employees based in India and other foreign locations to work with and meet clients in the U.S. and other jurisdictions depends on their ability to obtain the necessary visas and work permits. In recent years, immigration authorities, in the U.S.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professionals.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operations, financial condition and cash flows.</w:t>
      </w:r>
    </w:p>
    <w:p>
      <w:pPr>
        <w:spacing w:after="0" w:line="23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operating subsidiaries are organized outside the U.S. and some of our executive officers may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3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34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3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this may have a materially adverse effect on the trading price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may not be successful in addressing these changes.</w:t>
      </w:r>
    </w:p>
    <w:p>
      <w:pPr>
        <w:spacing w:after="0" w:line="3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2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based our strategy of future growth on certain assumptions regarding our industry and future developments in the market for outsourcing services. For example, we believe that there will continue to be changes in product and service requirements,</w:t>
      </w:r>
    </w:p>
    <w:p>
      <w:pPr>
        <w:sectPr>
          <w:pgSz w:w="11900" w:h="16838" w:orient="portrait"/>
          <w:cols w:equalWidth="0" w:num="1">
            <w:col w:w="11420"/>
          </w:cols>
          <w:pgMar w:left="240" w:top="337"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the past year there have been high-profile movements among activists as well as executive and legislative leadership in the U.S. with the potential to restrict or reduce the use of offshore resources.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34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2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U.K. and other European jurisdictions.</w:t>
      </w: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typically required to process, and sometimes collect and/or store sensitive data, including data regulated by the U.S. Health Insurance Portability and Accountability Act of 1996, as amended,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including the GDPR,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36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Although we devote substantial resources to protect our information assets and our clients' confidential information, any network infrastructure are subject to be vulnerable to rapidly evolving cyber-attacks,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34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36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any person, including any of our employees, is able to penetrate our perimeter or internal network security, computing infrastructure or otherwise mismanages or misappropriates sensitive data, discloses or distributes any such data in an unauthorized manner, we could be subject to significant liability and lawsuits from our clients or their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Cyber-attacks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3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corporate headquarters are located in New York, New York. We have 26 operations centers in India, six operations centers in the Philippines and one operations center in each of Bulgaria, Colombia, the Czech Republic, Romania and South Africa with an aggregate area of approximately 1,850,000 square feet and a current installed capacity of approximately 27,700 workstations, including workstations for training and our employees in enabling functions. We also have multiple operations centers and regional offices in the U.S. and an operation center in the U.K.</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corporate headquarters and all of our operations centers are leased under long-term leases with varying expiration dates, except for an operations center in Pune, India with an area of 86,361 sq. ft. and containing approximately 1,600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Please see Note 23 to our consolidated financial statements contained herein for details regarding our tax proceedings.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6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Calendar Period</w:t>
            </w:r>
          </w:p>
        </w:tc>
        <w:tc>
          <w:tcPr>
            <w:tcW w:w="24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Low</w:t>
            </w:r>
          </w:p>
        </w:tc>
      </w:tr>
      <w:tr>
        <w:trPr>
          <w:trHeight w:val="250"/>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44.25</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46.24</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42.00</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February 21, 2018, there were 24 holders of record of our outstanding common stock. A substantially greater number of holders of our common stock are “street name” or beneficial holders, whose shares of record are held by banks, brokers, and other financial institutions.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 million.</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increases the 2017 authorization from $20 million to $40 million and authorizes stock repurchases of up to $40 million in each of 2018 and 2019.</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structured open market purchases under the 2014 Repurchase Program and 2017 Repurchase Program to comply with Rule 10b-18 under the Exchange Act. Repurchases may be discontinued at any time by management.</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under these programs are recorded as treasury shares and are held until our Board of Directors designates that these shares be retired or used for other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regarding the purchase of equity securities by the Company during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3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12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3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 Paid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2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Programs</w:t>
            </w:r>
          </w:p>
        </w:tc>
      </w:tr>
      <w:tr>
        <w:trPr>
          <w:trHeight w:val="27"/>
        </w:trPr>
        <w:tc>
          <w:tcPr>
            <w:tcW w:w="33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 1, 2017 through Oct 31, 2017</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58.82</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10,109,462</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Nov 1, 2017 through Nov 30, 2017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79,165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79,165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5,232,369</w:t>
            </w:r>
          </w:p>
        </w:tc>
      </w:tr>
      <w:tr>
        <w:trPr>
          <w:trHeight w:val="27"/>
        </w:trPr>
        <w:tc>
          <w:tcPr>
            <w:tcW w:w="3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 1, 2017 through Dec 31, 2017 </w:t>
            </w:r>
            <w:r>
              <w:rPr>
                <w:rFonts w:ascii="Arial" w:cs="Arial" w:eastAsia="Arial" w:hAnsi="Arial"/>
                <w:sz w:val="25"/>
                <w:szCs w:val="25"/>
                <w:color w:val="auto"/>
                <w:vertAlign w:val="superscript"/>
              </w:rPr>
              <w:t>(1)</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181,288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61.33</w:t>
            </w:r>
          </w:p>
        </w:tc>
        <w:tc>
          <w:tcPr>
            <w:tcW w:w="120" w:type="dxa"/>
            <w:vAlign w:val="bottom"/>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63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40" w:lineRule="exact"/>
        <w:rPr>
          <w:sz w:val="20"/>
          <w:szCs w:val="20"/>
          <w:color w:val="auto"/>
        </w:rPr>
      </w:pPr>
    </w:p>
    <w:p>
      <w:pPr>
        <w:jc w:val="both"/>
        <w:ind w:left="660"/>
        <w:spacing w:after="0" w:line="270"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6"/>
          <w:szCs w:val="16"/>
          <w:i w:val="1"/>
          <w:iCs w:val="1"/>
          <w:color w:val="auto"/>
        </w:rPr>
        <w:t>) Includes 4,151 shares of the Company’s common stock acquired by the Company at the price of $60.45 in connection with satisfaction of tax withholding</w:t>
      </w:r>
      <w:r>
        <w:rPr>
          <w:rFonts w:ascii="Arial" w:cs="Arial" w:eastAsia="Arial" w:hAnsi="Arial"/>
          <w:sz w:val="14"/>
          <w:szCs w:val="14"/>
          <w:i w:val="1"/>
          <w:iCs w:val="1"/>
          <w:color w:val="auto"/>
        </w:rPr>
        <w:t xml:space="preserve"> </w:t>
      </w:r>
      <w:r>
        <w:rPr>
          <w:rFonts w:ascii="Arial" w:cs="Arial" w:eastAsia="Arial" w:hAnsi="Arial"/>
          <w:sz w:val="16"/>
          <w:szCs w:val="16"/>
          <w:i w:val="1"/>
          <w:iCs w:val="1"/>
          <w:color w:val="auto"/>
        </w:rPr>
        <w:t>obligations on vested restricted stock. Price paid per share for the restricted stock was the average of high and low price of common stock on the trading day prior to the vesting date of the restricted stock units.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the Company purchased 761,154 shares of its common stock under the “2014 Repurchase Program” and “2017 Repurchase Program”, for an aggregate purchase price of approximately $40.19 million including commissions, representing an average purchase price per share of $52.80.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2017, the Company acquired 69,154 shares from employees in connection with withholding tax payments related to the vesting of restricted stock for a total consideration of $3.27 million. The weighted average purchase price of $47.24 was the average of the high and low price of the Company’s shares of common stock on the Nasdaq Global Select Market on the trading day prior to the vesting date of the shares of restricted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 provides information as of December 31, 2017 with respect to the shares of our common stock that may be issued under our existing equity compensation plans. For a description of our equity compensation plans, please see Note 21 to our consolidated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50"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color w:val="auto"/>
        </w:rPr>
        <w:t>Equity compensation plans approved by security holders</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1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 Future</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Exercise/Vesting of</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of</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Issuance Under Equity</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Plans (Excluding</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Warrants and</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Options, Warrants and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Rights*</w:t>
            </w:r>
          </w:p>
        </w:tc>
        <w:tc>
          <w:tcPr>
            <w:tcW w:w="12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1)</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439"/>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2,215,523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24"/>
                <w:szCs w:val="24"/>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1,509,976</w:t>
            </w:r>
          </w:p>
        </w:tc>
      </w:tr>
      <w:tr>
        <w:trPr>
          <w:trHeight w:val="486"/>
        </w:trPr>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2,215,523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20"/>
                <w:szCs w:val="20"/>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1,509,976</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-822960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-205105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40"/>
            <w:col w:w="7460"/>
          </w:cols>
          <w:pgMar w:left="240" w:top="337" w:right="239" w:bottom="1440" w:gutter="0" w:footer="0" w:header="0"/>
          <w:type w:val="continuous"/>
        </w:sectPr>
      </w:pPr>
    </w:p>
    <w:p>
      <w:pPr>
        <w:spacing w:after="0" w:line="114" w:lineRule="exact"/>
        <w:rPr>
          <w:sz w:val="20"/>
          <w:szCs w:val="20"/>
          <w:color w:val="auto"/>
        </w:rPr>
      </w:pPr>
    </w:p>
    <w:p>
      <w:pPr>
        <w:ind w:left="660" w:right="840" w:hanging="652"/>
        <w:spacing w:after="0" w:line="275"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6"/>
          <w:szCs w:val="16"/>
          <w:i w:val="1"/>
          <w:iCs w:val="1"/>
          <w:color w:val="auto"/>
        </w:rPr>
        <w:t>This includes outstanding options and unvested Restricted Stock, Restricted Stock Units and Performance Restricted Stock Units. Refer to Note 21 to our consolidated financial statements for further details.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2012.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2012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62865</wp:posOffset>
            </wp:positionV>
            <wp:extent cx="5848985" cy="4262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following table sets forth our selected consolidated historical financial data as of the dates and for the periods indicated. Our selected consolidated financial data set forth below as of December 31, 2017 and 2016 and for each of the three years in the period ended December 31, 2017 has been derived from our consolidated financial statements included elsewhere in this Annual Report on Form 10-K. Our selected consolidated financial data set forth below as of December 31, 2015, 2014 and 2013 and for years ended December 31, 2014 and 2013 is derived from our audited financial statements, which are not included in this Annual Report on Form 10-K. Our selected consolidated financial information for 2017, 2016 and 2015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762.3</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499.3</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478.5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(excluding depreciation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266.7</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gain/(loss),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Weighted-average number of shares used in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computing earnings per share:</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33,897,916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33,566,367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33,298,104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32,804,606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32,750,178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35,110,210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34,563,319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34,178,340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33,636,593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33,842,938</w:t>
            </w:r>
          </w:p>
        </w:tc>
      </w:tr>
      <w:tr>
        <w:trPr>
          <w:trHeight w:val="494"/>
        </w:trPr>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Statements of Balance Sheets Data: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176.5</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308.6</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824.8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706.5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573.6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Other long term obligations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ExlService Holdings, Inc.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599.8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366.2</w:t>
            </w:r>
          </w:p>
        </w:tc>
      </w:tr>
      <w:tr>
        <w:trPr>
          <w:trHeight w:val="27"/>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81" w:lineRule="exact"/>
        <w:rPr>
          <w:sz w:val="20"/>
          <w:szCs w:val="20"/>
          <w:color w:val="auto"/>
        </w:rPr>
      </w:pPr>
    </w:p>
    <w:p>
      <w:pPr>
        <w:ind w:left="420" w:right="20" w:hanging="7"/>
        <w:spacing w:after="0" w:line="334" w:lineRule="auto"/>
        <w:tabs>
          <w:tab w:leader="none" w:pos="852"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Working capital means total current assets less total current liabilities. Pursuant to ASU No. 2015-17, "Income Taxes (Topic 740): Balance Sheet Classification of Deferred Taxes”, all deferred tax liabilities and assets have been classified as long-term in the consolidated balance sheets.</w:t>
      </w:r>
    </w:p>
    <w:p>
      <w:pPr>
        <w:spacing w:after="0" w:line="1" w:lineRule="exact"/>
        <w:rPr>
          <w:rFonts w:ascii="Arial" w:cs="Arial" w:eastAsia="Arial" w:hAnsi="Arial"/>
          <w:sz w:val="16"/>
          <w:szCs w:val="16"/>
          <w:i w:val="1"/>
          <w:iCs w:val="1"/>
          <w:color w:val="auto"/>
        </w:rPr>
      </w:pPr>
    </w:p>
    <w:p>
      <w:pPr>
        <w:ind w:left="420" w:hanging="7"/>
        <w:spacing w:after="0" w:line="363" w:lineRule="auto"/>
        <w:tabs>
          <w:tab w:leader="none" w:pos="852"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Other long term obligations include unrecognized tax benefits, retirement benefits, capital leases obligation, deferred rent, unrealized losses on effective cash flow hedges, income taxes payable and other long term liabilities.</w:t>
      </w:r>
    </w:p>
    <w:p>
      <w:pPr>
        <w:sectPr>
          <w:pgSz w:w="11900" w:h="16838" w:orient="portrait"/>
          <w:cols w:equalWidth="0" w:num="1">
            <w:col w:w="11420"/>
          </w:cols>
          <w:pgMar w:left="240" w:top="337"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“—Forward-Looking Statements.” Dollar amounts within Item 7 are presented as actual dollar amounts.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Annual Report on Form 10-K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101" w:lineRule="exact"/>
        <w:rPr>
          <w:sz w:val="20"/>
          <w:szCs w:val="20"/>
          <w:color w:val="auto"/>
        </w:rPr>
      </w:pPr>
    </w:p>
    <w:p>
      <w:pPr>
        <w:ind w:left="720" w:hanging="388"/>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forward-looking statements in this Annual Report on Form 10-K.</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Annual Report on Form 10-K, or elsewhere, speaks only as of the date on which they were made. New risks and uncertainties come up from time to time, and it is impossible for us to predict these events or how they may affect us. We have no obligation to update any forward-looking statements in this Annual Report on Form 10-K after the date of this Annual Report on Form 10-K, except as required by federal securities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6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 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right="780" w:hanging="327"/>
        <w:spacing w:after="0" w:line="26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including our banking and financial services, utilities and consulting operating segments).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information on our operating segments, please see “Item 1. Business.”</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Consistent with our growth strategy, on December 22, 2017, we acquired substantially all of the assets and assumed certain liabilities related thereto of Health Integrated, Inc. (“Health Integrated”).</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of Health Integrated is included in the Healthcare reportable segment. Health Integrated is a Florida-based care management company that provides end-to-end analytics- and behavioral IP-enabled care management services including case management, utilization management, disease management, special needs programs, and multi-chronic care management on behalf of health plans. Health Integrated serves millions of lives in the Medicaid, Medicare, and dual eligible populations.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2017, we had revenues of $762.3 million compared to revenues of $686.0 million for the year ended December 31, 2016, an increase of $76.3 million or 11.1%.</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82.2% and 14.3%, respectively, of our total revenues for the year ended December 31, 2017 and approximately 80.9% and 16.0%, respectively, of our revenues for the year ended December 31, 2016.</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years ended December 31, 2017 and 2016, our total revenues from our top ten clients accounted for 38.6% and 40.1%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Management Services: We provide our clients with a range of operations management services principally in the insurance, healthcare, 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services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revenues primarily consists of:</w:t>
      </w:r>
    </w:p>
    <w:p>
      <w:pPr>
        <w:spacing w:after="0" w:line="23"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costs, which include salary, bonus and other compensation expenses; recruitment and training costs; employee insurance; transport and meals; rewards and recognition for certain employees; and non-cash stock compensation expense; and</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rent expenses;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and other billable costs to our clients.</w:t>
      </w:r>
    </w:p>
    <w:p>
      <w:pPr>
        <w:spacing w:after="0" w:line="211"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The most significant components of our cost of revenues are salaries and benefits (including stock based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8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experience a higher cost of revenues as a percentage of revenues during the initial 12 months to 18 months in a long-term BPM contract due to upfront investments in infrastructure, resource hiring and training during migration. The cost of revenues as a percentage of revenues improve as we scale up, achieve operational efficiencies and complete the migration.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general and administrative expenses are comprised of expenses relating to salaries and benefits (including stock based compensation) as well as costs related to recruitment, training and retention of senior management and other support personnel 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investment in product development, digital technology, advanced automation and robotics, bad debt allowance and non-cash amortization of stock compensation expenses related to our issuance of equity awards to members of our board of directors. We expect our G&amp;A costs to increase as we continue to strengthen our support and enabling functions and invest in leadership development, performance management and training programs.</w:t>
      </w:r>
    </w:p>
    <w:p>
      <w:pPr>
        <w:spacing w:after="0" w:line="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report our financial results in U.S. dollars. However, a significant portion of our total revenues are earned in U.K. pounds sterling (14.3% and 16.0%, respectively, for the years ended December 31, 2017 and 2016), while a significant portion of our expenses are incurred and paid in Indian rupees (29.6% and 33.6%, respectively, of our total costs for the years ended December 31, 2017 and 2016) and the Philippine peso (8.4% and 11.0%, of our total costs for the years ended December 31, 2017 and 2016).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We early adopted ASU 2017-12, Derivative and Hedging (Topic 815), Targeted Improvements to Accounting for Hedging Activities. Pursuant to this adoption, effective January 1, 2017, we recorded the resultant foreign exchange gain/(loss) upon settlement of cash flow hedges to cost of revenues and operating expenses, as applicable, in the consolidated statements of income. See Notes 2 and 15 to our consolidated financial statements and Item 7A -“Quantitative and Qualitative Disclosures about Market Risk-Foreign Currency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consist of interest on our borrowings under the credit facility, capital lease obligation and notional interest segregated from purchase of property and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income, net primarily consists of gain/(loss) on sale, and dividend income on our investments in mutual funds, money market accounts and interest on time deposits included in cash and cash equivalents and short-term investments on our consolidated balance sheet. Other income, net also consists of change in fair value of earn-out consideration and interest on refunds received from income tax authorities in India on completion of tax assessments.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7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December 22, 2017, the United States enacted the Tax Reform Act, which significantly impacted our effective tax rate for the year ended December 31, 2017. The Tax Reform Act makes broad and complex changes to the U.S. tax code including, but not limited to (1) reducing the U.S. federal corporate tax rate from 35.0% to 21.0% effective January 1, 2018 and (2) implementing a modified territorial tax system that includes a one-time transition tax on the mandatory deemed repatriation of accumulated earnings and profits of foreign subsidiaries that is payable over eight years. We recognized a one-time income tax expense of $29.2 million during the three months and year ended December 31, 2017, comprised of a provisional deemed repatriation tax expense of $27.2 million and a provisional net deferred tax expense of $2.0 million. The one-time incremental income tax expense reflects certain assumptions based upon our interpretation of the Tax Reform Act and may change as we receive additional clarification and guidance and as the interpretation of the Tax Reform Act evolves over time. See “Results of Operations-Year Ended December 31, 2017 Compared to Year Ended December 31, 2016-Income Tax Expense” and see Note 20 to our consolidated financial statements.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benefited through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2017, was 34.61%.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last several years, we either established or acquired new centers that are eligible for tax benefits under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During the year company started operations from two new SEZ units, and Tax holiday for one of the unit expired in 2017, following the expiry of the tax exemption, SEZ unit is taxed at the prevailing annual tax rate, which as of December 31, 2017 was 34.61%. We anticipate establishing additional operations centers in SEZs or other tax advantaged locations in the future.</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several years. The tax holiday expired for two of our centers in 2014 and in 2016 and will expire over the next few years for other centers, which may lead to an increase in our overall tax rate. Following the expiry of the tax exemption, income generated from centers in the Philippines will be taxed at the prevailing annual tax rate, which as of December 31, 2017 was 5% of the gross income.</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2-“Summary of Significant Accounting Policies” to our consolidated financial statements. We consider the policies discussed below to be critical to an understanding of our consolidated financial statements, as their application places the most significant demands on management’s judgment regarding matters that are inherently uncertain at the time an estimate is made. These policies include revenue recognition, accounts receivable, business combinations, goodwill, intangibles and long-lived assets, stock-based compensation, derivative instruments and hedging activity, income taxes and assets and obligations related to employee benefit plans. These accounting policies and the associated risks are set out below. Future events may not develop exactly as forecasted and estimates routinely require adjustment.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derive our revenues from operations management and analytics services. Revenues from operations management services are recognized primarily on a time-and-material-based, transaction-based, outcome-based, cost-plus and fixed-price basis; revenues from analytics services are recognized primarily on a time-and-material or fixed price basis. The services provided within our operations management and Analytics contracts generally contain one unit of accounting, except for the software and related services contracts involving implementation services and post contract maintenance services. In such multiple element arrangements, revenue is allocated to maintenance based on the price charged when that element is sold separately (vendor specific objective evidence or “VSOE”). Revenues are recognized when the four basic criteria are met; persuasive evidence of an arrangement exists, the sales price is fixed or determinable, services have been performed and collection of amounts billed is reasonably assured.</w:t>
      </w:r>
    </w:p>
    <w:p>
      <w:pPr>
        <w:spacing w:after="0" w:line="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under time-and-material, transaction and outcome-based contracts are recognized as the services are performed. When the terms of the client contract specify service level parameters that must be met (such as turnaround time or accuracy), we monitor such service level parameters to determine if any service credits or penalties have been incurred. Revenues are recognized net of any penalties or service credits that are due to a client.</w:t>
      </w:r>
    </w:p>
    <w:p>
      <w:pPr>
        <w:spacing w:after="0" w:line="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Analytics services including modeling, targeting and designing of campaigns and mail marketing including email marketing and other digital solutions is typically recognized on delivery of such campaigns. In respect of arrangements involving subcontracting of part or whole of the assigned work, the Company evaluates revenue to be recognized under Accounting Standards Codification (“ASC”) 605-45 “Revenue recognition - Principal agent considerations”.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Revenues for our fixed-price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4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Revenues from our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 To a lesser extent, our software and related services contracts may contain software license, related services and maintenance elements as a multiple element arrangement. In such cases, revenue is allocated to maintenance based on the price charged when that element is sold separately (vendor specific objective evidence or “VSOE”).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7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defer the revenues and related cost of revenue while a process is under migration and recognize such revenues and costs ratably over the period during which the related services are expected to be performed. The deferred costs are limited to the amounts of the deferred revenues.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 accounts receivable net of allowances for doubtful accounts. Allowances for doubtful accounts are established through the evaluation of accounts receivable aging, prior collection experience, current market conditions, clients’ financial condition and the amount of receivables in dispute to estimate the collectability of these receivables.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account for all business combinations using the acquisition method of accounting as prescribed by ASC Topic 805, “Business Combinations”. The guidance requires the use of significant estimates and assumptions in allocation of the purchase price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anticipated growth rates and customer attrition rates and the discount rate reflecting the risk inherent in future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Goodwill represents the cost of acquired businesses in excess of the fair value of the identifiable tangible and intangible assets acquired and liabilities assumed. All assets and liabilities of the acquired business including goodwill are assigned to reporting units. We test goodwill for impairment at least annually on October 1, or if indicators of impairment arise, such as the effects of obsolescence, demand, competition and other economic factors or on occurrence of an event or change in circumstances that would more likely than not reduce the fair value of the reporting unit below its carrying amount. When determining the fair value of our reporting units, we utilize various assumptions, including operating results, business plans and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2-“Summary of Significant Accounting Policies-Business Combinations, Goodwill and Other Intangible Assets” to our consolidated financial statements for more information about how we value our intangible assets.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grant performance-based restricted stock units (“PRSUs”) to executive officers and other specified employees. 50% of the PRSUs cliff vest at the end of a three-year period based on a revenue target of the third year (“PUs”). The remaining 50% vest based on a market condition (“MUs”) that is contingent on EXL meeting or exceeding the total shareholder return relative to a group of peer companies specified under the program, measured over a three-year performance period. The award recipient may earn up to two hundred percent (200%) of the PRSUs granted based on the actual achievements of both targets.</w:t>
      </w:r>
    </w:p>
    <w:p>
      <w:pPr>
        <w:spacing w:after="0" w:line="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each PU is determined based on the market price of one share of our common stock on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normal course of business, we actively look to mitigate the exposure of foreign currency market risk associated with forecasted transactions denominated in certain foreign currencies and to minimize earnings and cash flow volatility associated with changes in foreign currency exchanges rates by entering into various foreign currency exchange forward contracts, with counterparties that are highly rated financial institutions.</w:t>
      </w:r>
    </w:p>
    <w:p>
      <w:pPr>
        <w:spacing w:after="0" w:line="5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hedge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We early adopted ASU 2017-12, Derivative and Hedging (Topic 815), Targeted Improvements to Accounting for Hedging Activities. Pursuant to this adoption, effective January 1, 2017, the resultant foreign exchange gain/(loss) upon settlement of cash flow hedges are recorded in the consolidated statements of income along with the underlying hedged item in the same income statement line as either part of “Cost of revenue”, “General and administrative expenses”, “Selling and marketing expenses”, "Depreciation and Amortization”, as applicable.</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Prior to January 1, 2017, the resultant foreign exchange gain/(loss) on settlement of cash flow hedges and changes in the fair value of cash flow hedges deemed ineffective have been recorded in “Foreign exchange gain, net” in the consolidated statements of income.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use derivative instruments consisting of foreign currency exchange contracts to economically hedge intercompany balances and other monetary assets or liabilities denominated in currencies other than the functional currency. These derivatives do not qualify as fair value hedges. Changes in the fair value of these derivatives are recognized in the consolidated statement of income and are included in foreign exchange gain/(loss).</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not determined the extent, if any, to which we may repatriate funds held by our foreign subsidiaries in light of the current regulatory environment (including under the Tax Reform Act) and because our future growth depends in part upon continued infrastructure and technology investments, geographical expansions and acquisitions outside of the U.S. Not all of our undistributed foreign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described in Note 20 to our consolidated financial statements contained herein. If we decide to repatriate such earnings, we may have to accrue further taxes associated with such earnings in accordance with local tax laws, rules and regulations in the relevant jurisdictions.</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income tax expense also takes into account any interest or penalties related to unrecognized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record contributions to defined contribution plans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both probability and whether an exposure is reasonably estimable.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years ended December 31, 2017, 2016 and 2015:</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231"/>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(dollars in millions)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3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762.3</w:t>
            </w:r>
          </w:p>
        </w:tc>
        <w:tc>
          <w:tcPr>
            <w:tcW w:w="5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495.6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266.7</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102.6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194.5</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5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8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337" w:right="1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7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0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234.8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209.9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762.3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year ended December 31, 2017 were $762.3 million up $76.3 million or 11.1% compared to the year ended December 31, 2016.</w:t>
      </w:r>
    </w:p>
    <w:p>
      <w:pPr>
        <w:spacing w:after="0" w:line="140"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Revenue growth in Insurance of $28.5 million was driven by expansion of business from our new and existing clients of $26.9 million, including incremental $3.7 million from our Liss Systems Limited (“Liss”) acquisition in 2016. The remaining increase of $1.6 million was attributable to a net impact of appreciation of the South African Rand and Indian rupee against the U.S. dollar during the year ended December 31, 2017 compared to the year ended December 31, 2016. Insurance revenues were 30.8% and 30.1% of our total revenues in 2017 and 2016, respectively.</w:t>
      </w:r>
    </w:p>
    <w:p>
      <w:pPr>
        <w:spacing w:after="0" w:line="63"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Healthcare of $8.3 million was primarily driven by expansion of business from our new and existing clients. Healthcare revenues were 10.1% and 10.0% of our total revenues in 2017 and 2016,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Travel, Transportation and Logistics ("TT&amp;L") of $1.6 million was primarily driven by net volume increases from our new and existing clients of $2.5 million, partially offset by a $0.9 million impact due to depreciation of the Philippine Peso against the U.S. dollar during the year ended December 31, 2017 compared to the year ended December 31, 2016. TT&amp;L revenues were 9.3% and 10.1% of our total revenues in 2017 and 2016, respectively.</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Finance and Accounting ("F&amp;A") of $7.1 million was driven by net volume increases from our new and existing clients of $6.5 million. The remaining increase of $0.6 million was attributable to a net impact of appreciation of the Indian rupee against the U.S. dollar during the year ended December 31, 2017 compared to the year ended December 31, 2016. F&amp;A revenues were 11.4% and 11.6% of our total revenues in 2017 and 2016, respectively.</w:t>
      </w:r>
    </w:p>
    <w:p>
      <w:pPr>
        <w:spacing w:after="0" w:line="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Revenue decline in All Other of $13.4 million was driven primarily by lower revenue in our Consulting and Utilities operating segments, aggregating to $14.8 million, partially offset by higher revenue in our Banking and Financial Services operating segment of $0.6 million. This was partially offset by a net increase of $0.8 million due to the appreciation of the Indian rupee against the U.S. dollar during the year ended December 31, 2017 compared to the year ended December 31, 2016. All Other revenues were 10.9% and 14.1% of our total revenues in 2017 and 2016, respectively.</w:t>
      </w:r>
    </w:p>
    <w:p>
      <w:pPr>
        <w:spacing w:after="0" w:line="63"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Analytics of $44.2 million was driven by our recurring and project based engagements from our new and existing clients, including incremental $19.9 million from our IQR Consulting Inc. ("IQR") and Datasource Consulting, LLC ("Datasource") acquisitions in 2016. Analytics revenues were 27.5% and 24.2% of our total revenues in 2017 and 2016,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sets forth cost of revenues and gross margin of our reportable segments.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Cost of Revenues</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Percentage</w:t>
            </w:r>
          </w:p>
        </w:tc>
        <w:tc>
          <w:tcPr>
            <w:tcW w:w="246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F&amp;A</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For the year ended December 31, 2017, cost of revenues was $495.6 million compared to $448.0 million for the year ended December 31, 2016, an increase of $47.6 million or 10.6%. Our gross margin for 2017 was 35.0% compared to 34.7% for 2016, an increase of 0.3% or 30 basis points (“bps”).</w:t>
      </w:r>
    </w:p>
    <w:p>
      <w:pPr>
        <w:spacing w:after="0" w:line="16"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increase in cost of revenues in Insurance of $13.3 million was primarily due to an increase in employee-related costs of $10.7 million on account of higher headcount and wage inflation, technology and infrastructure costs of $3.3 million. This was partially offset by a decrease in other operating costs of $0.2 million. There was a net decrease of $0.5 million due to foreign exchange gains and losses on settlement of cash flow hedges during the year ended December 31, 2017 compared to the year ended December 31, 2016. Gross margin in Insurance increased by 300 bps during the year ended December 31, 2017 compared to the year ended December 31, 2016, primarily due to higher revenues and margin expansion in existing clients.</w:t>
      </w:r>
    </w:p>
    <w:p>
      <w:pPr>
        <w:spacing w:after="0" w:line="5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Healthcare of $5.4 million was primarily due to an increase in employee-related costs of $4.8 million on account of higher headcount and wage inflation, and technology and infrastructure costs of $1.1 million. This was partially offset by $0.7 million due to the depreciation of the Philippine peso against the U.S. dollar during the year ended December 31, 2017 compared to the year ended December 31, 2016. Gross margin in Healthcare during 2017 as compared to 2016 was relatively flat.</w:t>
      </w:r>
    </w:p>
    <w:p>
      <w:pPr>
        <w:spacing w:after="0" w:line="79"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decrease in cost of revenues in TT&amp;L of $0.6 million was primarily due to foreign exchange gains and losses on settlement of cash flow hedges during the year ended December 31, 2017 compared to the year ended December 31, 2016. Gross margin in TT&amp;L increased by 210 bps during 2017 as compared to 2016, primarily due to margin expansion in existing clients and lower operating costs.</w:t>
      </w:r>
    </w:p>
    <w:p>
      <w:pPr>
        <w:spacing w:after="0" w:line="73"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F&amp;A of $3.2 million was primarily due to an increase in employee-related costs of $2.8 million on account of higher headcount and wage inflation, and technology and infrastructure costs of $1.4 million and travel costs of $0.2 million. This increase was partially offset by a net decrease of $1.2 million due to foreign exchange gains and losses on settlement of cash flow hedges during the year ended December 31, 2017 compared to the year ended December 31, 2016. Gross margin in F&amp;A increased by 130 bps during 2017 compared to 2016, primarily due to increase in volumes in new clients.</w:t>
      </w:r>
    </w:p>
    <w:p>
      <w:pPr>
        <w:spacing w:after="0" w:line="80" w:lineRule="exact"/>
        <w:rPr>
          <w:sz w:val="20"/>
          <w:szCs w:val="20"/>
          <w:color w:val="auto"/>
        </w:rPr>
      </w:pPr>
    </w:p>
    <w:p>
      <w:pPr>
        <w:jc w:val="both"/>
        <w:ind w:firstLine="554"/>
        <w:spacing w:after="0" w:line="286" w:lineRule="auto"/>
        <w:rPr>
          <w:sz w:val="20"/>
          <w:szCs w:val="20"/>
          <w:color w:val="auto"/>
        </w:rPr>
      </w:pPr>
      <w:r>
        <w:rPr>
          <w:rFonts w:ascii="Arial" w:cs="Arial" w:eastAsia="Arial" w:hAnsi="Arial"/>
          <w:sz w:val="17"/>
          <w:szCs w:val="17"/>
          <w:color w:val="auto"/>
        </w:rPr>
        <w:t>The decline in cost of revenues in All Other of $4.4 million was primarily due to a decrease in employee-related costs of $2.8 million on account of lower headcount, partially offset by wage inflation. There was also a decrease in travel-related costs of $1.6 million. Gross margin in All Other decreased by 490 bps during 2017 compared to 2016, primarily due to lower revenues in our Consulting and Utilities operating segments.</w:t>
      </w:r>
    </w:p>
    <w:p>
      <w:pPr>
        <w:spacing w:after="0" w:line="57"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increase in cost of revenues in Analytics of $30.7 million was primarily due to an increase in employee-related costs of $28.4 million (including $15.8 million related to our IQR and Datasource acquisitions in 2016) on account of higher headcount and wage inflation, and an increase in technology costs and infrastructure costs of $2.7 million. The increase was partially offset by a net decrease of $0.5 million due to foreign exchange gains and losses on settlement of cash flow hedges during the year ended December 31, 2017 compared to the year ended December 31, 2016. Gross margin in Analytics decreased by 110 bps during 2017 compared to 2016, primarily due to higher operating costs and lower gross margin from our 2016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554"/>
        <w:spacing w:after="0" w:line="293" w:lineRule="auto"/>
        <w:rPr>
          <w:sz w:val="20"/>
          <w:szCs w:val="20"/>
          <w:color w:val="auto"/>
        </w:rPr>
      </w:pPr>
      <w:r>
        <w:rPr>
          <w:rFonts w:ascii="Arial" w:cs="Arial" w:eastAsia="Arial" w:hAnsi="Arial"/>
          <w:sz w:val="16"/>
          <w:szCs w:val="16"/>
          <w:color w:val="auto"/>
        </w:rPr>
        <w:t>The increase in SG&amp;A expenses of $16.8 million was primarily due to an increase in employee-related costs of $10.5 million (including $5.3 million of incremental employee-related costs related to our 2016 acquisitions) as a result of annual wage increments and an increase in our average headcount to support the increased business volumes. There was an increase of $2.7 million due to recognition of reserve for doubtful account receivables, increase in professional fees of $1.2 million related to our acquisitions and other strategic initiatives and increase in travel, infrastructure and other operating expenses of $2.4 million (including incremental operating expenses of $1.1 million related to our 2016 acquisitions). There was a net decrease of $0.1 million due to foreign exchange gains and losses on settlement of cash flow hedges during the year ended December 31, 2017 compared to year ended December 31, 2016.</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Depreciation and amortization expense increased by $3.9 million, or 11.5%, from $34.6 million for the year ended December 31, 2016 to $38.5 million for the year ended December 31, 2017. The increase in intangible amortization expense of $2.1 million was primarily due to amortization of intangibles associated with our 2016 acquisitions. There was an increase in our depreciation expenses of $1.8 million, due to depreciation related to our new operating centers in India and the Philippines to support our business growth and depreciation expense associated with our 2016 acquisitions.</w:t>
      </w:r>
    </w:p>
    <w:p>
      <w:pPr>
        <w:spacing w:after="0" w:line="2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$8.0 million, or 12.5%, from $64.2 million for the year ended December 31,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$72.2 million for the year ended December 31, 2017. As a percentage of revenues, income from operations increased from 9.4% for the year ended December 31, 2016 to 9.5% for the year ended December 31, 2017.</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2017. The average exchange rate of the Indian rupee against the U.S. dollar decreased from 67.25 during the year ended 2016 to 64.93 during the year ended 2017. The average exchange rate of the U.K. pound sterling against the U.S. dollar increased from 0.74 during 2016 to 0.77 during 2017. The average exchange rate of the Philippine peso against the U.S. dollar increased from 47.67 during the year ended 2016 to 50.38 during the year ended 2017.</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We recorded a net foreign exchange gain of $2.8 million for the year ended December 31, 2017 compared to the foreign exchange gain of $5.6 million for the year ended December 31, 2016. The decrease of $2.8 million was primarily due to change in presentation of foreign exchange gains and losses upon settlement of cash flow hedges in the consolidated statements of income along with the underlying hedged item as either part of “Cost of revenue”, “General and administrative expenses”, “Selling and marketing expenses”, “Depreciation and amortization”, as applicable, for the fiscal year beginning January 1,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5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right"/>
              <w:ind w:right="2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4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20" w:type="dxa"/>
            <w:vAlign w:val="bottom"/>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2180" w:type="dxa"/>
            <w:vAlign w:val="bottom"/>
            <w:tcBorders>
              <w:top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Other income, net decreased by $3.5 million, from $15.4 million for the year ended December 31, 2016 to $11.9 million for the year ended December 31, 2017 primarily due to recognition of $4.1 million to income due to reversal of earn-out liability for the year ended December 31, 2016 related to our 2015 acquisition of RPM Direct LLC and RPM Data Solutions LLC (collectively, “RPM”). This decrease was partially offset by higher gain on sale of mutual fund investments of $0.7 million during the year ended December 31, 2017 compared to year ended December 31, 2016.</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26.4% for the year ended December 31, 2016 to 42.5%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increase was the result of (i) higher income tax expense of $29.2 million (comprised of a provisional deemed repatriation tax expense of $27.2 million and a provisional net deferred tax expense of $2.0 million) associated with the Tax Reform Act enacted in 2017, partially offset by (ii) excess tax benefit related to stock awards of $9.8 million pursuant to ASU No. 2016 - 09 during the year ended December 31, 2017; (iii) conclusion of uncertain tax positions of $4.1 million (including interest of $1.6 million); (iv) lower domestic profits; and (v) an increase in earnings and incentives in lower tax jurisdictions. See Note 20 to our consolidated financial statements.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$61.7 million for the year ended December 31, 2016 to $48.9 million for the year ended December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other income and foreign exchange gain of $6.3 million and higher income tax expense of $14.0 million, partially offset by higher income from operations of $8.0 million. As a percentage of revenues, net income decreased from 9.0% for the year ended December 31, 2016 to 6.4% for the year ended December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342"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280" w:type="dxa"/>
        <w:tblCellMar>
          <w:top w:w="0" w:type="dxa"/>
          <w:left w:w="0" w:type="dxa"/>
          <w:bottom w:w="0" w:type="dxa"/>
          <w:right w:w="0" w:type="dxa"/>
        </w:tblCellMar>
      </w:tblPr>
      <w:tr>
        <w:trPr>
          <w:trHeight w:val="47"/>
        </w:trPr>
        <w:tc>
          <w:tcPr>
            <w:tcW w:w="48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Analytics</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For the year ended December 31, 2016, revenues were $686.0 million compared to $628.5 million for the year ended December 31, 2015, representing an increase of $57.5 million or 9.1%.</w:t>
      </w:r>
    </w:p>
    <w:p>
      <w:pPr>
        <w:spacing w:after="0" w:line="62" w:lineRule="exact"/>
        <w:rPr>
          <w:sz w:val="20"/>
          <w:szCs w:val="20"/>
          <w:color w:val="auto"/>
        </w:rPr>
      </w:pPr>
    </w:p>
    <w:p>
      <w:pPr>
        <w:jc w:val="both"/>
        <w:ind w:firstLine="554"/>
        <w:spacing w:after="0" w:line="312" w:lineRule="auto"/>
        <w:rPr>
          <w:sz w:val="20"/>
          <w:szCs w:val="20"/>
          <w:color w:val="auto"/>
        </w:rPr>
      </w:pPr>
      <w:r>
        <w:rPr>
          <w:rFonts w:ascii="Arial" w:cs="Arial" w:eastAsia="Arial" w:hAnsi="Arial"/>
          <w:sz w:val="16"/>
          <w:szCs w:val="16"/>
          <w:color w:val="auto"/>
        </w:rPr>
        <w:t>Revenue growth in Insurance of $6.4 million was driven by net volume increases from our new and existing clients of $8.2 million (including $1.4 million related to the 2016 acquisition of Liss), partially offset by $1.8 million impact due to the depreciation of the Indian rupee and the U.K. pound sterling against the U.S. dollar during 2016 compared to 2015. Insurance revenues were 30.1% and 31.8% of our total revenues in 2016 and 2015, respectively.</w:t>
      </w:r>
    </w:p>
    <w:p>
      <w:pPr>
        <w:spacing w:after="0" w:line="39"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Healthcare of $13.5 million was driven by net volume increases from our existing clients. Healthcare revenues were 10.0% and 8.8% of our total revenues in 2016 and 2015, respectively.</w:t>
      </w:r>
    </w:p>
    <w:p>
      <w:pPr>
        <w:spacing w:after="0" w:line="62"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Travel, Transportation and Logistics ("TT&amp;L") of $7.2 million was primarily driven by net volume increases from our existing clients of $9.2 million, partially offset by $2.0 million impact due to the depreciation of the Indian rupee against the U.S. dollar during 2016 compared to 2015. TT&amp;L revenues were 10.1% and 9.9% of our total revenues in 2016 and 2015, respectively.</w:t>
      </w:r>
    </w:p>
    <w:p>
      <w:pPr>
        <w:spacing w:after="0" w:line="73"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Finance and Accounting ("F&amp;A") of $0.9 million was driven by net volume increases from our new and existing clients of $1.5 million, partially offset by $0.6 million impact due to the depreciation of the Indian rupee against the U.S. dollar during 2016 compared to 2015. F&amp;A revenues were 11.6% and 12.5% of our total revenues in 2016 and 2015, respectively.</w:t>
      </w:r>
    </w:p>
    <w:p>
      <w:pPr>
        <w:spacing w:after="0" w:line="73"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decline in All Other of $14.0 million was driven primarily by lower revenue in our Consulting and Utilities businesses, partially offset by higher revenue in our Banking and Financial Services business aggregating to $10.1 million and $3.9 million impact due to the depreciation of the Indian rupee and the U.K. pound sterling against the U.S. dollar during 2016 compared to 2015 across operating segments included in that category. All Other revenues were 14.1% and 17.6% of our total revenues in 2016 and 2015, respectively.</w:t>
      </w:r>
    </w:p>
    <w:p>
      <w:pPr>
        <w:spacing w:after="0" w:line="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Revenue growth in Analytics of $43.5 million was driven by net volume increases in our recurring and project based engagements from our new and existing clients of $28.6 million and incremental revenues of $17.3 million from our RPM acquisition in 2015 and the IQR and Datasource Acquisitions in 2016. The increase was partially offset by a decrease of $2.4 million due to the depreciation of the U.K. pound sterling against the U.S. dollar during 2016 compared to 2015. Analytics revenues were 24.2% and 19.4% of our total revenues in 2016 and 2015,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sets forth cost of revenues and gross margin of our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Cost of Revenues</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22"/>
                <w:szCs w:val="22"/>
                <w:color w:val="auto"/>
              </w:rPr>
            </w:pPr>
          </w:p>
        </w:tc>
        <w:tc>
          <w:tcPr>
            <w:tcW w:w="2500" w:type="dxa"/>
            <w:vAlign w:val="bottom"/>
            <w:gridSpan w:val="4"/>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F&amp;A</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80" w:type="dxa"/>
            <w:vAlign w:val="bottom"/>
          </w:tcPr>
          <w:p>
            <w:pPr>
              <w:spacing w:after="0"/>
              <w:rPr>
                <w:sz w:val="21"/>
                <w:szCs w:val="21"/>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34.9 %</w:t>
            </w:r>
          </w:p>
        </w:tc>
        <w:tc>
          <w:tcPr>
            <w:tcW w:w="10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For the year ended December 31, 2016, cost of revenues was $448.0 million compared to $402.9 million for the year ended December 31, 2015, an increase of $45.1 million or 11.2%. Our overall gross margin for 2016 was 34.7% compared to 35.9% for 2015, a decrease of 1.2% or 120 bps.</w:t>
      </w:r>
    </w:p>
    <w:p>
      <w:pPr>
        <w:spacing w:after="0" w:line="16" w:lineRule="exact"/>
        <w:rPr>
          <w:sz w:val="20"/>
          <w:szCs w:val="20"/>
          <w:color w:val="auto"/>
        </w:rPr>
      </w:pPr>
    </w:p>
    <w:p>
      <w:pPr>
        <w:jc w:val="both"/>
        <w:ind w:firstLine="554"/>
        <w:spacing w:after="0" w:line="293" w:lineRule="auto"/>
        <w:rPr>
          <w:sz w:val="20"/>
          <w:szCs w:val="20"/>
          <w:color w:val="auto"/>
        </w:rPr>
      </w:pPr>
      <w:r>
        <w:rPr>
          <w:rFonts w:ascii="Arial" w:cs="Arial" w:eastAsia="Arial" w:hAnsi="Arial"/>
          <w:sz w:val="16"/>
          <w:szCs w:val="16"/>
          <w:color w:val="auto"/>
        </w:rPr>
        <w:t>The increase in cost of revenues in Insurance of $12.0 million was primarily due to an increase in employee-related costs of $12.4 million (including $0.8 million related to the Liss acquisition) on account of higher headcount (approximately 8,000 as of December 31, 2016 compared to approximately 6,800 as of December 31, 2015) and wage inflation, technology and infrastructure costs of $1.7 million and travel related costs of $1.0 million. This was partially offset by $3.1 million due to the depreciation of the Indian rupee and the Philippine peso against the U.S. dollar during 2016 compared to 2015. Gross margin decreased by 380 bps during 2016 compared to 2015, primarily due to lower insurance survey revenues, incremental costs due to the integration of our acquisition of Overland Holdings, Inc. (the “Overland acquisition”) and migration costs associated with new client wins.</w:t>
      </w:r>
    </w:p>
    <w:p>
      <w:pPr>
        <w:spacing w:after="0" w:line="57"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Healthcare of $6.9 million was primarily due to an increase in employee-related costs of $6.4 million on account of higher headcount (approximately 3,000 as of December 31, 2016 compared to approximately 2,500 as of December 31, 2015) and wage inflation, technology and infrastructure costs of $1.4 million and travel related costs of $0.7 million. This was partially offset by $1.6 million due to the depreciation of the Indian rupee and the Philippine peso against the U.S. dollar during 2016 compared to 2015. Gross margin increased by 320 bps during 2016 compared to 2015, primarily due to higher revenues and maturity of our client relationships.</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TT&amp;L of $4.5 million was primarily due to an increase in employee-related costs of $4.5 million on account of wage inflation partially offset by lower headcount (approximately 3,500 as of December 31, 2016 compared to approximately 3,600 as of December 31, 2015), and an increase in technology and infrastructure costs of $1.9 million. This increase was partially offset by $1.9 million due to the depreciation of the Indian rupee and the Philippine peso against the U.S. dollar during 2016 compared to 2015. Gross margin during 2016 as compared to 2015 was relatively stable.</w:t>
      </w:r>
    </w:p>
    <w:p>
      <w:pPr>
        <w:spacing w:after="0" w:line="80" w:lineRule="exact"/>
        <w:rPr>
          <w:sz w:val="20"/>
          <w:szCs w:val="20"/>
          <w:color w:val="auto"/>
        </w:rPr>
      </w:pPr>
    </w:p>
    <w:p>
      <w:pPr>
        <w:jc w:val="both"/>
        <w:ind w:firstLine="554"/>
        <w:spacing w:after="0" w:line="302" w:lineRule="auto"/>
        <w:rPr>
          <w:sz w:val="20"/>
          <w:szCs w:val="20"/>
          <w:color w:val="auto"/>
        </w:rPr>
      </w:pPr>
      <w:r>
        <w:rPr>
          <w:rFonts w:ascii="Arial" w:cs="Arial" w:eastAsia="Arial" w:hAnsi="Arial"/>
          <w:sz w:val="16"/>
          <w:szCs w:val="16"/>
          <w:color w:val="auto"/>
        </w:rPr>
        <w:t>The increase in cost of revenues in F&amp;A of $1.5 million was primarily due to an increase in employee-related costs of $1.6 million on account of higher headcount (approximately 3,700 as of December 31, 2016 compared to approximately 3,200 as of December 31, 2015) and wage inflation and travel related costs of $1.1 million. This increase was partially offset by $1.3 million due to the depreciation of the Indian rupee against the U.S. dollar during 2016 compared to 2015. Gross margin decreased by 110 bps during 2016 compared to 2015, primarily due to migration costs associated with our new client wins.</w:t>
      </w:r>
    </w:p>
    <w:p>
      <w:pPr>
        <w:spacing w:after="0" w:line="46"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decline in cost of revenues in All Other of $7.2 million was primarily due to decrease in employee-related costs of $2.6 million on account of lower headcount (approximately 3,700 as of December 31, 2016 compared to approximately 4,500 as of December 31, 2015) partially offset by a wage inflation. There was a decrease in travel related costs of $2.1 million and other operating expenses of $0.5 million due to lower revenues. The cost of revenues decreased by $2.0 million due to the depreciation of the Indian rupee, Philippines peso and the U.K. pound sterling against the U.S. dollar during 2016 compared to 2015. Gross margin decreased by 150 bps during 2016 compared to 2015, primarily due to lower revenues in our consulting operating segment.</w:t>
      </w:r>
    </w:p>
    <w:p>
      <w:pPr>
        <w:spacing w:after="0" w:line="50"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increase in cost of revenues in Analytics of $27.5 million was primarily due to an increase in employee-related costs of $20.5 million (including $4.9 million of incremental employee-related costs related to our 2015 and 2016 acquisitions) on account of higher headcount (approximately 2,500 as of December 31, 2016 compared to approximately 1,900 as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31, 2015) and wage inflation. A further increase of $8.8 million was due to technology and infrastructure costs, travel related costs and other operating expenses (including $6.6 million of incremental other operating expenses related to our 2015 and 2016 acquisitions). The increase was partially offset by a decrease of $1.9 million due to the impact of depreciation of the Indian rupee, the U.K pound sterling and the Philippine peso against the U.S. dollar during 2016 compared to 2015. Gross margin during 2016 as compared to 2015 was relatively stable.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increase in SG&amp;A expenses was primarily due to an increase in employee-related costs of $12.4 million (including $4.0 million of incremental employee-related costs related to our 2015 and 2016 acquisitions). The remaining increase of $8.4 million in employee-related cost was primarily due to annual wage increments and an increase in our average headcount to support the increased business volumes. We also experienced an increase in our other SG&amp;A expenses of $2.3 million (including incremental SG&amp;A expenses of $0.8 million related to our 2015 and 2016 acquisitions) primarily due to an increase in facility and other general and administrative expenses in connection with our new operating centers in India and the Philippines and legal and professional expenses primarily associated with our recent acquisitions. This increase was partially offset by a decrease of $2.4 million due to the impact of depreciation of the Indian rupee, the U.K. pound sterling and the Philippine peso against the U.S. dollar during 2016 compared to 2015.</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6"/>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40" w:type="dxa"/>
            <w:vAlign w:val="bottom"/>
          </w:tcPr>
          <w:p>
            <w:pPr>
              <w:jc w:val="right"/>
              <w:ind w:right="94"/>
              <w:spacing w:after="0"/>
              <w:rPr>
                <w:sz w:val="20"/>
                <w:szCs w:val="20"/>
                <w:color w:val="auto"/>
              </w:rPr>
            </w:pPr>
            <w:r>
              <w:rPr>
                <w:rFonts w:ascii="Arial" w:cs="Arial" w:eastAsia="Arial" w:hAnsi="Arial"/>
                <w:sz w:val="18"/>
                <w:szCs w:val="18"/>
                <w:color w:val="auto"/>
                <w:w w:val="96"/>
              </w:rPr>
              <w:t>11.9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6"/>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Depreciation and amortization expense increased $3.1 million, or 9.9%, from $31.5 million for the year ended December 31, 2015 to $34.6 million for the year ended December 31, 2016. Intangible amortization expense increased by $ 1.7 million, primarily due to an incremental amortization expense associated with our acquisitions. The increase in depreciation expenses of $1.4 million was the result of $2.3 million increase, primarily associated with our new capital investments in India, South Africa and the Philippines to support the business growth. This increase was partially offset by a decrease of $0.9 million due to the impact of depreciation of the Indian rupee and the Philippine peso against the U.S. dollar during 2016 compared to 2015.</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$3.1 million, or 4.6%, from $67.3 million for the year ended December 31,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$64.2 million for the year ended December 31, 2016. As a percentage of revenues, income from operations decreased from 10.7% for the year ended December 31, 2015 to 9.4% for the year ended December 31, 2016</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Net foreign exchange gains and losses are primarily attributable to movement of the U.S. dollar against the Indian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rupee, the U.K. pound sterling and the Philippine peso during 2016. The average exchange rate of the Indian rupee against the U.S. dollar increased from 64.28 during 2015 to 67.25 during 2016. The average exchange rate of the U.K. pound sterling against the U.S. dollar increased from 0.66 during 2015 to 0.74 during 2016. The average exchange rate of the Philippine peso against the U.S. dollar increased from 45.60 during 2015 to 47.67 during 2016.</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recorded a net foreign exchange gain of $5.6 million for the year ended December 31, 2016 compared to the foreign exchange gain of $2.8 million for the year ended December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00" w:type="dxa"/>
        <w:tblCellMar>
          <w:top w:w="0" w:type="dxa"/>
          <w:left w:w="0" w:type="dxa"/>
          <w:bottom w:w="0" w:type="dxa"/>
          <w:right w:w="0" w:type="dxa"/>
        </w:tblCellMar>
      </w:tblPr>
      <w:tr>
        <w:trPr>
          <w:trHeight w:val="47"/>
        </w:trPr>
        <w:tc>
          <w:tcPr>
            <w:tcW w:w="47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(dollars in millions)</w:t>
            </w: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107.3 %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 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618.6 %</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Increase in gain on sale of mutual fund investments of $4.2 million, partially offset by a decrease in interest and dividend income of $1.2 million, was primarily due to higher cash balances in certain of our foreign subsidiaries and higher yield on investments during the year ended December 31, 2016 compared to the year ended December 31, 2015. Other income increased by $1.3 million primarily due to interest on refund received from income tax authorities in India on completion of tax assessments. We also recorded $4.1 million in 2016 due to reversal of earn-out liability related to our RPM acquisition.</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32.0% for the year ended December 31, 2015 to 26.4%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decrease was the result of (i) higher income tax expense during the year ended December 31, 2015 due to an income tax expense which related to immaterial errors from prior years of approximately $2.5 million; (ii) lower domestic profits; and (iii) an increase in earnings and incentives in lower tax jurisdictions.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$51.6 million for the year ended December 31, 2015 to $61.7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other income and foreign exchange gain of $11.2 million and lower income tax expense of $2.1 million, partially offset by lower income from operations of $3.1 million. As a percentage of revenues, net income increased from 8.2% for the year ended December 31, 2015 to 9.0%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Opening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-139065</wp:posOffset>
            </wp:positionV>
            <wp:extent cx="6165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46355</wp:posOffset>
            </wp:positionV>
            <wp:extent cx="6165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for investing activities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165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 of exchange rate changes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Closing cash and cash equivalents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8180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0"/>
        </w:trPr>
        <w:tc>
          <w:tcPr>
            <w:tcW w:w="340" w:type="dxa"/>
            <w:vAlign w:val="bottom"/>
          </w:tcPr>
          <w:p>
            <w:pPr>
              <w:spacing w:after="0"/>
              <w:rPr>
                <w:sz w:val="16"/>
                <w:szCs w:val="16"/>
                <w:color w:val="auto"/>
              </w:rPr>
            </w:pPr>
          </w:p>
        </w:tc>
        <w:tc>
          <w:tcPr>
            <w:tcW w:w="252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(dollars in millions)</w:t>
            </w: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213.2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113.1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86.8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213.2</w:t>
            </w:r>
          </w:p>
        </w:tc>
      </w:tr>
      <w:tr>
        <w:trPr>
          <w:trHeight w:val="27"/>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20" w:space="720"/>
            <w:col w:w="4080"/>
          </w:cols>
          <w:pgMar w:left="240" w:top="337" w:right="239" w:bottom="1440" w:gutter="0" w:footer="0" w:header="0"/>
          <w:type w:val="continuous"/>
        </w:sectPr>
      </w:pPr>
    </w:p>
    <w:p>
      <w:pPr>
        <w:spacing w:after="0" w:line="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As of December 31, 2017 and 2016, we had $265.3 million and $226.6 million, respectively, in cash, cash equivalents and short-term investments (including $219.2 million and $170.1 million, respectively, held by our foreign subsidiaries). We have not determined the extent, if any, to which we may repatriate funds held by our foreign subsidiaries in light of the current regulatory environment (including under the Tax Reform Act) and because our future growth depends in part upon continued infrastructure and technology investments, geographical expansions and acquisitions outside of the U.S. Not all of our undistributed foreign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If we decide to repatriate such earnings, we may have to accrue further taxes associated with such earnings in accordance with local tax laws, rules and regulations in the relevant jurisdictions.</w:t>
      </w:r>
    </w:p>
    <w:p>
      <w:pPr>
        <w:spacing w:after="0" w:line="19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increased by $12.8 million from $100.3 million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$113.1 million for the year ended December 31, 2017. Generally, factors that affect our earnings—including pricing, volume of services, costs and productivity—affect our cash flows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ectPr>
          <w:pgSz w:w="11900" w:h="16838" w:orient="portrait"/>
          <w:cols w:equalWidth="0" w:num="1">
            <w:col w:w="11420"/>
          </w:cols>
          <w:pgMar w:left="240" w:top="337"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37"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increase in cash flows provided by operations for the year ended December 31, 2017 compared to the year ended December 31, 2016 was due to an increase in non-cash expenses of $25.8 million. The increase was partially offset by decrease in net income of $12.8 and an increase in working capital of $3.1 million during the year ended December 31, 2017 compared to an increase of $2.9 million during the year ended December 31, 2016. The increase in working capital was primarily due to an increase in accounts receivable, other assets, and a decrease in deferred revenue and accrued expenses and other current liabilities by $23.9 million, offset by decrease in restricted cash, prepaid expense and other current assets, and increase in account payable and advance income tax, net by $23.7 million.</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from $54.7 million for the year ended December 31, 2016 to $222.7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The increase was primarily due to an increase in cash used for purchase of short term investments (net of redemption) of $161.2 million, cash used for purchase of property and equipment of $9.3 million and cash paid of $3.0 million for investment in equity affiliate during the year ended December 31, 2017 as compared to December 31, 2016. This increase was offset by a decrease in cash paid for business acquisition of $5.4 million ($23.3 million paid for our Health Integrated acquisition in 2017 and closing date working capital adjustment related to our Liss and Datasource acquisitions in 2016 compared to $28.7 million paid for Liss, IQR and Datasource acquisitions in 2016) during the year ended December 31, 2017 as compared to December 31, 2016.</w:t>
      </w:r>
    </w:p>
    <w:p>
      <w:pPr>
        <w:spacing w:after="0" w:line="18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used for financing activities were $20.5 million during the year ended December 31, 2017 compared to cash flows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financing activities of $32.7 million during the year ended December 31, 2016. The decrease in cash flows used for financing activities was primarily due to net borrowings of $15.0 million under our New Credit Facility (as described below in “—Financing Arrangements”) during the year ended December 31, 2017 compared to repayment of borrowings of $25.0 million during the year ended December 31, 2016. This decrease was partially offset by higher purchases of treasury stock by $25.3 million under our share repurchase program during the year ended December 31, 2017 compared to the year ended December 31, 2016.</w:t>
      </w:r>
    </w:p>
    <w:p>
      <w:pPr>
        <w:spacing w:after="0" w:line="19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expect to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$35.2 million of capital expenditures in the year ended December 31, 2017. We expect to incur capital expenditures of between $35.0 million to $40.0 million in 2018, primarily to meet our growth requirements, including additions to our facilities as well as investments in technology applications, product development, digital technology, advanced automation &amp; robotics and infrastructure.</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(see Note 23 to our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On October 24, 2014, we entered into a Credit Agreement that provided for a $50.0 million revolving credit facility (“Credit Facility”). We had an option to increase the commitments under the Credit Facility by up to an additional $50.0 million which we exercised on February 23, 2015, via an amendment to the Credit Agreement under the same terms and conditions which were available in the Credit Agreement. The Credit Facility had a maturity date of October 24, 2019 and was voluntarily pre-payable from time to time without premium or penalty. On November 21, 2017, we prepaid all outstanding amounts, including accrued interest and fees, and terminated all commitments under, the Credit Agreement. The Credit Facility carried an effective interest rate of 2.81% per annum during the year ended December 31, 2017.</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On November 21, 2017, we and each of our wholly owned material domestic subsidiaries entered into a Credit Agreement with Citibank, N.A., PNC Bank, N.A., JPMorgan Chase Bank, N.A., Bank of America, N.A. and the lenders party thereto from time to time, with Citibank, N.A. serving as administrative agent (the “New Credit Agreement”). The New Credit Agreement provides for a $200.0 million revolving credit facility (the “New Credit Facility”). The Company has an option to increase the commitments under the New Credit Agreement by up to $100.0 million, subject to certain approvals and conditions as set forth in the New Credit Agreement. The New Credit Agreement also includes a letter of credit sub-facility. The New Credit Facility has a maturity date of November 21, 2022 and is voluntarily pre-payable from time to time without premium or penalty. Borrowings under the New Credit Agreement were used to refinance Credit Facility and may otherwise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be used for working capital and general corporate purposes of the Company and its subsidiaries, including permitted acquisitions.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New Credit Agreement are subject to a commitment fee. The commitment fee is also tied to the Company’s total net leverage ratio, and ranges from 0.15% to 0.30% per annum on the average daily amount by which the aggregate revolving commitments exceed the sum of outstanding revolving loans and letter of credit obligations. The New Credit Facility carried an effective interest rate of 2.65% per annum during the year ended December 31, 2017.</w:t>
      </w:r>
    </w:p>
    <w:p>
      <w:pPr>
        <w:spacing w:after="0" w:line="178"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Obligations under the New Credit Agreement are guaranteed by our material domestic subsidiaries and are secured by all or substantially all of the assets of the Company and our material domestic subsidiaries. The New Credit Agreement contains customary affirmative and negative covenants including, but not limited to, restrictions on our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(the ratio of EBITDA to cash interest expense) or the total net leverage ratio (total funded indebtedness, less unrestricted domestic cash and cash equivalents not to exceed $50.0 million to EBITDA), for the four consecutive quarter period ending on the last day of each fiscal quarter, to be less than 3.5 to 1.0 or more than 3.0 to 1.0, respectively. At December 31, 2017, we were in compliance with the financial covenants listed in the New Credit Agreement.</w:t>
      </w:r>
    </w:p>
    <w:p>
      <w:pPr>
        <w:spacing w:after="0" w:line="17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As of December 31, 2017, we had an outstanding debt of $60.0 million under the New Credit Agreement of which $10.0 million is expected to be repaid within the next twelve months and is included under "short-term borrowings" and the balance of $50.0 million is included under "long-term borrowings" in the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we did not have any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December 31, 2017:</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Payment Due by Period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1-3</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After</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3"/>
                <w:szCs w:val="23"/>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5 years</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5"/>
          </w:tcPr>
          <w:p>
            <w:pPr>
              <w:spacing w:after="0"/>
              <w:rPr>
                <w:sz w:val="20"/>
                <w:szCs w:val="20"/>
                <w:color w:val="auto"/>
              </w:rPr>
            </w:pPr>
            <w:r>
              <w:rPr>
                <w:rFonts w:ascii="Arial" w:cs="Arial" w:eastAsia="Arial" w:hAnsi="Arial"/>
                <w:sz w:val="18"/>
                <w:szCs w:val="18"/>
                <w:b w:val="1"/>
                <w:bCs w:val="1"/>
                <w:color w:val="auto"/>
                <w:w w:val="96"/>
              </w:rPr>
              <w:t>(dollars in millions)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Principal payments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r>
      <w:tr>
        <w:trPr>
          <w:trHeight w:val="270"/>
        </w:trPr>
        <w:tc>
          <w:tcPr>
            <w:tcW w:w="428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r>
      <w:tr>
        <w:trPr>
          <w:trHeight w:val="264"/>
        </w:trPr>
        <w:tc>
          <w:tcPr>
            <w:tcW w:w="42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37.8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December 31, 2017.</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Excludes $0.9 million related to uncertain tax positions, since the extent of the amount and timing of payment is currently not reliably estimable or determinable.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or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(“Exl Philippines”)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2—“Summary of Significant Accounting Policies” to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Our exposure to market risk arises principally from exchange rate risk. Although substantially all of our revenues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denominated in U.S. dollars 82.2% in the year ended December 31, 2017) or U.K. pounds sterling 14.3% in the year ended December 31, 2017), a substantial portion of our expenses were incurred and paid in Indian rupees and Philippine peso 29.6% and 8.4% respectively, in the year ended December 31, 2017). We also incur expenses in U.S. dollars, and currencies of the other countries in which we have operations. The exchange rates among the Indian rupee, the Philippine peso and the U.S. dollar have changed substantially in recent years and may fluctuate substantially in the future.</w:t>
      </w:r>
    </w:p>
    <w:p>
      <w:pPr>
        <w:spacing w:after="0" w:line="6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exchange rate risk primarily arises from our foreign currency revenues, expenses incurred by our foreign subsidiaries and foreign currency accounts receivable and payable. The average exchange rate of the Indian rupee against the U.S. dollar decreased from 67.25 during the year ended December 31, 2016 to 64.93 during the year ended December 31, 2017, representing an appreciation of 3.5%. The average exchange rate of the Philippine peso against the U.S. dollar increased from 47.67 during the year ended December 31, 2016 to 50.38 during the year ended December 31, 2017, representing a depreciation of 5.7%. Based upon our level of operations during the year ended December 31, 2017 and excluding any hedging arrangements that we had in place during that period, a 10% appreciation/depreciation in the Indian rupee against the U.S. dollar would have increased/decreased our revenues by approximately $8.9 million and increased/decreased our expenses incurred and paid in Indian rupees by approximately $19.5 million in the year ended December 31, 2017, respectively. Similarly, a 10% appreciation/depreciation in the Philippine Peso against the U.S. dollar would have increased/decreased our revenues by approximately $1.5 million and increased/decreased our expenses incurred and paid in Philippine Peso by approximately $5.6 million in the year ended December 31, 2017, respectively.</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39" w:lineRule="exact"/>
        <w:rPr>
          <w:sz w:val="20"/>
          <w:szCs w:val="20"/>
          <w:color w:val="auto"/>
        </w:rPr>
      </w:pPr>
    </w:p>
    <w:p>
      <w:pPr>
        <w:jc w:val="both"/>
        <w:ind w:firstLine="528"/>
        <w:spacing w:after="0" w:line="273" w:lineRule="auto"/>
        <w:rPr>
          <w:sz w:val="20"/>
          <w:szCs w:val="20"/>
          <w:color w:val="auto"/>
        </w:rPr>
      </w:pPr>
      <w:r>
        <w:rPr>
          <w:rFonts w:ascii="Arial" w:cs="Arial" w:eastAsia="Arial" w:hAnsi="Arial"/>
          <w:sz w:val="17"/>
          <w:szCs w:val="17"/>
          <w:color w:val="auto"/>
        </w:rPr>
        <w:t>Cash flow hedges with notional amounts of $300.8 million and $218.5 million were outstanding as at December 31, 2017 and 2016, respectively, with maturity periods of one to forty five-months. The fair value of these cash flow hedges as of December 31, 2017 and 2016 was $17.5 million and $3.9 million, respectively and is included in Accumulated Other Comprehensive loss on our Consolidated Balance Sheets. During the year ended December 31, 2017 we recognized $8.0 million as a foreign exchange gain from the maturing cash flow hedges, which was largely offset by the foreign exchange loss on the related expenses of $7.9 million. The net impact on earnings for the year ended December 31, 2017 from the maturing cash flow hedges was insignificant, offset by an insignificant foreign currency impact on the related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enter into foreign currency forward contracts to economically hedge our intercompany balances and other monetary assets and liabilities denominated in currencies other than functional currencies. These derivatives do not qualify as fair value hedges under ASC topic 815, “Derivatives and Hedging” (“ASC No. 815”). Changes in the fair value of these derivatives are recognized in the consolidated statements of income and are included in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$98.5 million, GBP 17.9 million and EUR 0.8 million were outstanding at December 31, 2017 compared to $71.3 million and GBP 11.2 million outstanding at December 31, 2016. The fair values of these derivative instruments as of December 31, 2017 and 2016 were nil and $0.1 million, respectively and are included in the "foreign exchange gain/(loss)" in our Consolidated Statements of Income. At December 31, 2017, the outstanding derivative instruments had maturities of 31 days or less.</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As described in “Item 7. Management’s Discussion and Analysis of Financial Condition and Results of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21, 2017 we entered into the New Credit Agreement that provides for a $200.0 million revolving credit facility and a letter of credit sub-facility. We have an option to increase the commitments under the New Credit Facility by up to an additional $100.0 million. The New Credit Facility has a maturity date of November 21, 2022 and is voluntarily pre-payable from time to time without premium or penalty.</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Depending on the type of borrowing, loans under the New Credit Facility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New Credit Agreement are subject to a commitment fee. The commitment fee is also tied to the Company’s leverage ratio, and ranges from 0.15% to 0.30% per annum on the average daily amount by which the aggregate revolving commitments exceed the sum of outstanding revolving loans and letter of credit obligations.</w:t>
      </w:r>
    </w:p>
    <w:p>
      <w:pPr>
        <w:spacing w:after="0" w:line="16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had cash, cash equivalents and short-term investments totaling $265.3 million and $226.6 million at December 31, 2017 and 2016, respectively. These amounts were invested principally in a short-term investment portfolio primarily comprised of highly-rated debt mutual funds, money market accounts and time deposits. The cash and cash equivalents are held for potential acquisitions of complementary businesses or assets,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future investment income. A 50 basis point increase or decrease in short term rates may impact our net interest income for the year ended December 31, 2017 by approximately $0.7 million.</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As of December 31, 2017 and 2016, we have accounts receivable of $135.7 million and $113.1 million, respectively. We believe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accounts receivable balance as on December 31, 2017 and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2017. Based upon that evaluation, the CEO and CFO have concluded that the Company’s disclosure controls and procedures, as of December 31, 2017,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63"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74"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management, under the supervision and with the participation of the CEO and CFO, assessed the effectiveness of our internal control over financial reporting as of December 31, 2017. In making this assessment, management used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2017. See Ernst &amp; Young LLP’s accompanying report on their audit of our internal controls over financial reporting.</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making its assessment of the changes in internal control over financial reporting as of December 31, 2017, our management excluded an evaluation of the disclosure controls and procedures of Health Integrated, Inc. substantially all of whose assets, and certain liabilities related thereto, were acquired by us on December 22, 2017. Health Integrated’s total and net assets were $31,331 thousands and $22,647 thousands, respectively as of December 31, 2017 and insignificant revenues for the year then 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December 31, 2017,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http://ir.exlservice.com/governance.cfm.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additional information required by this Item 10 will be set forth in the definitive proxy statement for our 2017 Annual Meeting of Stockholders (the “Proxy Statement”), including under the headings “Our Board of Directors”, “Our Executive Officers” and “Corporate Governance — Committees — Audit Committee”, “— Committees — Nominating and Governance Committee” and “— Section 16(a) Beneficial Ownership Reporting Compliance”, and is incorporated herein by reference. We intend to file the Proxy Statement with the SEC within 120 days after the fiscal year end of December 31, 2017.</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2017”, “— Grants of Plan-Based Awards Table for Fiscal Year 2017”, “Outstanding Equity Awards at Fiscal 2017 Year-End”, “Option Exercises and Stock Vested During Fiscal Year 2017”, “— Pension Benefits for Fiscal Year 2017”, “— Potential Payments upon Termination or Change in Control at Fiscal 2017 Year-End”, “— Director Compensation for Fiscal Year 2017”, “— Risk and Compensation Policies” and “Corporate Governance —Compensation Committee Interlocks and Insider Participation”.</w:t>
      </w:r>
    </w:p>
    <w:p>
      <w:pPr>
        <w:spacing w:after="0" w:line="35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“Principal Stockholders”.</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consolidated financial statements are listed under “Item 8. Financial Statements and Supplementary Data”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03"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Financial statement schedules as of December 31, 2017 and 2016, have been omitted since they are either not required, not material or the information is otherwise included in our consolidated financial statements or the notes to our consolidated financial statements.</w:t>
      </w:r>
    </w:p>
    <w:p>
      <w:pPr>
        <w:spacing w:after="0" w:line="62"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62"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20"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18"/>
          <w:szCs w:val="18"/>
          <w:color w:val="auto"/>
        </w:rPr>
        <w:t>Date: February 27, 2018</w:t>
      </w:r>
      <w:r>
        <w:rPr>
          <w:sz w:val="20"/>
          <w:szCs w:val="20"/>
          <w:color w:val="auto"/>
        </w:rPr>
        <w:tab/>
      </w:r>
      <w:r>
        <w:rPr>
          <w:rFonts w:ascii="Arial" w:cs="Arial" w:eastAsia="Arial" w:hAnsi="Arial"/>
          <w:sz w:val="18"/>
          <w:szCs w:val="18"/>
          <w:b w:val="1"/>
          <w:bCs w:val="1"/>
          <w:color w:val="auto"/>
        </w:rPr>
        <w:t>EXLSERVICE HOLDINGS, INC.</w:t>
      </w:r>
    </w:p>
    <w:p>
      <w:pPr>
        <w:spacing w:after="0" w:line="391"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Vishal Chhibbar</w:t>
      </w:r>
    </w:p>
    <w:p>
      <w:pPr>
        <w:ind w:left="564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2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44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3"/>
          </w:tcPr>
          <w:p>
            <w:pPr>
              <w:ind w:left="1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Vice-Chairman and 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Rohit Kapoor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7"/>
              </w:rPr>
              <w:t>Garen K. Staglin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1"/>
        </w:trPr>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and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5"/>
              </w:rPr>
              <w:t>Vishal Chhibbar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w:t>
            </w:r>
            <w:r>
              <w:rPr>
                <w:rFonts w:ascii="Arial" w:cs="Arial" w:eastAsia="Arial" w:hAnsi="Arial"/>
                <w:sz w:val="14"/>
                <w:szCs w:val="14"/>
                <w:color w:val="auto"/>
              </w:rPr>
              <w:t>INTO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7"/>
              </w:rPr>
              <w:t>Anne Minto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4"/>
              </w:rPr>
              <w:t>Clyde W. Ostler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David B. Kelso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EBORAH</w:t>
            </w:r>
            <w:r>
              <w:rPr>
                <w:rFonts w:ascii="Arial" w:cs="Arial" w:eastAsia="Arial" w:hAnsi="Arial"/>
                <w:sz w:val="18"/>
                <w:szCs w:val="18"/>
                <w:color w:val="auto"/>
                <w:w w:val="97"/>
              </w:rPr>
              <w:t xml:space="preserve"> K</w:t>
            </w:r>
            <w:r>
              <w:rPr>
                <w:rFonts w:ascii="Arial" w:cs="Arial" w:eastAsia="Arial" w:hAnsi="Arial"/>
                <w:sz w:val="14"/>
                <w:szCs w:val="14"/>
                <w:color w:val="auto"/>
                <w:w w:val="97"/>
              </w:rPr>
              <w:t>ERR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Deborah Kerr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0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ITIN</w:t>
            </w:r>
            <w:r>
              <w:rPr>
                <w:rFonts w:ascii="Arial" w:cs="Arial" w:eastAsia="Arial" w:hAnsi="Arial"/>
                <w:sz w:val="18"/>
                <w:szCs w:val="18"/>
                <w:color w:val="auto"/>
              </w:rPr>
              <w:t xml:space="preserve"> S</w:t>
            </w:r>
            <w:r>
              <w:rPr>
                <w:rFonts w:ascii="Arial" w:cs="Arial" w:eastAsia="Arial" w:hAnsi="Arial"/>
                <w:sz w:val="14"/>
                <w:szCs w:val="14"/>
                <w:color w:val="auto"/>
              </w:rPr>
              <w:t>AHNEY</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Nitin Sahney</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OM</w:t>
            </w:r>
            <w:r>
              <w:rPr>
                <w:rFonts w:ascii="Arial" w:cs="Arial" w:eastAsia="Arial" w:hAnsi="Arial"/>
                <w:sz w:val="18"/>
                <w:szCs w:val="18"/>
                <w:color w:val="auto"/>
              </w:rPr>
              <w:t xml:space="preserve"> M</w:t>
            </w:r>
            <w:r>
              <w:rPr>
                <w:rFonts w:ascii="Arial" w:cs="Arial" w:eastAsia="Arial" w:hAnsi="Arial"/>
                <w:sz w:val="14"/>
                <w:szCs w:val="14"/>
                <w:color w:val="auto"/>
              </w:rPr>
              <w:t>ITTAL</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8"/>
              </w:rPr>
              <w:t>Som Mittal</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ind w:left="116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337" w:right="5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780" w:type="dxa"/>
            <w:vAlign w:val="bottom"/>
            <w:gridSpan w:val="28"/>
          </w:tcPr>
          <w:p>
            <w:pPr>
              <w:ind w:left="2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340" w:type="dxa"/>
            <w:vAlign w:val="bottom"/>
            <w:gridSpan w:val="31"/>
          </w:tcPr>
          <w:p>
            <w:pPr>
              <w:ind w:left="40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000" w:type="dxa"/>
            <w:vAlign w:val="bottom"/>
            <w:tcBorders>
              <w:bottom w:val="single" w:sz="8" w:color="0000FF"/>
            </w:tcBorders>
            <w:gridSpan w:val="21"/>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Securities Purchase Agreement dated as of February 23, 2015 by and among ExlService Holdings, Inc., ExlService.com LLC, RPM Direct</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LLC, RPM Data Solutions, LLC and the security holders named therein (incorporated by reference to Exhibit 2.1 of the Company’s Quarterly</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Report on Form 10-Q (File No. 1-33089) filed on May 1, 2015).</w:t>
              </w:r>
            </w:hyperlink>
          </w:p>
        </w:tc>
      </w:tr>
      <w:tr>
        <w:trPr>
          <w:trHeight w:val="20"/>
        </w:trPr>
        <w:tc>
          <w:tcPr>
            <w:tcW w:w="10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9800" w:type="dxa"/>
            <w:vAlign w:val="bottom"/>
            <w:tcBorders>
              <w:bottom w:val="single" w:sz="8" w:color="0000FF"/>
            </w:tcBorders>
            <w:gridSpan w:val="17"/>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Amended and Restated Certificate of Incorporation of the Company (incorporated by reference to Exhibit 3.1 of the Company’s Current</w:t>
              </w:r>
            </w:hyperlink>
          </w:p>
        </w:tc>
        <w:tc>
          <w:tcPr>
            <w:tcW w:w="5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8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Report on Form 8-K (File No. 1-33089) filed on October 25, 2006).</w:t>
              </w:r>
            </w:hyperlink>
          </w:p>
        </w:tc>
        <w:tc>
          <w:tcPr>
            <w:tcW w:w="5420" w:type="dxa"/>
            <w:vAlign w:val="bottom"/>
            <w:gridSpan w:val="25"/>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Borders>
              <w:bottom w:val="single" w:sz="8" w:color="0000FF"/>
            </w:tcBorders>
            <w:gridSpan w:val="24"/>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Fourth Amended and Restated By-laws of the Company (incorporated by reference to Exhibit 3.2 of the Company’s Current Report on Form</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8-K (File No. 1-33089) filed on February 28, 2017).</w:t>
              </w:r>
            </w:hyperlink>
          </w:p>
        </w:tc>
      </w:tr>
      <w:tr>
        <w:trPr>
          <w:trHeight w:val="20"/>
        </w:trPr>
        <w:tc>
          <w:tcPr>
            <w:tcW w:w="10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tcBorders>
              <w:bottom w:val="single" w:sz="8" w:color="0000FF"/>
            </w:tcBorders>
            <w:gridSpan w:val="23"/>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Registration Rights Agreement (incorporated by reference to Exhibit 4.1 of the Company’s Current Report on Form 8-K (File No. 1-33089)</w:t>
              </w:r>
            </w:hyperlink>
          </w:p>
        </w:tc>
        <w:tc>
          <w:tcPr>
            <w:tcW w:w="24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9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filed on October 25, 2006).</w:t>
              </w:r>
            </w:hyperlink>
          </w:p>
        </w:tc>
        <w:tc>
          <w:tcPr>
            <w:tcW w:w="8340" w:type="dxa"/>
            <w:vAlign w:val="bottom"/>
            <w:gridSpan w:val="29"/>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FF"/>
            </w:tcBorders>
            <w:gridSpan w:val="22"/>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Amended and Restated Employment and Non-Competition Agreement, dated as of September 19, 2017 between ExlService Holdings, Inc.</w:t>
              </w:r>
            </w:hyperlink>
          </w:p>
        </w:tc>
        <w:tc>
          <w:tcPr>
            <w:tcW w:w="2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and Rohit Kapoor, dated as of September 19, 2017 (incorporated by reference to Exhibit 10.1 to the Company’s Quarterly Report on Form 10-</w:t>
              </w:r>
            </w:hyperlink>
          </w:p>
        </w:tc>
      </w:tr>
      <w:tr>
        <w:trPr>
          <w:trHeight w:val="196"/>
        </w:trPr>
        <w:tc>
          <w:tcPr>
            <w:tcW w:w="1040" w:type="dxa"/>
            <w:vAlign w:val="bottom"/>
          </w:tcPr>
          <w:p>
            <w:pPr>
              <w:spacing w:after="0"/>
              <w:rPr>
                <w:sz w:val="17"/>
                <w:szCs w:val="17"/>
                <w:color w:val="auto"/>
              </w:rPr>
            </w:pPr>
          </w:p>
        </w:tc>
        <w:tc>
          <w:tcPr>
            <w:tcW w:w="1024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Q (File No. 1-33089) filed on October 26, 2017).</w:t>
              </w:r>
            </w:hyperlink>
          </w:p>
        </w:tc>
        <w:tc>
          <w:tcPr>
            <w:tcW w:w="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300" w:type="dxa"/>
            <w:vAlign w:val="bottom"/>
            <w:gridSpan w:val="30"/>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Employment Agreement, dated July 31, 2002, between ExlService Holdings, Inc. and Pavan Bagai (incorporated by reference to Exhibit 10.15</w:t>
              </w:r>
            </w:hyperlink>
          </w:p>
        </w:tc>
      </w:tr>
      <w:tr>
        <w:trPr>
          <w:trHeight w:val="196"/>
        </w:trPr>
        <w:tc>
          <w:tcPr>
            <w:tcW w:w="104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to the Company’s Registration Statement on Form S-1 (Registration No. 333-121001) filed on December 6, 2004).</w:t>
              </w:r>
            </w:hyperlink>
          </w:p>
        </w:tc>
        <w:tc>
          <w:tcPr>
            <w:tcW w:w="202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140" w:type="dxa"/>
            <w:vAlign w:val="bottom"/>
            <w:tcBorders>
              <w:bottom w:val="single" w:sz="8" w:color="0000FF"/>
            </w:tcBorders>
            <w:gridSpan w:val="24"/>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Employment Agreement, effective as of January 1, 2016, between ExlService Holdings, Inc. and Vishal Chhibbar (incorporated by reference</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9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to Exhibit 10.3 to the Company’s Quarterly Report on Form 10-Q (File No. 1-33089) filed on April 29, 2016).</w:t>
              </w:r>
            </w:hyperlink>
          </w:p>
        </w:tc>
        <w:tc>
          <w:tcPr>
            <w:tcW w:w="2360" w:type="dxa"/>
            <w:vAlign w:val="bottom"/>
            <w:gridSpan w:val="19"/>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tcBorders>
              <w:bottom w:val="single" w:sz="8" w:color="0000FF"/>
            </w:tcBorders>
            <w:gridSpan w:val="18"/>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Employment Agreement, dated as of September 15, 2014, between ExlService Holdings, Inc. and Nalin Kumar Miglani (incorporated by</w:t>
              </w:r>
            </w:hyperlink>
          </w:p>
        </w:tc>
        <w:tc>
          <w:tcPr>
            <w:tcW w:w="4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reference to Exhibit 10.1 to the Company’s Quarterly Report on Form 10-Q (File No. 1-33089) filed on April 29, 2016).</w:t>
              </w:r>
            </w:hyperlink>
          </w:p>
        </w:tc>
      </w:tr>
      <w:tr>
        <w:trPr>
          <w:trHeight w:val="20"/>
        </w:trPr>
        <w:tc>
          <w:tcPr>
            <w:tcW w:w="104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300" w:type="dxa"/>
            <w:vAlign w:val="bottom"/>
            <w:gridSpan w:val="30"/>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Letter Agreement, dated March 14, 2014, between ExlService Holdings, Inc. and Nancy Saltzman (incorporated by reference to Exhibit 10.1</w:t>
              </w:r>
            </w:hyperlink>
          </w:p>
        </w:tc>
      </w:tr>
      <w:tr>
        <w:trPr>
          <w:trHeight w:val="196"/>
        </w:trPr>
        <w:tc>
          <w:tcPr>
            <w:tcW w:w="104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to the Company’s Quarterly Report on Form 10-Q (File No. 1-33089) filed on May 1, 2015).</w:t>
              </w:r>
            </w:hyperlink>
          </w:p>
        </w:tc>
        <w:tc>
          <w:tcPr>
            <w:tcW w:w="3460" w:type="dxa"/>
            <w:vAlign w:val="bottom"/>
            <w:tcBorders>
              <w:top w:val="single" w:sz="8" w:color="0000FF"/>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FF"/>
            </w:tcBorders>
            <w:gridSpan w:val="26"/>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Employment Agreement, dated November 19, 2016, between ExlService Holdings, Inc. and Nagaraja Srivatsan (incorporated by reference to</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Exhibit 10.6 to the Company’s Annual Report on Form 10-K (File No. 1-330089) filed on March 15, 2017).</w:t>
              </w:r>
            </w:hyperlink>
          </w:p>
        </w:tc>
      </w:tr>
      <w:tr>
        <w:trPr>
          <w:trHeight w:val="20"/>
        </w:trPr>
        <w:tc>
          <w:tcPr>
            <w:tcW w:w="104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160" w:type="dxa"/>
            <w:vAlign w:val="bottom"/>
            <w:tcBorders>
              <w:bottom w:val="single" w:sz="8" w:color="0000FF"/>
            </w:tcBorders>
            <w:gridSpan w:val="25"/>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Letter Agreement, dated March 20, 2008, between Exl Service.com, Inc. and Rembert de Villa (incorporated by reference to Exhibit 10.29 to</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the Company’s Annual Report on Form 10-K (File No. 1-33089) filed on March 16, 2011).</w:t>
              </w:r>
            </w:hyperlink>
          </w:p>
        </w:tc>
        <w:tc>
          <w:tcPr>
            <w:tcW w:w="3700" w:type="dxa"/>
            <w:vAlign w:val="bottom"/>
            <w:gridSpan w:val="23"/>
          </w:tcPr>
          <w:p>
            <w:pPr>
              <w:spacing w:after="0"/>
              <w:rPr>
                <w:sz w:val="17"/>
                <w:szCs w:val="17"/>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9700" w:type="dxa"/>
            <w:vAlign w:val="bottom"/>
            <w:tcBorders>
              <w:bottom w:val="single" w:sz="8" w:color="0000FF"/>
            </w:tcBorders>
            <w:gridSpan w:val="16"/>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ExlService Holdings, Inc. 2003 India Employee Stock Option Plan (incorporated by reference to Exhibit 10.16 of Amendment 3 to the</w:t>
              </w:r>
            </w:hyperlink>
          </w:p>
        </w:tc>
        <w:tc>
          <w:tcPr>
            <w:tcW w:w="60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Company’s Registration Statement on Form S-1 (Registration No. 333-121001) filed on July 28, 2006).</w:t>
              </w:r>
            </w:hyperlink>
          </w:p>
        </w:tc>
        <w:tc>
          <w:tcPr>
            <w:tcW w:w="2840" w:type="dxa"/>
            <w:vAlign w:val="bottom"/>
            <w:gridSpan w:val="21"/>
          </w:tcPr>
          <w:p>
            <w:pPr>
              <w:spacing w:after="0"/>
              <w:rPr>
                <w:sz w:val="17"/>
                <w:szCs w:val="17"/>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300" w:type="dxa"/>
            <w:vAlign w:val="bottom"/>
            <w:tcBorders>
              <w:bottom w:val="single" w:sz="8" w:color="0000FF"/>
            </w:tcBorders>
            <w:gridSpan w:val="30"/>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ExlService Holdings, Inc. 2003 Stock Option Plan (incorporated by reference to Exhibit 10.18 of Amendment 3 to the Company’s Registration</w:t>
              </w:r>
            </w:hyperlink>
          </w:p>
        </w:tc>
      </w:tr>
      <w:tr>
        <w:trPr>
          <w:trHeight w:val="196"/>
        </w:trPr>
        <w:tc>
          <w:tcPr>
            <w:tcW w:w="1040" w:type="dxa"/>
            <w:vAlign w:val="bottom"/>
          </w:tcPr>
          <w:p>
            <w:pPr>
              <w:spacing w:after="0"/>
              <w:rPr>
                <w:sz w:val="17"/>
                <w:szCs w:val="17"/>
                <w:color w:val="auto"/>
              </w:rPr>
            </w:pPr>
          </w:p>
        </w:tc>
        <w:tc>
          <w:tcPr>
            <w:tcW w:w="54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Statement on Form S-1 (Registration No. 333-121001) filed July 28, 2006).</w:t>
              </w:r>
            </w:hyperlink>
          </w:p>
        </w:tc>
        <w:tc>
          <w:tcPr>
            <w:tcW w:w="4860" w:type="dxa"/>
            <w:vAlign w:val="bottom"/>
            <w:gridSpan w:val="24"/>
          </w:tcPr>
          <w:p>
            <w:pPr>
              <w:spacing w:after="0"/>
              <w:rPr>
                <w:sz w:val="17"/>
                <w:szCs w:val="17"/>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000" w:type="dxa"/>
            <w:vAlign w:val="bottom"/>
            <w:tcBorders>
              <w:bottom w:val="single" w:sz="8" w:color="0000FF"/>
            </w:tcBorders>
            <w:gridSpan w:val="21"/>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ExlService Holdings, Inc. 2006 Omnibus Plan (incorporated by reference to Exhibit 10.20 of Amendment 3 to the Company’s Registration</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4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Statement on Form S-1 (Registration No. 333-121001) filed July 28, 2006).</w:t>
              </w:r>
            </w:hyperlink>
          </w:p>
        </w:tc>
        <w:tc>
          <w:tcPr>
            <w:tcW w:w="4860" w:type="dxa"/>
            <w:vAlign w:val="bottom"/>
            <w:gridSpan w:val="24"/>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9920" w:type="dxa"/>
            <w:vAlign w:val="bottom"/>
            <w:tcBorders>
              <w:bottom w:val="single" w:sz="8" w:color="0000FF"/>
            </w:tcBorders>
            <w:gridSpan w:val="20"/>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ExlService Holdings, Inc. 2006 Omnibus India Subplan 1 (incorporated by reference to Exhibit 10.21 of Amendment 6 to the Company’s</w:t>
              </w:r>
            </w:hyperlink>
          </w:p>
        </w:tc>
        <w:tc>
          <w:tcPr>
            <w:tcW w:w="3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0"/>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Registration Statement on Form S-1 (Registration No. 333-121001) filed October 17, 2006)</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6600" w:type="dxa"/>
            <w:vAlign w:val="bottom"/>
            <w:tcBorders>
              <w:right w:val="single" w:sz="8" w:color="0000FF"/>
            </w:tcBorders>
            <w:gridSpan w:val="7"/>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Borders>
              <w:bottom w:val="single" w:sz="8" w:color="0000FF"/>
            </w:tcBorders>
            <w:gridSpan w:val="19"/>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Non-Qualified Stock Option Agreement under the 2006 Omnibus India Subplan 1 (incorporated by reference to Exhibit 10.22 of</w:t>
              </w:r>
            </w:hyperlink>
          </w:p>
        </w:tc>
        <w:tc>
          <w:tcPr>
            <w:tcW w:w="4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9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Amendment 5 to the Company’s Registration Statement on Form S-1 (Registration No. 333-121001) filed October 4, 2006).</w:t>
              </w:r>
            </w:hyperlink>
          </w:p>
        </w:tc>
        <w:tc>
          <w:tcPr>
            <w:tcW w:w="1360" w:type="dxa"/>
            <w:vAlign w:val="bottom"/>
            <w:gridSpan w:val="16"/>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300" w:type="dxa"/>
            <w:vAlign w:val="bottom"/>
            <w:gridSpan w:val="30"/>
          </w:tcPr>
          <w:p>
            <w:pPr>
              <w:spacing w:after="0"/>
              <w:rPr>
                <w:rFonts w:ascii="Arial" w:cs="Arial" w:eastAsia="Arial" w:hAnsi="Arial"/>
                <w:sz w:val="18"/>
                <w:szCs w:val="18"/>
                <w:color w:val="0000FF"/>
                <w:w w:val="97"/>
              </w:rPr>
            </w:pPr>
            <w:hyperlink r:id="rId41">
              <w:r>
                <w:rPr>
                  <w:rFonts w:ascii="Arial" w:cs="Arial" w:eastAsia="Arial" w:hAnsi="Arial"/>
                  <w:sz w:val="18"/>
                  <w:szCs w:val="18"/>
                  <w:color w:val="0000FF"/>
                  <w:w w:val="97"/>
                </w:rPr>
                <w:t>ExlService Holdings, Inc. Management Incentive Plan (incorporated by reference to Exhibit 10.23 of Amendment 5 to the Company’s</w:t>
              </w:r>
            </w:hyperlink>
          </w:p>
        </w:tc>
      </w:tr>
      <w:tr>
        <w:trPr>
          <w:trHeight w:val="196"/>
        </w:trPr>
        <w:tc>
          <w:tcPr>
            <w:tcW w:w="1040" w:type="dxa"/>
            <w:vAlign w:val="bottom"/>
          </w:tcPr>
          <w:p>
            <w:pPr>
              <w:spacing w:after="0"/>
              <w:rPr>
                <w:sz w:val="17"/>
                <w:szCs w:val="17"/>
                <w:color w:val="auto"/>
              </w:rPr>
            </w:pPr>
          </w:p>
        </w:tc>
        <w:tc>
          <w:tcPr>
            <w:tcW w:w="96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Registration Statement on Form S-1 (Registration No. 333-121001) filed October 4, 2006).</w:t>
              </w:r>
            </w:hyperlink>
          </w:p>
        </w:tc>
        <w:tc>
          <w:tcPr>
            <w:tcW w:w="640" w:type="dxa"/>
            <w:vAlign w:val="bottom"/>
            <w:gridSpan w:val="15"/>
          </w:tcPr>
          <w:p>
            <w:pPr>
              <w:spacing w:after="0"/>
              <w:rPr>
                <w:sz w:val="17"/>
                <w:szCs w:val="17"/>
                <w:color w:val="auto"/>
              </w:rPr>
            </w:pPr>
          </w:p>
        </w:tc>
      </w:tr>
      <w:tr>
        <w:trPr>
          <w:trHeight w:val="628"/>
        </w:trPr>
        <w:tc>
          <w:tcPr>
            <w:tcW w:w="1040" w:type="dxa"/>
            <w:vAlign w:val="bottom"/>
          </w:tcPr>
          <w:p>
            <w:pPr>
              <w:spacing w:after="0"/>
              <w:rPr>
                <w:sz w:val="24"/>
                <w:szCs w:val="24"/>
                <w:color w:val="auto"/>
              </w:rPr>
            </w:pPr>
          </w:p>
        </w:tc>
        <w:tc>
          <w:tcPr>
            <w:tcW w:w="4880" w:type="dxa"/>
            <w:vAlign w:val="bottom"/>
            <w:tcBorders>
              <w:top w:val="single" w:sz="8" w:color="0000FF"/>
            </w:tcBorders>
            <w:gridSpan w:val="5"/>
          </w:tcPr>
          <w:p>
            <w:pPr>
              <w:ind w:left="4540"/>
              <w:spacing w:after="0"/>
              <w:rPr>
                <w:sz w:val="20"/>
                <w:szCs w:val="20"/>
                <w:color w:val="auto"/>
              </w:rPr>
            </w:pPr>
            <w:r>
              <w:rPr>
                <w:rFonts w:ascii="Arial" w:cs="Arial" w:eastAsia="Arial" w:hAnsi="Arial"/>
                <w:sz w:val="18"/>
                <w:szCs w:val="18"/>
                <w:color w:val="auto"/>
              </w:rPr>
              <w:t>60</w:t>
            </w:r>
          </w:p>
        </w:tc>
        <w:tc>
          <w:tcPr>
            <w:tcW w:w="5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337"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42">
        <w:r>
          <w:rPr>
            <w:rFonts w:ascii="Arial" w:cs="Arial" w:eastAsia="Arial" w:hAnsi="Arial"/>
            <w:sz w:val="16"/>
            <w:szCs w:val="16"/>
            <w:u w:val="single" w:color="auto"/>
            <w:color w:val="0000FF"/>
          </w:rPr>
          <w:t>Form of Restricted Stock Award Agreement under the 2006 Omnibus Award Plan (incorporated by reference to Exhibit 10.31 of Amendment</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5 to the Company’s Registration Statement on Form S-1 (Registration No. 333-121001) filed October 4, 2006).</w:t>
        </w:r>
      </w:hyperlink>
    </w:p>
    <w:p>
      <w:pPr>
        <w:spacing w:after="0" w:line="170" w:lineRule="exact"/>
        <w:rPr>
          <w:sz w:val="20"/>
          <w:szCs w:val="20"/>
          <w:color w:val="auto"/>
        </w:rPr>
      </w:pPr>
    </w:p>
    <w:p>
      <w:pPr>
        <w:ind w:left="1080" w:right="700" w:hanging="1039"/>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43">
        <w:r>
          <w:rPr>
            <w:rFonts w:ascii="Arial" w:cs="Arial" w:eastAsia="Arial" w:hAnsi="Arial"/>
            <w:sz w:val="16"/>
            <w:szCs w:val="16"/>
            <w:u w:val="single" w:color="auto"/>
            <w:color w:val="0000FF"/>
          </w:rPr>
          <w:t>Form of Non-Qualified Stock Option Agreement under the 2006 Omnibus Award Plan (incorporated by reference to Exhibit 10.32 of</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Amendment 5 to the Company’s Registration Statement on Form S-1 (Registration No. 333-121001) filed October 4, 2006).</w:t>
        </w:r>
      </w:hyperlink>
    </w:p>
    <w:p>
      <w:pPr>
        <w:spacing w:after="0" w:line="83" w:lineRule="exact"/>
        <w:rPr>
          <w:sz w:val="20"/>
          <w:szCs w:val="20"/>
          <w:color w:val="auto"/>
        </w:rPr>
      </w:pPr>
    </w:p>
    <w:p>
      <w:pPr>
        <w:ind w:left="1080" w:right="760" w:hanging="1039"/>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44">
        <w:r>
          <w:rPr>
            <w:rFonts w:ascii="Arial" w:cs="Arial" w:eastAsia="Arial" w:hAnsi="Arial"/>
            <w:sz w:val="16"/>
            <w:szCs w:val="16"/>
            <w:u w:val="single" w:color="auto"/>
            <w:color w:val="0000FF"/>
          </w:rPr>
          <w:t>Form of Restricted Stock Award Agreement under the 2006 Omnibus India Subplan 1 (incorporated by reference to Exhibit 10.33 of</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Amendment 5 to the Company’s Registration Statement on Form S-1 (Registration No. 333-121001) filed October 4, 2006).</w:t>
        </w:r>
      </w:hyperlink>
    </w:p>
    <w:p>
      <w:pPr>
        <w:spacing w:after="0" w:line="83" w:lineRule="exact"/>
        <w:rPr>
          <w:sz w:val="20"/>
          <w:szCs w:val="20"/>
          <w:color w:val="auto"/>
        </w:rPr>
      </w:pPr>
    </w:p>
    <w:p>
      <w:pPr>
        <w:ind w:left="1080" w:right="40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5">
        <w:r>
          <w:rPr>
            <w:rFonts w:ascii="Arial" w:cs="Arial" w:eastAsia="Arial" w:hAnsi="Arial"/>
            <w:sz w:val="18"/>
            <w:szCs w:val="18"/>
            <w:u w:val="single" w:color="auto"/>
            <w:color w:val="0000FF"/>
          </w:rPr>
          <w:t>ExlService Holdings, Inc. 2006 Omnibus India Subplan 2 (incorporated by reference to Exhibit 10.38 of Amendment 6 to the Company’s</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Registration Statement on Form S-1 (Registration No. 333-121001) filed October 17, 2006).</w:t>
        </w:r>
      </w:hyperlink>
    </w:p>
    <w:p>
      <w:pPr>
        <w:spacing w:after="0" w:line="130" w:lineRule="exact"/>
        <w:rPr>
          <w:sz w:val="20"/>
          <w:szCs w:val="20"/>
          <w:color w:val="auto"/>
        </w:rPr>
      </w:pPr>
    </w:p>
    <w:p>
      <w:pPr>
        <w:jc w:val="center"/>
        <w:ind w:right="36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6">
        <w:r>
          <w:rPr>
            <w:rFonts w:ascii="Arial" w:cs="Arial" w:eastAsia="Arial" w:hAnsi="Arial"/>
            <w:sz w:val="18"/>
            <w:szCs w:val="18"/>
            <w:u w:val="single" w:color="auto"/>
            <w:color w:val="0000FF"/>
          </w:rPr>
          <w:t>Form of Non-Qualified Stock Option Agreement under the 2006 Omnibus India Subplan 2 (incorporated by reference to Exhibit 10.39 of</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Amendment 5 to the Company’s Registration Statement on Form S-1 (Registration No. 333-121001) filed October 4, 2006).</w:t>
        </w:r>
      </w:hyperlink>
    </w:p>
    <w:p>
      <w:pPr>
        <w:spacing w:after="0" w:line="130" w:lineRule="exact"/>
        <w:rPr>
          <w:sz w:val="20"/>
          <w:szCs w:val="20"/>
          <w:color w:val="auto"/>
        </w:rPr>
      </w:pPr>
    </w:p>
    <w:p>
      <w:pPr>
        <w:ind w:left="1080" w:right="760" w:hanging="1039"/>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47">
        <w:r>
          <w:rPr>
            <w:rFonts w:ascii="Arial" w:cs="Arial" w:eastAsia="Arial" w:hAnsi="Arial"/>
            <w:sz w:val="16"/>
            <w:szCs w:val="16"/>
            <w:u w:val="single" w:color="auto"/>
            <w:color w:val="0000FF"/>
          </w:rPr>
          <w:t>Form of Restricted Stock Award Agreement under the 2006 Omnibus India Subplan 2 (incorporated by reference to Exhibit 10.40 of</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Amendment 5 to the Company’s Registration Statement on Form S-1 (Registration No. 333-121001) filed October 4, 2006).</w:t>
        </w:r>
      </w:hyperlink>
    </w:p>
    <w:p>
      <w:pPr>
        <w:spacing w:after="0" w:line="83" w:lineRule="exact"/>
        <w:rPr>
          <w:sz w:val="20"/>
          <w:szCs w:val="20"/>
          <w:color w:val="auto"/>
        </w:rPr>
      </w:pPr>
    </w:p>
    <w:p>
      <w:pPr>
        <w:ind w:left="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48">
        <w:r>
          <w:rPr>
            <w:rFonts w:ascii="Arial" w:cs="Arial" w:eastAsia="Arial" w:hAnsi="Arial"/>
            <w:sz w:val="16"/>
            <w:szCs w:val="16"/>
            <w:u w:val="single" w:color="auto"/>
            <w:color w:val="0000FF"/>
          </w:rPr>
          <w:t>Non-Qualified Stock Option Agreement between Rohit Kapoor and the Company dated July 27, 2006 (incorporated by reference to Exhibit</w:t>
        </w:r>
      </w:hyperlink>
    </w:p>
    <w:p>
      <w:pPr>
        <w:spacing w:after="0" w:line="23" w:lineRule="exact"/>
        <w:rPr>
          <w:sz w:val="20"/>
          <w:szCs w:val="20"/>
          <w:color w:val="auto"/>
        </w:rPr>
      </w:pPr>
    </w:p>
    <w:p>
      <w:pPr>
        <w:ind w:left="1080"/>
        <w:spacing w:after="0"/>
        <w:rPr>
          <w:rFonts w:ascii="Arial" w:cs="Arial" w:eastAsia="Arial" w:hAnsi="Arial"/>
          <w:sz w:val="17"/>
          <w:szCs w:val="17"/>
          <w:u w:val="single" w:color="auto"/>
          <w:color w:val="0000FF"/>
        </w:rPr>
      </w:pPr>
      <w:hyperlink r:id="rId48">
        <w:r>
          <w:rPr>
            <w:rFonts w:ascii="Arial" w:cs="Arial" w:eastAsia="Arial" w:hAnsi="Arial"/>
            <w:sz w:val="17"/>
            <w:szCs w:val="17"/>
            <w:u w:val="single" w:color="auto"/>
            <w:color w:val="0000FF"/>
          </w:rPr>
          <w:t>10.42 of Amendment 5 to the Company’s Registration Statement on Form S-1 (Registration No. 333-121001) filed October 4, 2006).</w:t>
        </w:r>
      </w:hyperlink>
    </w:p>
    <w:p>
      <w:pPr>
        <w:spacing w:after="0" w:line="182" w:lineRule="exact"/>
        <w:rPr>
          <w:sz w:val="20"/>
          <w:szCs w:val="20"/>
          <w:color w:val="auto"/>
        </w:rPr>
      </w:pPr>
    </w:p>
    <w:p>
      <w:pPr>
        <w:ind w:left="1080" w:right="46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9">
        <w:r>
          <w:rPr>
            <w:rFonts w:ascii="Arial" w:cs="Arial" w:eastAsia="Arial" w:hAnsi="Arial"/>
            <w:sz w:val="18"/>
            <w:szCs w:val="18"/>
            <w:u w:val="single" w:color="auto"/>
            <w:color w:val="0000FF"/>
          </w:rPr>
          <w:t>Amendment to ExlService Holdings, Inc. 2006 Omnibus Award Plan (incorporated by reference to Exhibit 10.43 of Amendment 5 to the</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Company’s Registration Statement on Form S-1 (Registration No. 333-121001) filed October 4, 2006).</w:t>
        </w:r>
      </w:hyperlink>
    </w:p>
    <w:p>
      <w:pPr>
        <w:spacing w:after="0" w:line="130" w:lineRule="exact"/>
        <w:rPr>
          <w:sz w:val="20"/>
          <w:szCs w:val="20"/>
          <w:color w:val="auto"/>
        </w:rPr>
      </w:pPr>
    </w:p>
    <w:p>
      <w:pPr>
        <w:ind w:left="108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0">
        <w:r>
          <w:rPr>
            <w:rFonts w:ascii="Arial" w:cs="Arial" w:eastAsia="Arial" w:hAnsi="Arial"/>
            <w:sz w:val="18"/>
            <w:szCs w:val="18"/>
            <w:u w:val="single" w:color="auto"/>
            <w:color w:val="0000FF"/>
          </w:rPr>
          <w:t>Form of Restricted Stock Unit Agreement 1 under the 2006 Omnibus Award Plan (incorporated by reference to Exhibit 10.44 of Amendment 5</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to the Company’s Registration Statement on Form S-1 (Registration No. 333-121001) filed October 4, 2006).</w:t>
        </w:r>
      </w:hyperlink>
    </w:p>
    <w:p>
      <w:pPr>
        <w:spacing w:after="0" w:line="130" w:lineRule="exact"/>
        <w:rPr>
          <w:sz w:val="20"/>
          <w:szCs w:val="20"/>
          <w:color w:val="auto"/>
        </w:rPr>
      </w:pPr>
    </w:p>
    <w:p>
      <w:pPr>
        <w:ind w:left="108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51">
        <w:r>
          <w:rPr>
            <w:rFonts w:ascii="Arial" w:cs="Arial" w:eastAsia="Arial" w:hAnsi="Arial"/>
            <w:sz w:val="18"/>
            <w:szCs w:val="18"/>
            <w:u w:val="single" w:color="auto"/>
            <w:color w:val="0000FF"/>
          </w:rPr>
          <w:t>Form of Restricted Stock Unit Agreement 2 under the 2006 Omnibus Award Plan (incorporated by reference to Exhibit 10.45 of Amendment 5</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to the Company’s Registration Statement on Form S-1 (Registration No. 333-121001) filed October 4, 2006).</w:t>
        </w:r>
      </w:hyperlink>
    </w:p>
    <w:p>
      <w:pPr>
        <w:spacing w:after="0" w:line="130" w:lineRule="exact"/>
        <w:rPr>
          <w:sz w:val="20"/>
          <w:szCs w:val="20"/>
          <w:color w:val="auto"/>
        </w:rPr>
      </w:pPr>
    </w:p>
    <w:p>
      <w:pPr>
        <w:ind w:left="108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2">
        <w:r>
          <w:rPr>
            <w:rFonts w:ascii="Arial" w:cs="Arial" w:eastAsia="Arial" w:hAnsi="Arial"/>
            <w:sz w:val="18"/>
            <w:szCs w:val="18"/>
            <w:u w:val="single" w:color="auto"/>
            <w:color w:val="0000FF"/>
          </w:rPr>
          <w:t>Amendment No. 2 to ExlService Holdings, Inc. 2006 Omnibus Award Plan (incorporated by reference to Exhibit 10.46 of Amendment 6 to the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Registration Statement on Form S-1 (Registration No. 333-121001) filed October 17, 2006).</w:t>
        </w:r>
      </w:hyperlink>
    </w:p>
    <w:p>
      <w:pPr>
        <w:spacing w:after="0" w:line="130" w:lineRule="exact"/>
        <w:rPr>
          <w:sz w:val="20"/>
          <w:szCs w:val="20"/>
          <w:color w:val="auto"/>
        </w:rPr>
      </w:pPr>
    </w:p>
    <w:p>
      <w:pPr>
        <w:ind w:left="1080" w:right="16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3">
        <w:r>
          <w:rPr>
            <w:rFonts w:ascii="Arial" w:cs="Arial" w:eastAsia="Arial" w:hAnsi="Arial"/>
            <w:sz w:val="18"/>
            <w:szCs w:val="18"/>
            <w:u w:val="single" w:color="auto"/>
            <w:color w:val="0000FF"/>
          </w:rPr>
          <w:t>Form of 2010 Restricted Stock Unit Agreement (U.S.) under the 2006 Omnibus Award Plan (incorporated by reference to Exhibit 99.1 to the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Company’s Current Report on Form 8-K (File No. 1-33089) filed on February 4, 2010).</w:t>
        </w:r>
      </w:hyperlink>
    </w:p>
    <w:p>
      <w:pPr>
        <w:spacing w:after="0" w:line="130" w:lineRule="exact"/>
        <w:rPr>
          <w:sz w:val="20"/>
          <w:szCs w:val="20"/>
          <w:color w:val="auto"/>
        </w:rPr>
      </w:pPr>
    </w:p>
    <w:p>
      <w:pPr>
        <w:ind w:left="1080" w:right="16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4">
        <w:r>
          <w:rPr>
            <w:rFonts w:ascii="Arial" w:cs="Arial" w:eastAsia="Arial" w:hAnsi="Arial"/>
            <w:sz w:val="18"/>
            <w:szCs w:val="18"/>
            <w:u w:val="single" w:color="auto"/>
            <w:color w:val="0000FF"/>
          </w:rPr>
          <w:t>Form of 2010 Restricted Stock Unit Agreement (U.S.) under the 2006 Omnibus Award Plan (incorporated by reference to Exhibit 99.2 to the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Company’s Current Report on Form 8-K (File No. 1-33089) filed on February 4, 2010).</w:t>
        </w:r>
      </w:hyperlink>
    </w:p>
    <w:p>
      <w:pPr>
        <w:spacing w:after="0" w:line="130" w:lineRule="exact"/>
        <w:rPr>
          <w:sz w:val="20"/>
          <w:szCs w:val="20"/>
          <w:color w:val="auto"/>
        </w:rPr>
      </w:pPr>
    </w:p>
    <w:p>
      <w:pPr>
        <w:ind w:left="108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55">
        <w:r>
          <w:rPr>
            <w:rFonts w:ascii="Arial" w:cs="Arial" w:eastAsia="Arial" w:hAnsi="Arial"/>
            <w:sz w:val="18"/>
            <w:szCs w:val="18"/>
            <w:u w:val="single" w:color="auto"/>
            <w:color w:val="0000FF"/>
          </w:rPr>
          <w:t>Form of 2010 Restricted Stock Unit Agreement (International) under the 2006 Omnibus Award Plan (incorporated by reference to Exhibit 99.3</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to the Company’s Current Report on Form 8-K (File No. 1-33089) filed on February 4, 2010).</w:t>
        </w:r>
      </w:hyperlink>
    </w:p>
    <w:p>
      <w:pPr>
        <w:spacing w:after="0" w:line="130" w:lineRule="exact"/>
        <w:rPr>
          <w:sz w:val="20"/>
          <w:szCs w:val="20"/>
          <w:color w:val="auto"/>
        </w:rPr>
      </w:pPr>
    </w:p>
    <w:p>
      <w:pPr>
        <w:ind w:left="1080" w:right="16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6">
        <w:r>
          <w:rPr>
            <w:rFonts w:ascii="Arial" w:cs="Arial" w:eastAsia="Arial" w:hAnsi="Arial"/>
            <w:sz w:val="18"/>
            <w:szCs w:val="18"/>
            <w:u w:val="single" w:color="auto"/>
            <w:color w:val="0000FF"/>
          </w:rPr>
          <w:t>Form of 2010 Restricted Stock Unit Agreement (U.S.) under the 2006 Omnibus Award Plan (incorporated by reference to Exhibit 99.4 to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Company’s Current Report on Form 8-K (File No. 1-33089) filed on February 4, 2010).</w:t>
        </w:r>
      </w:hyperlink>
    </w:p>
    <w:p>
      <w:pPr>
        <w:spacing w:after="0" w:line="130" w:lineRule="exact"/>
        <w:rPr>
          <w:sz w:val="20"/>
          <w:szCs w:val="20"/>
          <w:color w:val="auto"/>
        </w:rPr>
      </w:pPr>
    </w:p>
    <w:p>
      <w:pPr>
        <w:ind w:left="1080" w:right="200" w:hanging="1039"/>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57">
        <w:r>
          <w:rPr>
            <w:rFonts w:ascii="Arial" w:cs="Arial" w:eastAsia="Arial" w:hAnsi="Arial"/>
            <w:sz w:val="16"/>
            <w:szCs w:val="16"/>
            <w:u w:val="single" w:color="auto"/>
            <w:color w:val="0000FF"/>
          </w:rPr>
          <w:t>Form of 2010 Restricted Stock Unit Agreement (International) under the 2006 Omnibus Award Plan (3 Year Variable Vesting) (incorporated</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by reference to Exhibit 99.5 to the Company’s Current Report on Form 8-K (File No. 1-33089) filed on February 4, 2010).</w:t>
        </w:r>
      </w:hyperlink>
    </w:p>
    <w:p>
      <w:pPr>
        <w:spacing w:after="0" w:line="83" w:lineRule="exact"/>
        <w:rPr>
          <w:sz w:val="20"/>
          <w:szCs w:val="20"/>
          <w:color w:val="auto"/>
        </w:rPr>
      </w:pPr>
    </w:p>
    <w:p>
      <w:pPr>
        <w:ind w:left="1080" w:right="58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58">
        <w:r>
          <w:rPr>
            <w:rFonts w:ascii="Arial" w:cs="Arial" w:eastAsia="Arial" w:hAnsi="Arial"/>
            <w:sz w:val="18"/>
            <w:szCs w:val="18"/>
            <w:u w:val="single" w:color="auto"/>
            <w:color w:val="0000FF"/>
          </w:rPr>
          <w:t>Amendment No. 3 to ExlService Holdings, Inc. 2006 Omnibus Award Plan (incorporated by reference to Exhibit 4.6 to the Company’s</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Registration Statement on Form S-8 (Registration No. 333-157076) filed February 2, 2009).</w:t>
        </w:r>
      </w:hyperlink>
    </w:p>
    <w:p>
      <w:pPr>
        <w:spacing w:after="0" w:line="130" w:lineRule="exact"/>
        <w:rPr>
          <w:sz w:val="20"/>
          <w:szCs w:val="20"/>
          <w:color w:val="auto"/>
        </w:rPr>
      </w:pPr>
    </w:p>
    <w:p>
      <w:pPr>
        <w:ind w:left="1080" w:right="560" w:hanging="103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59">
        <w:r>
          <w:rPr>
            <w:rFonts w:ascii="Arial" w:cs="Arial" w:eastAsia="Arial" w:hAnsi="Arial"/>
            <w:sz w:val="18"/>
            <w:szCs w:val="18"/>
            <w:u w:val="single" w:color="auto"/>
            <w:color w:val="0000FF"/>
          </w:rPr>
          <w:t>Form of Restricted Stock Unit Agreement (U.S.) under the 2006 Omnibus Award Plan (incorporated by reference to Exhibit 10.1 to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Company’s Quarterly Report on Form 10-Q (File No. 1-33089) filed on May 1, 2014).</w:t>
        </w:r>
      </w:hyperlink>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337"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Credit Agreement, dated as of October 24, 2014, among ExlService Holdings, Inc., JPMorgan Chase Bank, N.A., as administrative agent and</w:t>
              </w:r>
            </w:hyperlink>
          </w:p>
        </w:tc>
        <w:tc>
          <w:tcPr>
            <w:tcW w:w="1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co-lead arranger, Citibank, N.A., as co-lead arranger, and the other Loan Parties and Lenders thereto (incorporated by reference to Exhibit</w:t>
              </w:r>
            </w:hyperlink>
          </w:p>
        </w:tc>
        <w:tc>
          <w:tcPr>
            <w:tcW w:w="3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3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39</w:t>
              </w:r>
              <w:r>
                <w:rPr>
                  <w:rFonts w:ascii="Arial" w:cs="Arial" w:eastAsia="Arial" w:hAnsi="Arial"/>
                  <w:sz w:val="18"/>
                  <w:szCs w:val="18"/>
                  <w:color w:val="0000FF"/>
                  <w:w w:val="91"/>
                </w:rPr>
                <w:t xml:space="preserve"> to the Company’s Annual Report on Form 10-K (File No. 1-33089) filed on February 27, 2015).</w:t>
              </w:r>
            </w:hyperlink>
          </w:p>
        </w:tc>
        <w:tc>
          <w:tcPr>
            <w:tcW w:w="2920" w:type="dxa"/>
            <w:vAlign w:val="bottom"/>
            <w:gridSpan w:val="12"/>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9620" w:type="dxa"/>
            <w:vAlign w:val="bottom"/>
            <w:tcBorders>
              <w:bottom w:val="single" w:sz="8" w:color="0000FF"/>
            </w:tcBorders>
            <w:gridSpan w:val="11"/>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First Amendment to Credit Agreement and Incremental Facility Agreement, dated as of February 23, 2015, by and among ExlService</w:t>
              </w:r>
            </w:hyperlink>
          </w:p>
        </w:tc>
        <w:tc>
          <w:tcPr>
            <w:tcW w:w="6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Holdings, Inc., each of its subsidiaries party thereto, the Lenders party thereto and JPMorgan Chase Bank, N.A., as administrative agent for the</w:t>
              </w:r>
            </w:hyperlink>
          </w:p>
        </w:tc>
      </w:tr>
      <w:tr>
        <w:trPr>
          <w:trHeight w:val="196"/>
        </w:trPr>
        <w:tc>
          <w:tcPr>
            <w:tcW w:w="1040" w:type="dxa"/>
            <w:vAlign w:val="bottom"/>
          </w:tcPr>
          <w:p>
            <w:pPr>
              <w:spacing w:after="0"/>
              <w:rPr>
                <w:sz w:val="17"/>
                <w:szCs w:val="17"/>
                <w:color w:val="auto"/>
              </w:rPr>
            </w:pPr>
          </w:p>
        </w:tc>
        <w:tc>
          <w:tcPr>
            <w:tcW w:w="10300" w:type="dxa"/>
            <w:vAlign w:val="bottom"/>
            <w:gridSpan w:val="22"/>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Lenders (incorporated by reference to Exhibit 10.40 to the Company’s Annual Report on Form 10-K (File No. 1-33089) filed on February 27,</w:t>
              </w:r>
            </w:hyperlink>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2015).</w:t>
              </w:r>
            </w:hyperlink>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10300" w:type="dxa"/>
            <w:vAlign w:val="bottom"/>
            <w:gridSpan w:val="22"/>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ExlService Holdings, Inc. 2015 Amendment and Restatement of the 2006 Omnibus Award Plan (incorporated by reference to Exhibit 10.1 to</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the Company’s Current Report on Form 8-K (File No. 1-33089) filed on June 25, 2015).</w:t>
              </w:r>
            </w:hyperlink>
          </w:p>
        </w:tc>
        <w:tc>
          <w:tcPr>
            <w:tcW w:w="160" w:type="dxa"/>
            <w:vAlign w:val="bottom"/>
            <w:gridSpan w:val="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10280" w:type="dxa"/>
            <w:vAlign w:val="bottom"/>
            <w:tcBorders>
              <w:bottom w:val="single" w:sz="8" w:color="0000FF"/>
            </w:tcBorders>
            <w:gridSpan w:val="21"/>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Restricted Stock Unit Agreement (U.S.) under the ExlService Holdings, Inc. 2015 Amendment and Restatement of the 2006 Omnibus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2"/>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Award Plan (incorporated by reference to Exhibit 10.1 to the Company’s Quarterly Report on Form 10-Q (File No. 1-33089) filed on October</w:t>
              </w:r>
            </w:hyperlink>
          </w:p>
        </w:tc>
      </w:tr>
      <w:tr>
        <w:trPr>
          <w:trHeight w:val="196"/>
        </w:trPr>
        <w:tc>
          <w:tcPr>
            <w:tcW w:w="104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63">
              <w:r>
                <w:rPr>
                  <w:rFonts w:ascii="Arial" w:cs="Arial" w:eastAsia="Arial" w:hAnsi="Arial"/>
                  <w:sz w:val="18"/>
                  <w:szCs w:val="18"/>
                  <w:color w:val="0000FF"/>
                  <w:w w:val="86"/>
                </w:rPr>
                <w:t>27, 2016).</w:t>
              </w:r>
            </w:hyperlink>
          </w:p>
        </w:tc>
        <w:tc>
          <w:tcPr>
            <w:tcW w:w="140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10.36+</w:t>
            </w:r>
          </w:p>
        </w:tc>
        <w:tc>
          <w:tcPr>
            <w:tcW w:w="10280" w:type="dxa"/>
            <w:vAlign w:val="bottom"/>
            <w:tcBorders>
              <w:bottom w:val="single" w:sz="8" w:color="0000FF"/>
            </w:tcBorders>
            <w:gridSpan w:val="2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Form of Restricted Stock Unit Agreement (U.S.) under the ExlService Holdings, Inc. 2015 Amendment and Restatement of the 2006 Omnibus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2"/>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Award Plan “(incorporated by reference to Exhibit 10.40 to the Company’s Annual Report on Form 10-K (File No. 1-33089) filed on March</w:t>
              </w:r>
            </w:hyperlink>
          </w:p>
        </w:tc>
      </w:tr>
      <w:tr>
        <w:trPr>
          <w:trHeight w:val="196"/>
        </w:trPr>
        <w:tc>
          <w:tcPr>
            <w:tcW w:w="104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15, 2017).</w:t>
              </w:r>
            </w:hyperlink>
          </w:p>
        </w:tc>
        <w:tc>
          <w:tcPr>
            <w:tcW w:w="140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10.37</w:t>
            </w:r>
          </w:p>
        </w:tc>
        <w:tc>
          <w:tcPr>
            <w:tcW w:w="101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14">
              <w:r>
                <w:rPr>
                  <w:rFonts w:ascii="Arial" w:cs="Arial" w:eastAsia="Arial" w:hAnsi="Arial"/>
                  <w:sz w:val="18"/>
                  <w:szCs w:val="18"/>
                  <w:color w:val="0000FF"/>
                  <w:w w:val="90"/>
                </w:rPr>
                <w:t>Credit Agreement, dated as of November 21, 2017, among ExlService Holdings, Inc., the other loan parties thereto, the lenders party thereto,</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w:anchor="page114">
              <w:r>
                <w:rPr>
                  <w:rFonts w:ascii="Arial" w:cs="Arial" w:eastAsia="Arial" w:hAnsi="Arial"/>
                  <w:sz w:val="18"/>
                  <w:szCs w:val="18"/>
                  <w:color w:val="0000FF"/>
                  <w:w w:val="91"/>
                </w:rPr>
                <w:t>and Citibank, N.A., as administrative agent, Citibank, N.A. and PNC Capital Markets LLC, as joint lead arrangers and joint bookrunners, and</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8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w:anchor="page114">
              <w:r>
                <w:rPr>
                  <w:rFonts w:ascii="Arial" w:cs="Arial" w:eastAsia="Arial" w:hAnsi="Arial"/>
                  <w:sz w:val="18"/>
                  <w:szCs w:val="18"/>
                  <w:color w:val="0000FF"/>
                  <w:w w:val="89"/>
                </w:rPr>
                <w:t>JPMorgan Chase Bank, N.A., as syndication agent.</w:t>
              </w:r>
            </w:hyperlink>
          </w:p>
        </w:tc>
        <w:tc>
          <w:tcPr>
            <w:tcW w:w="6620" w:type="dxa"/>
            <w:vAlign w:val="bottom"/>
            <w:gridSpan w:val="15"/>
          </w:tcPr>
          <w:p>
            <w:pPr>
              <w:spacing w:after="0"/>
              <w:rPr>
                <w:sz w:val="17"/>
                <w:szCs w:val="17"/>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50">
              <w:r>
                <w:rPr>
                  <w:rFonts w:ascii="Arial" w:cs="Arial" w:eastAsia="Arial" w:hAnsi="Arial"/>
                  <w:sz w:val="18"/>
                  <w:szCs w:val="18"/>
                  <w:color w:val="0000FF"/>
                  <w:w w:val="89"/>
                </w:rPr>
                <w:t>Subsidiaries of the Company.</w:t>
              </w:r>
            </w:hyperlink>
          </w:p>
        </w:tc>
        <w:tc>
          <w:tcPr>
            <w:tcW w:w="8180" w:type="dxa"/>
            <w:vAlign w:val="bottom"/>
            <w:gridSpan w:val="19"/>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3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251">
              <w:r>
                <w:rPr>
                  <w:rFonts w:ascii="Arial" w:cs="Arial" w:eastAsia="Arial" w:hAnsi="Arial"/>
                  <w:sz w:val="18"/>
                  <w:szCs w:val="18"/>
                  <w:color w:val="0000FF"/>
                  <w:w w:val="90"/>
                </w:rPr>
                <w:t>Consent of Independent Registered Public Accounting Firm.</w:t>
              </w:r>
            </w:hyperlink>
          </w:p>
        </w:tc>
        <w:tc>
          <w:tcPr>
            <w:tcW w:w="5940" w:type="dxa"/>
            <w:vAlign w:val="bottom"/>
            <w:gridSpan w:val="14"/>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252">
              <w:r>
                <w:rPr>
                  <w:rFonts w:ascii="Arial" w:cs="Arial" w:eastAsia="Arial" w:hAnsi="Arial"/>
                  <w:sz w:val="18"/>
                  <w:szCs w:val="18"/>
                  <w:color w:val="0000FF"/>
                  <w:w w:val="91"/>
                </w:rPr>
                <w:t>Certification of the Chief Executive Officer of ExlService Holdings, pursuant to Rule 13a-14(a) of the Exchange Act, as adopted pursuant to</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252">
              <w:r>
                <w:rPr>
                  <w:rFonts w:ascii="Arial" w:cs="Arial" w:eastAsia="Arial" w:hAnsi="Arial"/>
                  <w:sz w:val="18"/>
                  <w:szCs w:val="18"/>
                  <w:color w:val="0000FF"/>
                  <w:w w:val="90"/>
                </w:rPr>
                <w:t>Section 302 of the Sarbanes-Oxley Act of 2002.</w:t>
              </w:r>
            </w:hyperlink>
          </w:p>
        </w:tc>
        <w:tc>
          <w:tcPr>
            <w:tcW w:w="6840" w:type="dxa"/>
            <w:vAlign w:val="bottom"/>
            <w:gridSpan w:val="18"/>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gridSpan w:val="22"/>
          </w:tcPr>
          <w:p>
            <w:pPr>
              <w:spacing w:after="0"/>
              <w:rPr>
                <w:rFonts w:ascii="Arial" w:cs="Arial" w:eastAsia="Arial" w:hAnsi="Arial"/>
                <w:sz w:val="18"/>
                <w:szCs w:val="18"/>
                <w:color w:val="0000FF"/>
                <w:w w:val="93"/>
              </w:rPr>
            </w:pPr>
            <w:hyperlink w:anchor="page253">
              <w:r>
                <w:rPr>
                  <w:rFonts w:ascii="Arial" w:cs="Arial" w:eastAsia="Arial" w:hAnsi="Arial"/>
                  <w:sz w:val="18"/>
                  <w:szCs w:val="18"/>
                  <w:color w:val="0000FF"/>
                  <w:w w:val="93"/>
                </w:rPr>
                <w:t>Certification of the Chief Financial Officer of ExlService Holdings, pursuant to Rule 13a-14(a) of the Exchange Act, as adopted pursuant to</w:t>
              </w:r>
            </w:hyperlink>
          </w:p>
        </w:tc>
      </w:tr>
      <w:tr>
        <w:trPr>
          <w:trHeight w:val="196"/>
        </w:trPr>
        <w:tc>
          <w:tcPr>
            <w:tcW w:w="104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253">
              <w:r>
                <w:rPr>
                  <w:rFonts w:ascii="Arial" w:cs="Arial" w:eastAsia="Arial" w:hAnsi="Arial"/>
                  <w:sz w:val="18"/>
                  <w:szCs w:val="18"/>
                  <w:color w:val="0000FF"/>
                  <w:w w:val="90"/>
                </w:rPr>
                <w:t>Section 302 of the Sarbanes-Oxley Act of 2002.</w:t>
              </w:r>
            </w:hyperlink>
          </w:p>
        </w:tc>
        <w:tc>
          <w:tcPr>
            <w:tcW w:w="6600" w:type="dxa"/>
            <w:vAlign w:val="bottom"/>
            <w:tcBorders>
              <w:top w:val="single" w:sz="8" w:color="0000FF"/>
            </w:tcBorders>
            <w:gridSpan w:val="9"/>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254">
              <w:r>
                <w:rPr>
                  <w:rFonts w:ascii="Arial" w:cs="Arial" w:eastAsia="Arial" w:hAnsi="Arial"/>
                  <w:sz w:val="18"/>
                  <w:szCs w:val="18"/>
                  <w:color w:val="0000FF"/>
                  <w:w w:val="90"/>
                </w:rPr>
                <w:t>Certification of the Chief Executive Officer pursuant to Rule 13a-14(b) of the Exchange Act and 18 U.S.C. Section 1350, as adopted pursuant</w:t>
              </w:r>
            </w:hyperlink>
          </w:p>
        </w:tc>
        <w:tc>
          <w:tcPr>
            <w:tcW w:w="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254">
              <w:r>
                <w:rPr>
                  <w:rFonts w:ascii="Arial" w:cs="Arial" w:eastAsia="Arial" w:hAnsi="Arial"/>
                  <w:sz w:val="18"/>
                  <w:szCs w:val="18"/>
                  <w:color w:val="0000FF"/>
                  <w:w w:val="90"/>
                </w:rPr>
                <w:t>to Section 906 of the Sarbanes-Oxley Act of 2002.</w:t>
              </w:r>
            </w:hyperlink>
          </w:p>
        </w:tc>
        <w:tc>
          <w:tcPr>
            <w:tcW w:w="6640" w:type="dxa"/>
            <w:vAlign w:val="bottom"/>
            <w:gridSpan w:val="16"/>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gridSpan w:val="22"/>
          </w:tcPr>
          <w:p>
            <w:pPr>
              <w:spacing w:after="0"/>
              <w:rPr>
                <w:rFonts w:ascii="Arial" w:cs="Arial" w:eastAsia="Arial" w:hAnsi="Arial"/>
                <w:sz w:val="18"/>
                <w:szCs w:val="18"/>
                <w:color w:val="0000FF"/>
                <w:w w:val="92"/>
              </w:rPr>
            </w:pPr>
            <w:hyperlink w:anchor="page255">
              <w:r>
                <w:rPr>
                  <w:rFonts w:ascii="Arial" w:cs="Arial" w:eastAsia="Arial" w:hAnsi="Arial"/>
                  <w:sz w:val="18"/>
                  <w:szCs w:val="18"/>
                  <w:color w:val="0000FF"/>
                  <w:w w:val="92"/>
                </w:rPr>
                <w:t>Certification of the Chief Financial Officer pursuant to Rule 13a-14(b) of the Exchange Act and 18 U.S.C. Section 1350, as adopted pursuant</w:t>
              </w:r>
            </w:hyperlink>
          </w:p>
        </w:tc>
      </w:tr>
      <w:tr>
        <w:trPr>
          <w:trHeight w:val="196"/>
        </w:trPr>
        <w:tc>
          <w:tcPr>
            <w:tcW w:w="104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255">
              <w:r>
                <w:rPr>
                  <w:rFonts w:ascii="Arial" w:cs="Arial" w:eastAsia="Arial" w:hAnsi="Arial"/>
                  <w:sz w:val="18"/>
                  <w:szCs w:val="18"/>
                  <w:color w:val="0000FF"/>
                  <w:w w:val="90"/>
                </w:rPr>
                <w:t>to Section 906 of the Sarbanes-Oxley Act of 2002.</w:t>
              </w:r>
            </w:hyperlink>
          </w:p>
        </w:tc>
        <w:tc>
          <w:tcPr>
            <w:tcW w:w="6520" w:type="dxa"/>
            <w:vAlign w:val="bottom"/>
            <w:tcBorders>
              <w:top w:val="single" w:sz="8" w:color="0000FF"/>
            </w:tcBorders>
            <w:gridSpan w:val="12"/>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22"/>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Item 601(b)(2) of Regulation S-K promulgated by the SEC, certain schedules to this agreement have been omitted. The Company hereby agrees to furnish supplementally to the SEC, upon its request, any or all of such omitted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82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ind w:left="5620" w:right="4840" w:hanging="5612"/>
        <w:spacing w:after="0" w:line="589" w:lineRule="auto"/>
        <w:tabs>
          <w:tab w:leader="none" w:pos="28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required to be filed as an Exhibit. 62</w:t>
      </w:r>
    </w:p>
    <w:p>
      <w:pPr>
        <w:sectPr>
          <w:pgSz w:w="11900" w:h="16838" w:orient="portrait"/>
          <w:cols w:equalWidth="0" w:num="1">
            <w:col w:w="11420"/>
          </w:cols>
          <w:pgMar w:left="240" w:top="337"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642"/>
        </w:trPr>
        <w:tc>
          <w:tcPr>
            <w:tcW w:w="952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460" w:type="dxa"/>
            <w:vAlign w:val="bottom"/>
          </w:tcPr>
          <w:p>
            <w:pPr>
              <w:jc w:val="center"/>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Sheets as of December 31, 2017 and 2016</w:t>
              </w:r>
            </w:hyperlink>
          </w:p>
        </w:tc>
        <w:tc>
          <w:tcPr>
            <w:tcW w:w="4860" w:type="dxa"/>
            <w:vAlign w:val="bottom"/>
            <w:gridSpan w:val="4"/>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68">
              <w:r>
                <w:rPr>
                  <w:rFonts w:ascii="Arial" w:cs="Arial" w:eastAsia="Arial" w:hAnsi="Arial"/>
                  <w:sz w:val="18"/>
                  <w:szCs w:val="18"/>
                  <w:color w:val="auto"/>
                  <w:w w:val="96"/>
                </w:rPr>
                <w:t>F-4</w:t>
              </w:r>
            </w:hyperlink>
          </w:p>
        </w:tc>
      </w:tr>
      <w:tr>
        <w:trPr>
          <w:trHeight w:val="372"/>
        </w:trPr>
        <w:tc>
          <w:tcPr>
            <w:tcW w:w="952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Income for the years ended December 31, 2017, 2016 and 2015</w:t>
              </w:r>
            </w:hyperlink>
          </w:p>
        </w:tc>
        <w:tc>
          <w:tcPr>
            <w:tcW w:w="1460" w:type="dxa"/>
            <w:vAlign w:val="bottom"/>
          </w:tcPr>
          <w:p>
            <w:pPr>
              <w:jc w:val="center"/>
              <w:spacing w:after="0"/>
              <w:rPr>
                <w:rFonts w:ascii="Arial" w:cs="Arial" w:eastAsia="Arial" w:hAnsi="Arial"/>
                <w:sz w:val="18"/>
                <w:szCs w:val="18"/>
                <w:color w:val="auto"/>
                <w:w w:val="96"/>
              </w:rPr>
            </w:pPr>
            <w:hyperlink w:anchor="page69">
              <w:r>
                <w:rPr>
                  <w:rFonts w:ascii="Arial" w:cs="Arial" w:eastAsia="Arial" w:hAnsi="Arial"/>
                  <w:sz w:val="18"/>
                  <w:szCs w:val="18"/>
                  <w:color w:val="auto"/>
                  <w:w w:val="96"/>
                </w:rPr>
                <w:t>F-5</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9520" w:type="dxa"/>
            <w:vAlign w:val="bottom"/>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Comprehensive Income for the years ended December 31, 2017, 2016 and 2015</w:t>
              </w:r>
            </w:hyperlink>
          </w:p>
        </w:tc>
        <w:tc>
          <w:tcPr>
            <w:tcW w:w="1460" w:type="dxa"/>
            <w:vAlign w:val="bottom"/>
          </w:tcPr>
          <w:p>
            <w:pPr>
              <w:jc w:val="center"/>
              <w:spacing w:after="0"/>
              <w:rPr>
                <w:rFonts w:ascii="Arial" w:cs="Arial" w:eastAsia="Arial" w:hAnsi="Arial"/>
                <w:sz w:val="18"/>
                <w:szCs w:val="18"/>
                <w:color w:val="auto"/>
                <w:w w:val="96"/>
              </w:rPr>
            </w:pPr>
            <w:hyperlink w:anchor="page70">
              <w:r>
                <w:rPr>
                  <w:rFonts w:ascii="Arial" w:cs="Arial" w:eastAsia="Arial" w:hAnsi="Arial"/>
                  <w:sz w:val="18"/>
                  <w:szCs w:val="18"/>
                  <w:color w:val="auto"/>
                  <w:w w:val="96"/>
                </w:rPr>
                <w:t>F-6</w:t>
              </w:r>
            </w:hyperlink>
          </w:p>
        </w:tc>
      </w:tr>
      <w:tr>
        <w:trPr>
          <w:trHeight w:val="372"/>
        </w:trPr>
        <w:tc>
          <w:tcPr>
            <w:tcW w:w="7780" w:type="dxa"/>
            <w:vAlign w:val="bottom"/>
            <w:tcBorders>
              <w:top w:val="single" w:sz="8" w:color="0000EE"/>
            </w:tcBorders>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Equity for the years ended December 31, 2017, 2016 and 2015</w:t>
              </w:r>
            </w:hyperlink>
          </w:p>
        </w:tc>
        <w:tc>
          <w:tcPr>
            <w:tcW w:w="1740" w:type="dxa"/>
            <w:vAlign w:val="bottom"/>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1">
              <w:r>
                <w:rPr>
                  <w:rFonts w:ascii="Arial" w:cs="Arial" w:eastAsia="Arial" w:hAnsi="Arial"/>
                  <w:sz w:val="18"/>
                  <w:szCs w:val="18"/>
                  <w:color w:val="auto"/>
                  <w:w w:val="96"/>
                </w:rPr>
                <w:t>F-7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 for the years ended December 31, 2017, 2016 and 2015</w:t>
              </w:r>
            </w:hyperlink>
          </w:p>
        </w:tc>
        <w:tc>
          <w:tcPr>
            <w:tcW w:w="2600" w:type="dxa"/>
            <w:vAlign w:val="bottom"/>
            <w:gridSpan w:val="2"/>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2">
              <w:r>
                <w:rPr>
                  <w:rFonts w:ascii="Arial" w:cs="Arial" w:eastAsia="Arial" w:hAnsi="Arial"/>
                  <w:sz w:val="18"/>
                  <w:szCs w:val="18"/>
                  <w:color w:val="auto"/>
                  <w:w w:val="96"/>
                </w:rPr>
                <w:t>F-8</w:t>
              </w:r>
            </w:hyperlink>
          </w:p>
        </w:tc>
      </w:tr>
      <w:tr>
        <w:trPr>
          <w:trHeight w:val="37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6360" w:type="dxa"/>
            <w:vAlign w:val="bottom"/>
            <w:gridSpan w:val="6"/>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4">
              <w:r>
                <w:rPr>
                  <w:rFonts w:ascii="Arial" w:cs="Arial" w:eastAsia="Arial" w:hAnsi="Arial"/>
                  <w:sz w:val="18"/>
                  <w:szCs w:val="18"/>
                  <w:color w:val="auto"/>
                  <w:w w:val="96"/>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337"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ExlService Holdings,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audited the accompanying consolidated balance sheets of ExlService Holdings, Inc. (the Company) as of December 31, 2017 and 2016, the related consolidated statements of income, comprehensive income,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27,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37"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ExlService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We have audited ExlService Holdings, Inc.’s internal control over financial reporting as of December 31, 2017, based on criteria established in Internal Control-Integrated Framework issued by the Committee of Sponsoring Organizations of the Treadway Commission (2013 framework), (the COSO criteria). In our opinion, ExlService Holdings, Inc. (the Company) maintained, in all material respects, effective internal control over financial reporting as of December 31, 2017, based on the COSO criteria.</w:t>
      </w:r>
    </w:p>
    <w:p>
      <w:pPr>
        <w:spacing w:after="0" w:line="1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Health Integrated Inc., which is included in the 2017 consolidated financial statements of the Company and constituted 3.8% each of total and net assets, as of December 31, 2017 and 0.1% of revenues, for the year then ended. Our audit of internal control over financial reporting of the Company also did not include an evaluation of the internal control over financial reporting of Health Integrated Inc.</w:t>
      </w:r>
    </w:p>
    <w:p>
      <w:pPr>
        <w:spacing w:after="0" w:line="1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ExlService Holdings, Inc. as of December 31, 2017 and 2016, and the related consolidated statements of income, comprehensive income, equity and cash flows for each of the three years in the period ended December 31, 2017, and the related notes and our report dated February 27, 2018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right="20" w:firstLine="405"/>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Ernst &amp; Young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2018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37"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EXLSERVICE HOLDINGS, INC.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86,795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9,781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 income tax, net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29,582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452,817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378,824</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66,757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Deferred taxes, net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204,481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Investment in equity affiliate</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824,775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706,528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10,716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61,366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144,249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124,231</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224,730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174,350</w:t>
            </w: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Arial" w:cs="Arial" w:eastAsia="Arial" w:hAnsi="Arial"/>
                <w:sz w:val="16"/>
                <w:szCs w:val="16"/>
                <w:color w:val="auto"/>
              </w:rPr>
              <w:t>Commitments and contingencies (Note 23)</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$0.001 par value; 100,000,000 shares authorized, 36,790,751 shares issued and 33,888,733</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shares outstanding as of December 31, 2017 and 35,699,819 shares issued and 33,628,109 shares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December 31, 2016</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Additional paid-in-capital</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322,246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(45,710)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703,637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592,347</w:t>
            </w:r>
          </w:p>
        </w:tc>
        <w:tc>
          <w:tcPr>
            <w:tcW w:w="0" w:type="dxa"/>
            <w:vAlign w:val="bottom"/>
          </w:tcPr>
          <w:p>
            <w:pPr>
              <w:spacing w:after="0"/>
              <w:rPr>
                <w:sz w:val="1"/>
                <w:szCs w:val="1"/>
                <w:color w:val="auto"/>
              </w:rPr>
            </w:pPr>
          </w:p>
        </w:tc>
      </w:tr>
      <w:tr>
        <w:trPr>
          <w:trHeight w:val="200"/>
        </w:trPr>
        <w:tc>
          <w:tcPr>
            <w:tcW w:w="7520" w:type="dxa"/>
            <w:vAlign w:val="bottom"/>
          </w:tcPr>
          <w:p>
            <w:pPr>
              <w:ind w:left="20"/>
              <w:spacing w:after="0"/>
              <w:rPr>
                <w:sz w:val="20"/>
                <w:szCs w:val="20"/>
                <w:color w:val="auto"/>
              </w:rPr>
            </w:pPr>
            <w:r>
              <w:rPr>
                <w:rFonts w:ascii="Arial" w:cs="Arial" w:eastAsia="Arial" w:hAnsi="Arial"/>
                <w:sz w:val="16"/>
                <w:szCs w:val="16"/>
                <w:color w:val="auto"/>
                <w:w w:val="99"/>
              </w:rPr>
              <w:t>Less: 2,902,018 shares as of December 31, 2017 and 2,071,710 shares as of December 31, 2016, held in</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20" w:type="dxa"/>
            <w:vAlign w:val="bottom"/>
          </w:tcPr>
          <w:p>
            <w:pPr>
              <w:ind w:left="20"/>
              <w:spacing w:after="0"/>
              <w:rPr>
                <w:sz w:val="20"/>
                <w:szCs w:val="20"/>
                <w:color w:val="auto"/>
              </w:rPr>
            </w:pPr>
            <w:r>
              <w:rPr>
                <w:rFonts w:ascii="Arial" w:cs="Arial" w:eastAsia="Arial" w:hAnsi="Arial"/>
                <w:sz w:val="16"/>
                <w:szCs w:val="16"/>
                <w:color w:val="auto"/>
              </w:rPr>
              <w:t>treasury, at cost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(103,816)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599,821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531,985</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600,045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532,178</w:t>
            </w:r>
          </w:p>
        </w:tc>
        <w:tc>
          <w:tcPr>
            <w:tcW w:w="0" w:type="dxa"/>
            <w:vAlign w:val="bottom"/>
          </w:tcPr>
          <w:p>
            <w:pPr>
              <w:spacing w:after="0"/>
              <w:rPr>
                <w:sz w:val="1"/>
                <w:szCs w:val="1"/>
                <w:color w:val="auto"/>
              </w:rPr>
            </w:pPr>
          </w:p>
        </w:tc>
      </w:tr>
      <w:tr>
        <w:trPr>
          <w:trHeight w:val="231"/>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824,775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12700</wp:posOffset>
            </wp:positionV>
            <wp:extent cx="2435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-130175</wp:posOffset>
            </wp:positionV>
            <wp:extent cx="2435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532"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gridSpan w:val="6"/>
          </w:tcPr>
          <w:p>
            <w:pPr>
              <w:jc w:val="right"/>
              <w:ind w:right="70"/>
              <w:spacing w:after="0"/>
              <w:rPr>
                <w:sz w:val="20"/>
                <w:szCs w:val="20"/>
                <w:color w:val="auto"/>
              </w:rPr>
            </w:pPr>
            <w:r>
              <w:rPr>
                <w:rFonts w:ascii="Arial" w:cs="Arial" w:eastAsia="Arial" w:hAnsi="Arial"/>
                <w:sz w:val="16"/>
                <w:szCs w:val="16"/>
                <w:b w:val="1"/>
                <w:bCs w:val="1"/>
                <w:color w:val="auto"/>
                <w:w w:val="90"/>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762,310</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685,988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628,492</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Cost of revenues (exclusive of depreciation and amortization)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495,586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447,956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402,917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266,724</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238,032</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225,575</w:t>
            </w:r>
          </w:p>
        </w:tc>
        <w:tc>
          <w:tcPr>
            <w:tcW w:w="0" w:type="dxa"/>
            <w:vAlign w:val="bottom"/>
          </w:tcPr>
          <w:p>
            <w:pPr>
              <w:spacing w:after="0"/>
              <w:rPr>
                <w:sz w:val="1"/>
                <w:szCs w:val="1"/>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102,567</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88,648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77,293</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50,582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49,474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38,549</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34,580</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31,465</w:t>
            </w:r>
          </w:p>
        </w:tc>
        <w:tc>
          <w:tcPr>
            <w:tcW w:w="0" w:type="dxa"/>
            <w:vAlign w:val="bottom"/>
          </w:tcPr>
          <w:p>
            <w:pPr>
              <w:spacing w:after="0"/>
              <w:rPr>
                <w:sz w:val="1"/>
                <w:szCs w:val="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194,499</w:t>
            </w: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173,810</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158,232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72,225</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67,343</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Foreign exchange gain,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15,408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83,884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75,776</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36,146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22,151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48,888</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61,733</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51,565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33,897,916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33,566,367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33,298,104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35,110,210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34,563,319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34,178,340</w:t>
            </w:r>
          </w:p>
        </w:tc>
        <w:tc>
          <w:tcPr>
            <w:tcW w:w="0" w:type="dxa"/>
            <w:vAlign w:val="bottom"/>
          </w:tcPr>
          <w:p>
            <w:pPr>
              <w:spacing w:after="0"/>
              <w:rPr>
                <w:sz w:val="1"/>
                <w:szCs w:val="1"/>
                <w:color w:val="auto"/>
              </w:rPr>
            </w:pPr>
          </w:p>
        </w:tc>
      </w:tr>
      <w:tr>
        <w:trPr>
          <w:trHeight w:val="27"/>
        </w:trPr>
        <w:tc>
          <w:tcPr>
            <w:tcW w:w="7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40" w:type="dxa"/>
            <w:vAlign w:val="bottom"/>
            <w:gridSpan w:val="5"/>
          </w:tcPr>
          <w:p>
            <w:pPr>
              <w:jc w:val="right"/>
              <w:ind w:right="110"/>
              <w:spacing w:after="0"/>
              <w:rPr>
                <w:sz w:val="20"/>
                <w:szCs w:val="20"/>
                <w:color w:val="auto"/>
              </w:rPr>
            </w:pPr>
            <w:r>
              <w:rPr>
                <w:rFonts w:ascii="Arial" w:cs="Arial" w:eastAsia="Arial" w:hAnsi="Arial"/>
                <w:sz w:val="16"/>
                <w:szCs w:val="16"/>
                <w:b w:val="1"/>
                <w:bCs w:val="1"/>
                <w:color w:val="auto"/>
                <w:w w:val="93"/>
              </w:rPr>
              <w:t>Year ended December 31,</w:t>
            </w:r>
          </w:p>
        </w:tc>
        <w:tc>
          <w:tcPr>
            <w:tcW w:w="11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51,565</w:t>
            </w:r>
          </w:p>
        </w:tc>
      </w:tr>
      <w:tr>
        <w:trPr>
          <w:trHeight w:val="243"/>
        </w:trPr>
        <w:tc>
          <w:tcPr>
            <w:tcW w:w="698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Unrealized gain/(loss) on effective cash flow hedges, net of taxes $5,821, $1,734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6980" w:type="dxa"/>
            <w:vAlign w:val="bottom"/>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(12,510)</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Retirement benefits, net of taxes $164, ($204) and $22,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43"/>
        </w:trPr>
        <w:tc>
          <w:tcPr>
            <w:tcW w:w="6980" w:type="dxa"/>
            <w:vAlign w:val="bottom"/>
          </w:tcPr>
          <w:p>
            <w:pPr>
              <w:ind w:left="420"/>
              <w:spacing w:after="0"/>
              <w:rPr>
                <w:sz w:val="20"/>
                <w:szCs w:val="20"/>
                <w:color w:val="auto"/>
              </w:rPr>
            </w:pPr>
            <w:r>
              <w:rPr>
                <w:rFonts w:ascii="Arial" w:cs="Arial" w:eastAsia="Arial" w:hAnsi="Arial"/>
                <w:sz w:val="18"/>
                <w:szCs w:val="18"/>
                <w:color w:val="auto"/>
              </w:rPr>
              <w:t>Reclassification adjustments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Realized loss/(gain) on cash flow hedges, net of taxes ($2,110), ($1,190) and ($49),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980" w:type="dxa"/>
            <w:vAlign w:val="bottom"/>
            <w:shd w:val="clear" w:color="auto" w:fill="CCEEFF"/>
          </w:tcPr>
          <w:p>
            <w:pPr>
              <w:ind w:left="50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6980" w:type="dxa"/>
            <w:vAlign w:val="bottom"/>
            <w:tcBorders>
              <w:bottom w:val="single" w:sz="8" w:color="CCEEFF"/>
            </w:tcBorders>
          </w:tcPr>
          <w:p>
            <w:pPr>
              <w:ind w:left="720"/>
              <w:spacing w:after="0" w:line="270" w:lineRule="exact"/>
              <w:rPr>
                <w:sz w:val="20"/>
                <w:szCs w:val="20"/>
                <w:color w:val="auto"/>
              </w:rPr>
            </w:pPr>
            <w:r>
              <w:rPr>
                <w:rFonts w:ascii="Arial" w:cs="Arial" w:eastAsia="Arial" w:hAnsi="Arial"/>
                <w:sz w:val="18"/>
                <w:szCs w:val="18"/>
                <w:color w:val="auto"/>
              </w:rPr>
              <w:t>Retirement benefits, net of taxes $104, $63 and $53, respectively</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r>
      <w:tr>
        <w:trPr>
          <w:trHeight w:val="264"/>
        </w:trPr>
        <w:tc>
          <w:tcPr>
            <w:tcW w:w="6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39,749</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line="255" w:lineRule="auto"/>
        <w:tabs>
          <w:tab w:leader="none" w:pos="5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 operating expenses, foreign exchange gain, as applicable in the consolidated statements of income. See Note 15 to the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consolidated statements of income. See Note 18 to the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37"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2015</w:t>
      </w:r>
    </w:p>
    <w:p>
      <w:pPr>
        <w:spacing w:after="0" w:line="46" w:lineRule="exact"/>
        <w:rPr>
          <w:sz w:val="20"/>
          <w:szCs w:val="20"/>
          <w:color w:val="auto"/>
        </w:rPr>
      </w:pPr>
    </w:p>
    <w:p>
      <w:pPr>
        <w:ind w:left="40" w:right="80"/>
        <w:spacing w:after="0" w:line="281" w:lineRule="auto"/>
        <w:rPr>
          <w:sz w:val="20"/>
          <w:szCs w:val="20"/>
          <w:color w:val="auto"/>
        </w:rPr>
      </w:pPr>
      <w:r>
        <w:rPr>
          <w:rFonts w:ascii="Arial" w:cs="Arial" w:eastAsia="Arial" w:hAnsi="Arial"/>
          <w:sz w:val="13"/>
          <w:szCs w:val="13"/>
          <w:color w:val="auto"/>
        </w:rPr>
        <w:t>Stock issued on exercise/vesting of equity awards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December 31, 2015</w:t>
      </w:r>
    </w:p>
    <w:p>
      <w:pPr>
        <w:spacing w:after="0" w:line="57" w:lineRule="exact"/>
        <w:rPr>
          <w:sz w:val="20"/>
          <w:szCs w:val="20"/>
          <w:color w:val="auto"/>
        </w:rPr>
      </w:pPr>
    </w:p>
    <w:p>
      <w:pPr>
        <w:ind w:left="40" w:right="80"/>
        <w:spacing w:after="0" w:line="281" w:lineRule="auto"/>
        <w:rPr>
          <w:sz w:val="20"/>
          <w:szCs w:val="20"/>
          <w:color w:val="auto"/>
        </w:rPr>
      </w:pPr>
      <w:r>
        <w:rPr>
          <w:rFonts w:ascii="Arial" w:cs="Arial" w:eastAsia="Arial" w:hAnsi="Arial"/>
          <w:sz w:val="13"/>
          <w:szCs w:val="13"/>
          <w:color w:val="auto"/>
        </w:rPr>
        <w:t>Stock issued on exercise/vesting of equity awards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December 31, 2016</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auto"/>
        </w:rPr>
        <w:t>Impact on adoption of ASU 2016-09</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2017</w:t>
      </w:r>
    </w:p>
    <w:p>
      <w:pPr>
        <w:spacing w:after="0" w:line="46" w:lineRule="exact"/>
        <w:rPr>
          <w:sz w:val="20"/>
          <w:szCs w:val="20"/>
          <w:color w:val="auto"/>
        </w:rPr>
      </w:pPr>
    </w:p>
    <w:p>
      <w:pPr>
        <w:ind w:left="40" w:right="80"/>
        <w:spacing w:after="0" w:line="281" w:lineRule="auto"/>
        <w:rPr>
          <w:sz w:val="20"/>
          <w:szCs w:val="20"/>
          <w:color w:val="auto"/>
        </w:rPr>
      </w:pPr>
      <w:r>
        <w:rPr>
          <w:rFonts w:ascii="Arial" w:cs="Arial" w:eastAsia="Arial" w:hAnsi="Arial"/>
          <w:sz w:val="13"/>
          <w:szCs w:val="13"/>
          <w:color w:val="auto"/>
        </w:rPr>
        <w:t>Stock issued on exercise/vesting of equity awards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4"/>
                <w:szCs w:val="4"/>
                <w:color w:val="auto"/>
              </w:rPr>
            </w:pPr>
          </w:p>
        </w:tc>
        <w:tc>
          <w:tcPr>
            <w:tcW w:w="82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Controlling</w:t>
            </w:r>
          </w:p>
        </w:tc>
        <w:tc>
          <w:tcPr>
            <w:tcW w:w="140" w:type="dxa"/>
            <w:vAlign w:val="bottom"/>
          </w:tcPr>
          <w:p>
            <w:pPr>
              <w:spacing w:after="0"/>
              <w:rPr>
                <w:sz w:val="4"/>
                <w:szCs w:val="4"/>
                <w:color w:val="auto"/>
              </w:rPr>
            </w:pPr>
          </w:p>
        </w:tc>
        <w:tc>
          <w:tcPr>
            <w:tcW w:w="64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Income/(Loss)</w:t>
            </w: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34,203,352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233,173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269,424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(55,509)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(1,297,885)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(27,964)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419,158</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577,849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16,047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16,047</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(392,093)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(14,195)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(11,816)</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(11,816)</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34,781,201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254,052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320,989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(67,325)</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(1,689,978)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(42,159)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465,771</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918,618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6,499</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19,770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19,770</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4,326</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(381,732)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(18,203)</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(7,732)</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(7,732)</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61,733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61,733</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284,646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382,722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(75,057)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(2,071,710)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(60,362)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532,178</w:t>
            </w:r>
          </w:p>
        </w:tc>
        <w:tc>
          <w:tcPr>
            <w:tcW w:w="0" w:type="dxa"/>
            <w:vAlign w:val="bottom"/>
          </w:tcPr>
          <w:p>
            <w:pPr>
              <w:spacing w:after="0"/>
              <w:rPr>
                <w:sz w:val="1"/>
                <w:szCs w:val="1"/>
                <w:color w:val="auto"/>
              </w:rPr>
            </w:pPr>
          </w:p>
        </w:tc>
      </w:tr>
      <w:tr>
        <w:trPr>
          <w:trHeight w:val="357"/>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35,699,819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290,645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378,176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(75,057)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(2,071,710)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(60,362)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533,631</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1,090,932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8,561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23,041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23,041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(830,308)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(43,454)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(43,454)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29,347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29,347</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48,888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48,888</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427,064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(45,710)</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(103,816)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600,045</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-4613275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-4218940</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-3823970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-3481070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-3138170</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-2743835</wp:posOffset>
            </wp:positionV>
            <wp:extent cx="724662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-2348865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-2005965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-1663065</wp:posOffset>
            </wp:positionV>
            <wp:extent cx="724662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-1268730</wp:posOffset>
            </wp:positionV>
            <wp:extent cx="72466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-874395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-530860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-187960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40"/>
            <w:col w:w="9240"/>
          </w:cols>
          <w:pgMar w:left="240" w:top="337"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Refer note 2(o) to consolidated financial statements for details.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37"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r>
      <w:tr>
        <w:trPr>
          <w:trHeight w:val="33"/>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48,888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61,733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51,565</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31,465</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16,047</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Unrealized foreign exchange (gain)/loss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(3,798)</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Allowance for doubtful accounts receivable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(9,087)</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Accrued employee costs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8,528</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Advance income tax, net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8,865</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113,140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100,258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96,691</w:t>
            </w:r>
          </w:p>
        </w:tc>
      </w:tr>
      <w:tr>
        <w:trPr>
          <w:trHeight w:val="27"/>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(25,585)</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Investment in equity affiliate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(182,471)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(129,050)</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redemption of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125,365</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(73,540)</w:t>
            </w:r>
          </w:p>
        </w:tc>
      </w:tr>
      <w:tr>
        <w:trPr>
          <w:trHeight w:val="27"/>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Proceeds from non-controlling interest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Acquisition of treasury stock</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(14,195)</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1,458</w:t>
            </w:r>
          </w:p>
        </w:tc>
      </w:tr>
      <w:tr>
        <w:trPr>
          <w:trHeight w:val="27"/>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10,020</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r>
      <w:tr>
        <w:trPr>
          <w:trHeight w:val="27"/>
        </w:trPr>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cash and cash equivalents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28,824</w:t>
            </w:r>
          </w:p>
        </w:tc>
      </w:tr>
      <w:tr>
        <w:trPr>
          <w:trHeight w:val="27"/>
        </w:trPr>
        <w:tc>
          <w:tcPr>
            <w:tcW w:w="6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360"/>
          </w:cols>
          <w:pgMar w:left="240" w:top="337" w:right="299" w:bottom="0" w:gutter="0" w:footer="0" w:header="0"/>
        </w:sectPr>
      </w:pPr>
    </w:p>
    <w:p>
      <w:pPr>
        <w:ind w:left="100" w:right="2320"/>
        <w:spacing w:after="0" w:line="412" w:lineRule="auto"/>
        <w:rPr>
          <w:sz w:val="20"/>
          <w:szCs w:val="20"/>
          <w:color w:val="auto"/>
        </w:rPr>
      </w:pPr>
      <w:r>
        <w:rPr>
          <w:rFonts w:ascii="Arial" w:cs="Arial" w:eastAsia="Arial" w:hAnsi="Arial"/>
          <w:sz w:val="16"/>
          <w:szCs w:val="16"/>
          <w:color w:val="auto"/>
        </w:rPr>
        <w:t>Cash and cash equivalents, beginning of year Cash and cash equivalents, end of year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paid for interest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paid for taxes, net of refund</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Assets acquired under capital lease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213,155</w:t>
            </w:r>
          </w:p>
        </w:tc>
        <w:tc>
          <w:tcPr>
            <w:tcW w:w="6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205,323</w:t>
            </w:r>
          </w:p>
        </w:tc>
        <w:tc>
          <w:tcPr>
            <w:tcW w:w="6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176,499</w:t>
            </w:r>
          </w:p>
        </w:tc>
      </w:tr>
      <w:tr>
        <w:trPr>
          <w:trHeight w:val="27"/>
        </w:trPr>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86,795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213,155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205,323</w:t>
            </w:r>
          </w:p>
        </w:tc>
      </w:tr>
      <w:tr>
        <w:trPr>
          <w:trHeight w:val="27"/>
        </w:trPr>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6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1,188</w:t>
            </w:r>
          </w:p>
        </w:tc>
      </w:tr>
      <w:tr>
        <w:trPr>
          <w:trHeight w:val="27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19,128</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15,667</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11,505</w:t>
            </w:r>
          </w:p>
        </w:tc>
      </w:tr>
      <w:tr>
        <w:trPr>
          <w:trHeight w:val="27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-1045845</wp:posOffset>
            </wp:positionV>
            <wp:extent cx="716089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7160895" cy="18859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-668020</wp:posOffset>
            </wp:positionV>
            <wp:extent cx="716089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-325120</wp:posOffset>
            </wp:positionV>
            <wp:extent cx="716089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960"/>
          </w:cols>
          <w:pgMar w:left="240" w:top="337" w:right="299" w:bottom="0" w:gutter="0" w:footer="0" w:header="0"/>
          <w:type w:val="continuous"/>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1">
            <w:col w:w="11360"/>
          </w:cols>
          <w:pgMar w:left="240" w:top="337" w:right="299"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125"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 and organization</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(collectively, the “Company”), operates in Business Process Management ("BPM") industry providing operations management services and analytics services that helps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United States generally accepted accounting principles (“US GAAP”). The accompanying financial statements have been prepared on a consolidated basis and reflect the financial statements of ExlService Holdings and all of its subsidiaries and includes the Company's share in the results of its associates.</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financial statements of subsidiaries are fully consolidated on a line-by-line basis. Intragroup balances and transactions, and income and expenses arising from intra-group transactions, are eliminated while preparing the said financial statements. The un-realized gains resulting from intra-group transactions are also eliminated. Similarly, the un-realized losses are eliminated, unless the transaction provides evidence as to impairment of the asset transferred.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investments in equity affiliate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Non-controlling interest is the equity in a subsidiary not attributable, directly or indirectly, to the parent and it represents the minority partner’s interest in the operation of ExlService Colombia S.A.S. Non-controlling interest consists of the amount of such interest at the date of obtaining control over the subsidiary, and the non-controlling interest's share of changes in equity since that date. The non-controlling interest in the operations for the years ended December 31, 2017, 2016 and 2015 was insignificant and are included under general and administrative expenses in the consolidated statements of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related amount of revenue and expenses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account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estimates to complete fixed price contracts.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accordance with its policy, the Company reviews the estimated useful lives of its property and equipment on an ongoing basis.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Translation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of the subsidiary at historical exchange rates. All transaction foreign exchange gains and losses are recorded in the accompanying consolidated statements of income.</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Resulting translation adjustments are included in accumulated other comprehensive loss in the consolidated balance sheet.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its revenues from operations management and analytics services. Revenues from operations management services are recognized primarily on a time-and-material based, transaction-based, outcome-based, cost-plus and fixed-price basis; revenues from analytics services are recognized primarily on a time-and-material and fixed price basis. The services provided by the Company under its contracts with the customer generally contain one unit of accounting except for the software and related services contracts involving implementation services and post contract maintenance services. In such multiple element arrangements, revenue is allocated to maintenance based on the price charged when that element is sold separately (vendor specific objective evidence or “VSOE”). Revenues are recognized when the four basic criteria are met; persuasive evidence of an arrangement exists, the sales price is fixed or determinable, services have been performed and collection of amounts billed is reasonably assured.</w:t>
      </w:r>
    </w:p>
    <w:p>
      <w:pPr>
        <w:spacing w:after="0" w:line="16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Analytics services including modeling, targeting and designing of campaigns and mail marketing including email marketing and other digital solutions is typically recognized on delivery of such campaigns. In respect of arrangements involving subcontracting, in part or whole, of the assigned work, the Company evaluates revenues to be recognized under Accounting Standard Codification ("ASC") topic 605-45, “Revenue recognition - Principal agent considerations”.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for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 To a lesser extent, software and related services contracts may contain software license, related services and maintenance elements as a multiple element arrangement. In such cases, revenue is allocated to maintenance based on the price charged when that element is sold separately (vendor specific objective evidence or “VSOE”).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accrues revenues for services rendered between the last billing date and the balance sheet date. Accordingly, its accounts receivable include amounts for services, as unbilled accounts receivables, that the Company has performed and for which an invoice has not yet been issued to the client.</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defers the revenues and related cost of revenue while a process is under migration and recognizes such revenues and costs ratably over the period during which the related services are expected to be performed. The deferred costs are limited to the amounts of the deferred revenues. Deferred revenue also includes the amount for which the services have been rendered but the other conditions of revenue recognition are not met, for example where the Company does not have the persuasive evidence of the arrangements.</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Reimbursements of out-of-pocket expenses received from clients are included as part of revenues. Reimbursements of out-of-pocket expenses included in revenues were $17,982, $21,812 and $18,848 for the years ended December 31, 2017,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 and Restricted Cash</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Restricted cash represents amounts on deposit with banks against bank guarantees issued through banks for equipment imports and for demands against pending income tax assessments (see Note 23 for details). These deposits with banks have maturity dates before and after December 31, 2018. Restricted cash also includes client funds held in dedicated bank accounts.</w:t>
      </w:r>
    </w:p>
    <w:p>
      <w:pPr>
        <w:spacing w:after="0" w:line="2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Investments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mutual fund investments are in debt and money market funds which invest in instruments of various maturities in India. These investments are accounted for in accordance with the fair value option under ASC topic 825-10 and change in fair value is included in interest and other income. The fair value is represented by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aging and prior collection experience, current market conditions, clients’ financial condition and the amount of receivables in dispute to ascertain the ultimate collectability of these receivables. As of December 31, 2017 and 2016, the Company had $2,923 and $241 of allowance for doubtful accounts, respectively.</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Accounts receivable include unbilled accounts receivable which represent revenues on contracts to be billed, in subsequent periods, as per the terms of the related contracts. As of December 31, 2017 and 2016, the Company had $49,125 and $34,785 of unbilled accounts receivable,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impairment. Equipment held under capital leases are capitalized at the commencement of the lease at the lower of present value of minimum lease payments at the inception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leases or its fair value. Advances paid towards acquisition of property and equipment and the cost of property and equipment not yet placed in service before the end of the reporting period are classified as capital work in progress.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200" w:lineRule="exact"/>
        <w:rPr>
          <w:sz w:val="20"/>
          <w:szCs w:val="20"/>
          <w:color w:val="auto"/>
        </w:rPr>
      </w:pP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3-5 years</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3-8 years</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2-5 years</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r>
      <w:tr>
        <w:trPr>
          <w:trHeight w:val="27"/>
        </w:trPr>
        <w:tc>
          <w:tcPr>
            <w:tcW w:w="7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Costs incurred for developing software or enhancements to the existing software products to be sold and/or used for internal use are capitalized once preliminary project stage is complete and technological feasibility, as defined in ASC 985 and ASC 350, has been established, i.e., it is probable that the software will be used as intended. Technological feasibility is established upon completion of a detailed design program or, in its absence, completion of a working model. Costs that qualify as software development costs include (i) external direct costs of materials and services utilized in developing or obtaining computer software, (ii) compensation and related benefits for employees who are directly associated with the software project, and (iii) interest costs (if any) incurred while developing the computer software. The capitalized costs are amortized on a straight-line basis over the estimated useful life. Costs associated with preliminary project stage activities, training, maintenance and all post-implementation stage activities are expensed as incurred.</w:t>
      </w:r>
    </w:p>
    <w:p>
      <w:pPr>
        <w:spacing w:after="0" w:line="27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Business Combinations, Goodwill and Other Intangible Assets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ASC topic 805, “Business Combinations”, requires that the purchase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 Under ASC topic 350, “Intangibles-Goodwill and Other”, all assets and liabilities of the acquired businesses, including goodwill, are assigned to reporting units. Acquisition related costs are expensed as incurred under general and administrative expenses.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of the reporting units to which it is assigned. Recoverability of goodwill is evaluated using a two-step process.</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goodwill impairment test is performed to measure the amount of impairment loss, if any. The second step of the process involves a comparison of the implied fair value and carrying value of the goodwill of that reporting unit. If the carrying value of the goodwill exceeds the implied fair value of the goodwill, an impairment loss is recognized in an amount equal to the excess. Goodwill of a reporting unit is tested for impairment annually or more frequently if an event occurs or circumstances change that would more likely than not reduce the fair value of the reporting unit below its carrying amount.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definite lived intangible assets are amortized over their estimated useful lives as listed below using a straight-line method:</w:t>
      </w: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418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41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5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Investment in equity affiliate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Investments in equity affiliate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 The Company periodically reviews the carrying value of its investment to determine if there has been any other than temporary decline in carrying value. The investment balance is increased or decreased for cash contribution and distributions to or from, respectively, these investee.</w:t>
      </w:r>
    </w:p>
    <w:p>
      <w:pPr>
        <w:spacing w:after="0" w:line="2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Long-lived assets, including intangible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The impairment amount to be recognized is measured as the amount by which the carrying value of the assets exceeds their fair value. The Company determines fair value by using a discounted cash flow approach.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Derivative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hedges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The Company early adopted ASU 2017-12, Derivative and Hedging (Topic 815), Targeted Improvements to Accounting for Hedging Activities. Pursuant to this adoption, effective January 1, 2017, the resultant foreign exchange gain/(loss) upon settlement of cash flow hedges are recorded in the consolidated statements of income along with the underlying hedged item in the same income statement line as either part of “Cost of revenue”, “General and administrative expenses”, “Selling and marketing expenses”, “Depreciation and amortization”, as applicable.</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Prior to January 1, 2017, the resultant foreign exchange gain/(loss) on settlement of cash flow hedges and changes in the fair value of cash flow hedges deemed ineffective have been recorded in “Foreign exchange gain, net” in the consolidated statements of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uses derivatives instruments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Employee Benefits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its liabilities for compensated absences dependent on whether the obligation is attributable to employee services already rendered, relates to rights that vest or accumulate and payment is probable and estimable.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over the requisite service period of the award. Forfeitures are accounted when the actual forfeitures occur.</w:t>
      </w:r>
    </w:p>
    <w:p>
      <w:pPr>
        <w:spacing w:after="0" w:line="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the Company’s 2015 Amendment and Restatement of the 2006 Omnibus Award Plan (the “2015 Plan”), the Company grants performance-based restricted stock units (“PRSUs”) to executive officers and other specified employees. 50% of the PRSUs cliff vest based on a revenue target ("PU") at the end of a three-year period. The remaining 50% vest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achievement of both targets.</w:t>
      </w:r>
    </w:p>
    <w:p>
      <w:pPr>
        <w:spacing w:after="0" w:line="6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 The expense related to the unvested PUs as of December 31, 2017 was based on the Company's assessment that the performance criteria for these grants would be met at the 100% performance target level during the respective years of vesting.</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is expensed on a straight-line basis over the vesting period. All compensation expense related to the MUs will be recognized if the requisite performance period is fulfilled, even if the market condition is not achieved.</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The Company adopted this ASU effective January 1, 2017. The following summarizes the effects of the adoption on the Company's consolidated financial statements:</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Upon adoption of this standard, all excess tax benefits and tax deficiencies are recognized as income tax expense or benefit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The tax effects of exercised or vested awards are treated as discrete items in the reporting period in which they occur. The Company also recognizes excess tax benefits regardless of whether the benefit reduces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payable in the current period. As a result, the Company recognized discrete adjustments to income tax expense for the year ended December 31, 2017 in the amount of $9,797 related to excess tax benefits. No adjustment is recorded for any windfall benefits previously recorded in Additional Paid-In Capital.</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Prior to adoption, stock-based compensation expense was recognized on a straight line basis, net of estimated forfeitures, such that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recognized only for stock-based awards that are expected to vest. A forfeiture rate was estimated annually and revised, if necessary, in subsequent periods if actual forfeitures differed from initial estimates. Upon adoption, the Company will no longer apply a forfeiture rate and instead will account for forfeitures as they occur. The Company has applied the modified retrospective adoption approach as of January 1, 2017 and has recognized a cumulative-effect adjustment to reduce additional paid-in-capital of $5,999 and retained earnings of $4,546 (net of deferred tax effect of $1,453).</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The Company historically accounted for excess tax benefits on the statement of cash flows as a financing activity. Upon</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standard, excess tax benefits are classified along with other income tax cash flows as an operating activity. The Company has elected to adopt this portion of the standard on a prospective basis beginning in 2017 and accordingly prior periods have not been adjusted.</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 The Company uses the treasury stock method to compute diluted earnings per share, unless the effect would be anti-dilutive.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excluded the excess tax benefits from the assumed proceeds available to repurchase shares in the computation of diluted earnings per share.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Income Taxes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Financial Instruments and Concentration of Credit Risk</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short-term investments, accounts receivable,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accrued expenses, and other current liabilities, recorded amounts approximate fair value due to the relatively short maturity periods of such instruments.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time deposits, mutual fund investments,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Arial" w:cs="Arial" w:eastAsia="Arial" w:hAnsi="Arial"/>
          <w:sz w:val="14"/>
          <w:szCs w:val="14"/>
          <w:color w:val="auto"/>
        </w:rPr>
        <w:t>s.</w:t>
      </w:r>
      <w:r>
        <w:rPr>
          <w:rFonts w:ascii="Arial" w:cs="Arial" w:eastAsia="Arial" w:hAnsi="Arial"/>
          <w:sz w:val="18"/>
          <w:szCs w:val="18"/>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Lease Obligations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Leases under which the Company assumes substantially all risks and rewards of the ownership are classified as capital lease. When acquired, such assets are capitalized at fair value or present value of minimum committed lease payments at the inception of the lease, whichever is lower.</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leases its office facilities under non-cancellable operating lease agreements. Office facilities subject to an operating lease and the related lease payments are not recorded on the Company’s balance sheet. Lease payments under operating lease are recognized as an expense on a straight line basis in the consolidated statement of income over the lease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Government Grants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Government grants related to income are recognized as a reduction of expenses in the consolidated statement of income when there is a reasonable assurance that the entity will comply with the conditions attached to the grant and that the grants will be received.</w:t>
      </w:r>
    </w:p>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Earnings per share</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except where the results would be anti-dilutive.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Commitments and contingencies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Recent Accounting Pronouncements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 This standard replaces existing revenue recognition guidance with a comprehensive revenue measurement and recognition standard and expanded disclosure requirements. The ASU also includes guidance regarding the accounting for contract acquisition costs, including sales commissions. The Company will adopt the new standard as of January 1, 2018 using the modified retrospective transition method, applied to those contracts which were not completed as of that date. Upon adoption, the Company will recognize the cumulative effect of adopting this guidance as an adjustment to our opening balance of retained earnings. Prior periods will not be retrospectively adjusted.</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year the Company has worked to assess all potential impacts of the new standard and prepare for adoption. As part of this process, the Company closely monitored FASB activity and other relevant information on specific interpretative issues. During the adoption process, findings and progress of the project were regularly reported to senior management and the Audit Committee. We expect that adoption of Topic 606 will not have a material impact to our consolidated financial statements, including the presentation of revenues in our consolidated statements of income.</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key area impacted upon adoption of the new standard relates to the accounting for commissions costs. Specifically, under the new standard a portion of sales commissions cost will be recorded as an asset and recognized as an operating expense over the time period that the Company expects to recover the costs. Currently, the Company expenses sales commission costs as incurred.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Additionally, some contracts contain provisions with regard to “service levels” to be achieved by the Company, failing which or exceeding which the Company is liable to make payments to the customer or receive performance bonuses from the customers. Such service level payment or bonuses need to be estimated at contract inception and accounted for in revenue. Based on an evaluation of the service levels penalties for past periods, the Company believes that the impact of this clause will not be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identified changes to the Company systems processes and internal control to meet the standard reporting and disclosure requirement.</w:t>
      </w:r>
    </w:p>
    <w:p>
      <w:pPr>
        <w:spacing w:after="0" w:line="1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2016, the FASB issued ASU No. 2016-02, Leases (Topic 842). ASU No. 2016-02 requires the identification of arrangements that should be accounted for as leases by lessees. In general, for lease arrangements exceeding a twelve month term, these arrangements must now be recognized as assets and liabilities on the balance sheet of the lessee. Under ASU No.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No. 2016-02 must be calculated using the applicable incremental borrowing rate at the date of adoption. In addition, ASU No.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7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June 2016, FASB issued ASU No.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No. 2016-13 is not expected to have a material effect on the Company's consolidated financial statements.</w:t>
      </w:r>
    </w:p>
    <w:p>
      <w:pPr>
        <w:spacing w:after="0" w:line="5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2016, FASB issued ASU No. 2016-15, Classification of Certain Cash Receipts and Cash Payments. The amendments apply to all entities that are required to present a statement of cash flows under Topic 230. The amendments are an improvement to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does not expect the adoption of this ASU to have a material effect on its financial position or results of operations.</w:t>
      </w:r>
    </w:p>
    <w:p>
      <w:pPr>
        <w:spacing w:after="0" w:line="5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November 2016, FASB issued ASU No. 2016-18, Statement of cash flows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Early adoption is permitted with an adjustment reflected as of the beginning of the fiscal year in which the amendment is adoption. The Company does not expect the adoption of this ASU to have a material effect on the presentation of its statement of cash flows.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 The Company is currently evaluating the impact that the adoption of this standard will have on its consolidated financial statements.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2017, FASB issued ASU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 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Early adoption is permitted as of the beginning of an annual period. The Company does not expect the adoption of this ASU to have a material impact on its consolidated financial statements.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FASB issued ASU 2017-09, Compensation - Stock Compensation (Topic 718): Scope of Modification Accounting. This ASU provides guidance on the types of changes to the terms or conditions of share-based payment awards to which an entity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will adopt this guidance for modification that occur after January 1, 2018.</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2017, FASB issued ASU 2017-12, Derivatives and Hedging (Topic 815): Targeted Improvements to Accounting for Hedging Activities. This ASU amends and simplifies existing guidance in order to allow companies to more accurately present the economic effects of risk management activities in their financial statements. This includes simplifying how hedge results are presented and disclosed both on the face of the financial statements and in the footnotes, and provides relief around the documentation and assessment requirements. The amendments are effective for fiscal years beginning after December 15, 2018 and interim periods within those fiscal years, with early adoption being permitted. The Company has early adopted the guidance beginning January 1, 2017. The amendments of this ASU have an impact on the way the Company has been presenting the impact of hedge ineffectiveness and the settlement gain or loss for cash flow hedges in the prior years. The amended presentation have been applied prospectively from the date of adoption, whereby the entire change in the fair value of the hedging instrument included in the assessment of hedge effectiveness is recorded in other comprehensive income. Such amount, upon settlement of cash flow hedges, are presented to earnings in the same income statement line item that is used to present the earnings effect of the hedged item when the hedged item affects earnings. See Note 15 to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&amp; Geographical Information</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the company organizes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and Accounting (“F&amp;A”),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(consisting of the Company's remaining operating segments which includes the Banking and Financial services, Utilities and Consulting operating segments).</w:t>
      </w:r>
    </w:p>
    <w:p>
      <w:pPr>
        <w:spacing w:after="0" w:line="2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2015, the Company previously reported and presented two reportable segments: Operations Management (which included Insurance, Healthcare, Travel, Transportation and Logistics, Finance and Accounting, Banking and Financial services, Utilities and Consulting operating segments) and Analytics.</w:t>
      </w:r>
    </w:p>
    <w:p>
      <w:pPr>
        <w:spacing w:after="0" w:line="7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Segment information for all prior period presented herein has been changed to conform to the current presentation. This change in segment presentation does not affect the Company's consolidated statements of income and comprehensive income, balance sheets or statements of cash flows.</w:t>
      </w:r>
    </w:p>
    <w:p>
      <w:pPr>
        <w:spacing w:after="0" w:line="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early adopted ASU 2017-12, Derivative and Hedging (Topic 815), Targeted Improvements to Accounting for Hedging Activities. Pursuant to this adoption, effective January 1, 2017, the resultant foreign exchange gain/(loss) upon settlement of cash flow hedges are recorded along with the underlying hedged item in the same income statement line as either part of “Cost of revenue”, “General and administrative expenses”, “Selling and marketing expenses”, "Depreciation and Amortization”, as applicable.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Revenues and cost of revenues for each of the years ended December 31, 2017, 2016 and 2015,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176530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2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234,794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77,013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70,951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86,527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83,082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209,943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762,310</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495,586</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75,265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27,530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29,542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26,385</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72,920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266,724</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194,499</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12,809</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36,146</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48,888</w:t>
            </w: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54"/>
        </w:trPr>
        <w:tc>
          <w:tcPr>
            <w:tcW w:w="2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 2016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206,327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69,366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165,734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685,988</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447,956</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60,124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27,404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31,114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35,439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59,393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238,032</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173,810</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19,662</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61,733</w:t>
            </w: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54"/>
        </w:trPr>
        <w:tc>
          <w:tcPr>
            <w:tcW w:w="2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 2015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199,878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55,209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62,264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110,486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122,151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628,492</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402,917</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65,682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17,985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24,758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31,658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42,179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43,313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225,575</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158,232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8,433</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24,211</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51,565</w:t>
            </w: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of the Company by service type, were as follows:</w:t>
      </w:r>
    </w:p>
    <w:p>
      <w:pPr>
        <w:spacing w:after="0" w:line="293"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552,367</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520,254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506,341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209,943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122,151</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762,310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685,988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628,492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BPM and related services include revenues of the Company's five industry-focused operating segments, one capability operating segment and the consulting operating segment, which provides services related to operations management services.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gridSpan w:val="8"/>
          </w:tcPr>
          <w:p>
            <w:pPr>
              <w:jc w:val="right"/>
              <w:ind w:right="24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626,336</w:t>
            </w: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554,945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496,418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108,640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109,905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108,868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21,138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135,974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131,043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762,310</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685,988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by geographic area, are as follows:</w:t>
            </w: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260" w:type="dxa"/>
            <w:vAlign w:val="bottom"/>
          </w:tcPr>
          <w:p>
            <w:pPr>
              <w:spacing w:after="0"/>
              <w:rPr>
                <w:sz w:val="20"/>
                <w:szCs w:val="20"/>
                <w:color w:val="auto"/>
              </w:rPr>
            </w:pPr>
          </w:p>
        </w:tc>
        <w:tc>
          <w:tcPr>
            <w:tcW w:w="150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87"/>
              </w:rPr>
              <w:t>December 31,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5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 w:type="dxa"/>
            <w:vAlign w:val="bottom"/>
            <w:tcBorders>
              <w:right w:val="single" w:sz="8" w:color="CCEEFF"/>
            </w:tcBorders>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right w:val="single" w:sz="8" w:color="CCEEFF"/>
            </w:tcBorders>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Philippines</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 w:type="dxa"/>
            <w:vAlign w:val="bottom"/>
            <w:tcBorders>
              <w:right w:val="single" w:sz="8" w:color="CCEEFF"/>
            </w:tcBorders>
          </w:tcPr>
          <w:p>
            <w:pPr>
              <w:spacing w:after="0"/>
              <w:rPr>
                <w:sz w:val="22"/>
                <w:szCs w:val="22"/>
                <w:color w:val="auto"/>
              </w:rPr>
            </w:pPr>
          </w:p>
        </w:tc>
        <w:tc>
          <w:tcPr>
            <w:tcW w:w="5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For a discussion of risks attendant to foreign operations, see “Item 1A. Risk Factors - Risks Related to the International Nature of Our Business”.</w:t>
      </w: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240" w:top="121"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 Quarterly Financial Data (Unaudited)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results for the years ended December 31, 2017 and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2017</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Year ended</w:t>
            </w: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189,057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197,875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762,310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266,724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48,888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1.44</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4"/>
              </w:rPr>
              <w:t>Weighted-average number of shares used in computing</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33,845,560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33,819,320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33,838,374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34,086,711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33,897,916</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35,108,882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34,993,226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35,043,987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34,086,711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35,110,210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23,041</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13,975</w:t>
            </w: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2016</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Year ended</w:t>
            </w: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5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685,988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58,657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58,452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61,490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238,032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number of shares used in computing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33,380,028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33,621,444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33,624,401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33,638,170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33,566,367</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34,351,657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34,510,400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34,675,485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34,714,308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34,563,319</w:t>
            </w: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11,873</w:t>
            </w:r>
          </w:p>
        </w:tc>
      </w:tr>
    </w:tbl>
    <w:p>
      <w:pPr>
        <w:spacing w:after="0" w:line="13" w:lineRule="exact"/>
        <w:rPr>
          <w:sz w:val="20"/>
          <w:szCs w:val="20"/>
          <w:color w:val="auto"/>
        </w:rPr>
      </w:pPr>
    </w:p>
    <w:p>
      <w:pPr>
        <w:jc w:val="both"/>
        <w:ind w:firstLine="8"/>
        <w:spacing w:after="0" w:line="259" w:lineRule="auto"/>
        <w:tabs>
          <w:tab w:leader="none" w:pos="1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of quarterly basic and diluted earnings per share and weighted average number of shares used in computing earnings per share will not be equal to year end basic and diluted earnings per share and weighted average number of shares used in computing earnings per share, respectively. For the quarter ended December 31, 2017, 1,206,335 weighted average common shares were considered anti-dilutive and not included in computing diluted earnings per share.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2017, the Company early adopted ASU 2017-12, Derivative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for each of the quarters of 2017. See Note 15 for further details.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9"/>
          </w:tcPr>
          <w:p>
            <w:pPr>
              <w:jc w:val="center"/>
              <w:ind w:right="40"/>
              <w:spacing w:after="0"/>
              <w:rPr>
                <w:sz w:val="20"/>
                <w:szCs w:val="20"/>
                <w:color w:val="auto"/>
              </w:rPr>
            </w:pPr>
            <w:r>
              <w:rPr>
                <w:rFonts w:ascii="Arial" w:cs="Arial" w:eastAsia="Arial" w:hAnsi="Arial"/>
                <w:sz w:val="16"/>
                <w:szCs w:val="16"/>
                <w:b w:val="1"/>
                <w:bCs w:val="1"/>
                <w:color w:val="auto"/>
                <w:w w:val="90"/>
              </w:rPr>
              <w:t>Year ended December 31,</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30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48,888</w:t>
            </w:r>
          </w:p>
        </w:tc>
        <w:tc>
          <w:tcPr>
            <w:tcW w:w="98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61,733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51,565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33,897,916</w:t>
            </w: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33,566,367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33,298,104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Dilutive effect of stock based awards</w:t>
            </w: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1,212,294</w:t>
            </w:r>
          </w:p>
        </w:tc>
        <w:tc>
          <w:tcPr>
            <w:tcW w:w="15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996,952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880,236</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35,110,210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34,563,319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34,178,340</w:t>
            </w:r>
          </w:p>
        </w:tc>
        <w:tc>
          <w:tcPr>
            <w:tcW w:w="0" w:type="dxa"/>
            <w:vAlign w:val="bottom"/>
          </w:tcPr>
          <w:p>
            <w:pPr>
              <w:spacing w:after="0"/>
              <w:rPr>
                <w:sz w:val="1"/>
                <w:szCs w:val="1"/>
                <w:color w:val="auto"/>
              </w:rPr>
            </w:pPr>
          </w:p>
        </w:tc>
      </w:tr>
      <w:tr>
        <w:trPr>
          <w:trHeight w:val="67"/>
        </w:trPr>
        <w:tc>
          <w:tcPr>
            <w:tcW w:w="1300" w:type="dxa"/>
            <w:vAlign w:val="bottom"/>
            <w:tcBorders>
              <w:bottom w:val="single" w:sz="8" w:color="CCEEFF"/>
            </w:tcBorders>
          </w:tcPr>
          <w:p>
            <w:pPr>
              <w:spacing w:after="0"/>
              <w:rPr>
                <w:sz w:val="5"/>
                <w:szCs w:val="5"/>
                <w:color w:val="auto"/>
              </w:rPr>
            </w:pPr>
          </w:p>
        </w:tc>
        <w:tc>
          <w:tcPr>
            <w:tcW w:w="48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72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98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98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140" w:type="dxa"/>
            <w:vAlign w:val="bottom"/>
            <w:gridSpan w:val="2"/>
          </w:tcPr>
          <w:p>
            <w:pPr>
              <w:ind w:left="40"/>
              <w:spacing w:after="0"/>
              <w:rPr>
                <w:sz w:val="20"/>
                <w:szCs w:val="20"/>
                <w:color w:val="auto"/>
              </w:rPr>
            </w:pPr>
            <w:r>
              <w:rPr>
                <w:rFonts w:ascii="Arial" w:cs="Arial" w:eastAsia="Arial" w:hAnsi="Arial"/>
                <w:sz w:val="18"/>
                <w:szCs w:val="18"/>
                <w:color w:val="auto"/>
                <w:w w:val="97"/>
              </w:rPr>
              <w:t>Weighted average common shares considered anti-dilutive and not included in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computing diluted earnings per share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151,961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92,538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73,896</w:t>
            </w:r>
          </w:p>
        </w:tc>
        <w:tc>
          <w:tcPr>
            <w:tcW w:w="0" w:type="dxa"/>
            <w:vAlign w:val="bottom"/>
          </w:tcPr>
          <w:p>
            <w:pPr>
              <w:spacing w:after="0"/>
              <w:rPr>
                <w:sz w:val="1"/>
                <w:szCs w:val="1"/>
                <w:color w:val="auto"/>
              </w:rPr>
            </w:pPr>
          </w:p>
        </w:tc>
      </w:tr>
      <w:tr>
        <w:trPr>
          <w:trHeight w:val="783"/>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6. Other Income, net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Other Income, net consists of the following:</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gridSpan w:val="9"/>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w w:val="89"/>
              </w:rPr>
              <w:t>2017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1,673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2,904</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mutual fund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3,902</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15,408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7,027</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vMerge w:val="restart"/>
          </w:tcPr>
          <w:p>
            <w:pPr>
              <w:ind w:left="4240"/>
              <w:spacing w:after="0"/>
              <w:rPr>
                <w:sz w:val="20"/>
                <w:szCs w:val="20"/>
                <w:color w:val="auto"/>
              </w:rPr>
            </w:pPr>
            <w:r>
              <w:rPr>
                <w:rFonts w:ascii="Arial" w:cs="Arial" w:eastAsia="Arial" w:hAnsi="Arial"/>
                <w:sz w:val="18"/>
                <w:szCs w:val="18"/>
                <w:color w:val="auto"/>
              </w:rPr>
              <w:t>F-23</w:t>
            </w: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3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Estimated useful lives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Owned Assets:</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Network equipment and computers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65,381</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1620" w:type="dxa"/>
            <w:vAlign w:val="bottom"/>
          </w:tcPr>
          <w:p>
            <w:pPr>
              <w:jc w:val="center"/>
              <w:ind w:left="252"/>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59,325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44,617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31,192</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1620" w:type="dxa"/>
            <w:vAlign w:val="bottom"/>
          </w:tcPr>
          <w:p>
            <w:pPr>
              <w:jc w:val="center"/>
              <w:ind w:left="252"/>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19,667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15,426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162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Capital work in progress</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164,097</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48,529</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 of property and equipment and internally generated software costs not yet ready to be placed in service.</w:t>
      </w:r>
    </w:p>
    <w:p>
      <w:pPr>
        <w:spacing w:after="0" w:line="17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consolidated statements of income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w w:val="92"/>
              </w:rPr>
              <w:t>Year ended December 31,</w:t>
            </w:r>
          </w:p>
        </w:tc>
        <w:tc>
          <w:tcPr>
            <w:tcW w:w="13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4"/>
              <w:spacing w:after="0"/>
              <w:rPr>
                <w:sz w:val="20"/>
                <w:szCs w:val="20"/>
                <w:color w:val="auto"/>
              </w:rPr>
            </w:pPr>
            <w:r>
              <w:rPr>
                <w:rFonts w:ascii="Arial" w:cs="Arial" w:eastAsia="Arial" w:hAnsi="Arial"/>
                <w:sz w:val="16"/>
                <w:szCs w:val="16"/>
                <w:b w:val="1"/>
                <w:bCs w:val="1"/>
                <w:color w:val="auto"/>
              </w:rPr>
              <w:t>2015</w:t>
            </w:r>
          </w:p>
        </w:tc>
      </w:tr>
      <w:tr>
        <w:trPr>
          <w:trHeight w:val="33"/>
        </w:trPr>
        <w:tc>
          <w:tcPr>
            <w:tcW w:w="4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w:t>
            </w: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2017, the depreciation and amortization expenses set forth above includes the effect of the foreign exchange gain/(loss) upon settlement of cash flow hedges, amounting to $435 for the year ended December 31, 2017 (see Note 15 to the consolidated financial statements for further details).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89"/>
              </w:rPr>
              <w:t>As of</w:t>
            </w:r>
          </w:p>
        </w:tc>
        <w:tc>
          <w:tcPr>
            <w:tcW w:w="162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December 31, 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2,242</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Less : Accumulated amortization</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336</w:t>
            </w:r>
          </w:p>
        </w:tc>
      </w:tr>
      <w:tr>
        <w:trPr>
          <w:trHeight w:val="27"/>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December 31, 2017, there were no changes in estimated useful lives of property and equipment.</w:t>
      </w:r>
    </w:p>
    <w:p>
      <w:pPr>
        <w:spacing w:after="0" w:line="221" w:lineRule="exact"/>
        <w:rPr>
          <w:sz w:val="20"/>
          <w:szCs w:val="20"/>
          <w:color w:val="auto"/>
        </w:rPr>
      </w:pPr>
    </w:p>
    <w:p>
      <w:pPr>
        <w:ind w:right="6960" w:firstLine="8"/>
        <w:spacing w:after="0" w:line="628" w:lineRule="auto"/>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Goodwill and Intangible Assets Health Integrated, Inc.</w:t>
      </w:r>
    </w:p>
    <w:p>
      <w:pPr>
        <w:spacing w:after="0" w:line="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December 22, 2017, a wholly owned subsidiary of the Company entered into an Asset Purchase Agreement to acquire substantially all the assets and assumed certain liabilities of Health Integrated, Inc. (“Health Integrated”), a company based in Tampa, Florida. The initial purchase consideration consisted of $22,577 in cash including working capital adjustment. The purchase agreement allows sellers the ability to earn up to $5,000 as earn-out, based on the achievement of certain performance goals by Health Integrated during the 2018 calendar year. The earn-out has an estimated fair value of $920.</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portion of the purchase consideration otherwise payable was placed into escrow as security for the post-closing working capital adjustments and the indemnification obligations under the Asset Purchase Agreement.</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Health Integrated is a Florida-based care management company that provides end-to-end analytics- and behavioral IP-enabled care management services including case management, utilization management, disease management, special needs programs, and multichronic care management on behalf of health plans. Health Integrated serves millions of lives in the Medicaid, Medicare, and dual eligible populations. It is known for its strong capabilities in improving member health status through behavioral change. Accordingly, the Company paid a premium for the acquisition, which is reflected in the goodwill recognized from the purchase price allocation. The acquisition of Health Integrated is included in the Healthcare reportable segment.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preliminary allocated the purchase price to the net tangible and intangible assets based on their fair values as set forth below:</w:t>
      </w:r>
    </w:p>
    <w:p>
      <w:pPr>
        <w:spacing w:after="0" w:line="200" w:lineRule="exact"/>
        <w:rPr>
          <w:sz w:val="20"/>
          <w:szCs w:val="20"/>
          <w:color w:val="auto"/>
        </w:rPr>
      </w:pP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6"/>
                <w:szCs w:val="16"/>
                <w:b w:val="1"/>
                <w:bCs w:val="1"/>
                <w:color w:val="auto"/>
              </w:rPr>
              <w:t>Amount</w:t>
            </w:r>
          </w:p>
        </w:tc>
      </w:tr>
      <w:tr>
        <w:trPr>
          <w:trHeight w:val="33"/>
        </w:trPr>
        <w:tc>
          <w:tcPr>
            <w:tcW w:w="9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(7,193)</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6,760</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43"/>
        </w:trPr>
        <w:tc>
          <w:tcPr>
            <w:tcW w:w="9100" w:type="dxa"/>
            <w:vAlign w:val="bottom"/>
          </w:tcPr>
          <w:p>
            <w:pPr>
              <w:ind w:left="380"/>
              <w:spacing w:after="0"/>
              <w:rPr>
                <w:sz w:val="20"/>
                <w:szCs w:val="20"/>
                <w:color w:val="auto"/>
              </w:rPr>
            </w:pPr>
            <w:r>
              <w:rPr>
                <w:rFonts w:ascii="Arial" w:cs="Arial" w:eastAsia="Arial" w:hAnsi="Arial"/>
                <w:sz w:val="18"/>
                <w:szCs w:val="18"/>
                <w:color w:val="auto"/>
              </w:rPr>
              <w:t>Trade names and trademarks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15,957</w:t>
            </w:r>
          </w:p>
        </w:tc>
      </w:tr>
      <w:tr>
        <w:trPr>
          <w:trHeight w:val="257"/>
        </w:trPr>
        <w:tc>
          <w:tcPr>
            <w:tcW w:w="910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23,549</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Health Integrated acquisition is deductible for tax purposes.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customer relationships from the Health Integrated acquisition are being amortized over the weighted average useful life of 7.0 years and developed technology and trademarks are being amortized over the useful life of 1.0 year and 2.0 years,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topic 805, "Business Combination", the preliminary allocation of the purchase price to the tangible and intangible assets and liabilities acquired may change for a period of up to one year from the date of the acquisition. The Company's purchase accounting for Health Integrated as of December 31, 2017 was incomplete and the Company expects to complete the working capital adjustment and valuation of the tangible assets, intangible assets and liabilities assumed as of the acquisition date during the first quarter of 2018. Accordingly, the Company may adjust the amounts recorded as of December 31, 2017 to reflect the final valuations of assets acquired or liabilities assumed.</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year ended December 31, 2017, the Company recognized $795 as acquisition related costs. Such amounts are included in general and administrative expenses in the consolidated statements of income. The Company’s results of operations for the year ended December 31, 2017 includes insignificant amount of revenues and net income from its Health Integrated acquisition from December 22, 2017 through December 31, 2017.</w:t>
      </w:r>
    </w:p>
    <w:p>
      <w:pPr>
        <w:spacing w:after="0" w:line="16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Subsequent to December 31, 2017, the Company also issued 4,444 shares of restricted stock units with an aggregate fair value of $275 to certain key employees of Health Integrated, each of whom accepted employment positions with the Company upon consummation of the combination. The restricted stock units vest proportionally over four years and the fair value of these grants will be recognized as compensation expense on a straight-line basis over the vesting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unaudited pro forma results of operations have been prepared using the acquisition method of accounting to give effect to the Health Integrated acquisition as though it occurred on January 1, 2016. The Company completed its acquisition of Health Integrated on December 22, 2017 and accordingly Health Integrated’s operations for the period from December 22, 2017 to December 31, 2017 are included in the Company’s consolidated statement of income. The pro forma amounts reflect certain adjustments, such as depreciation and amortization on assets acquired, interest expense related to liabilities not assumed by the Company and facility costs for certain facilities not acquired. The unaudited pro forma financial information is presented for illustrative purposes only, is based on a preliminary purchase price allocation, and is not necessarily indicative of the results of operations that would have actually been reported had the acquisitions occurred on January 1, 2016, nor is it necessarily indicative of the future results of operations of the combined company.</w:t>
      </w:r>
    </w:p>
    <w:p>
      <w:pPr>
        <w:spacing w:after="0" w:line="368"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4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801,101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729,938</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46,998</w:t>
            </w:r>
          </w:p>
        </w:tc>
        <w:tc>
          <w:tcPr>
            <w:tcW w:w="100" w:type="dxa"/>
            <w:vAlign w:val="bottom"/>
          </w:tcPr>
          <w:p>
            <w:pPr>
              <w:spacing w:after="0"/>
              <w:rPr>
                <w:sz w:val="21"/>
                <w:szCs w:val="21"/>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58,232</w:t>
            </w:r>
          </w:p>
        </w:tc>
      </w:tr>
      <w:tr>
        <w:trPr>
          <w:trHeight w:val="27"/>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Basic</w:t>
            </w:r>
          </w:p>
        </w:tc>
        <w:tc>
          <w:tcPr>
            <w:tcW w:w="42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3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28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675"/>
        </w:trPr>
        <w:tc>
          <w:tcPr>
            <w:tcW w:w="3240" w:type="dxa"/>
            <w:vAlign w:val="bottom"/>
          </w:tcPr>
          <w:p>
            <w:pPr>
              <w:spacing w:after="0"/>
              <w:rPr>
                <w:sz w:val="24"/>
                <w:szCs w:val="24"/>
                <w:color w:val="auto"/>
              </w:rPr>
            </w:pPr>
          </w:p>
        </w:tc>
        <w:tc>
          <w:tcPr>
            <w:tcW w:w="4280" w:type="dxa"/>
            <w:vAlign w:val="bottom"/>
            <w:gridSpan w:val="2"/>
          </w:tcPr>
          <w:p>
            <w:pPr>
              <w:jc w:val="right"/>
              <w:ind w:right="2140"/>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the Company’s goodwill balance as of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Insurance</w:t>
            </w:r>
          </w:p>
        </w:tc>
        <w:tc>
          <w:tcPr>
            <w:tcW w:w="26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w w:val="97"/>
              </w:rPr>
              <w:t>Healthcare</w:t>
            </w:r>
          </w:p>
        </w:tc>
        <w:tc>
          <w:tcPr>
            <w:tcW w:w="30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6"/>
                <w:szCs w:val="16"/>
                <w:b w:val="1"/>
                <w:bCs w:val="1"/>
                <w:color w:val="auto"/>
              </w:rPr>
              <w:t>TT&amp;L</w:t>
            </w:r>
          </w:p>
        </w:tc>
        <w:tc>
          <w:tcPr>
            <w:tcW w:w="30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F&amp;A</w:t>
            </w:r>
          </w:p>
        </w:tc>
        <w:tc>
          <w:tcPr>
            <w:tcW w:w="22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All Other</w:t>
            </w:r>
          </w:p>
        </w:tc>
        <w:tc>
          <w:tcPr>
            <w:tcW w:w="26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Analytics</w:t>
            </w:r>
          </w:p>
        </w:tc>
        <w:tc>
          <w:tcPr>
            <w:tcW w:w="3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13,278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47,891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49,940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171,535</w:t>
            </w: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13,598</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16,108</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as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38,110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19,276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12,983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47,537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63,538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186,770</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15,957</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15,957</w:t>
            </w: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1,754</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13,679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63,538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204,481</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the results of the impairment testing performed during the year ended December 31, 2017, the Company’s goodwill was not impaired. The Company makes every reasonable effort to ensure that it accurately estimates the fair value of the reporting units. However, future changes in the assumptions used to make these estimates could result in an impairment loss.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5"/>
          </w:tcPr>
          <w:p>
            <w:pPr>
              <w:ind w:left="1440"/>
              <w:spacing w:after="0"/>
              <w:rPr>
                <w:sz w:val="20"/>
                <w:szCs w:val="20"/>
                <w:color w:val="auto"/>
              </w:rPr>
            </w:pPr>
            <w:r>
              <w:rPr>
                <w:rFonts w:ascii="Arial" w:cs="Arial" w:eastAsia="Arial" w:hAnsi="Arial"/>
                <w:sz w:val="16"/>
                <w:szCs w:val="16"/>
                <w:b w:val="1"/>
                <w:bCs w:val="1"/>
                <w:color w:val="auto"/>
                <w:w w:val="99"/>
              </w:rPr>
              <w:t>As of December 31, 2017</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Carrying Amount</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40" w:type="dxa"/>
            <w:vAlign w:val="bottom"/>
          </w:tcPr>
          <w:p>
            <w:pPr>
              <w:jc w:val="right"/>
              <w:ind w:right="332"/>
              <w:spacing w:after="0"/>
              <w:rPr>
                <w:sz w:val="20"/>
                <w:szCs w:val="20"/>
                <w:color w:val="auto"/>
              </w:rPr>
            </w:pPr>
            <w:r>
              <w:rPr>
                <w:rFonts w:ascii="Arial" w:cs="Arial" w:eastAsia="Arial" w:hAnsi="Arial"/>
                <w:sz w:val="16"/>
                <w:szCs w:val="16"/>
                <w:b w:val="1"/>
                <w:bCs w:val="1"/>
                <w:color w:val="auto"/>
              </w:rPr>
              <w:t>Amount</w:t>
            </w:r>
          </w:p>
        </w:tc>
      </w:tr>
      <w:tr>
        <w:trPr>
          <w:trHeight w:val="33"/>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60"/>
        </w:trPr>
        <w:tc>
          <w:tcPr>
            <w:tcW w:w="50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82,165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(43,667)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38,498</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7,086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1,917</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48,058</w:t>
            </w: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109,784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48,958</w:t>
            </w:r>
          </w:p>
        </w:tc>
      </w:tr>
      <w:tr>
        <w:trPr>
          <w:trHeight w:val="27"/>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60" w:type="dxa"/>
            <w:vAlign w:val="bottom"/>
            <w:gridSpan w:val="7"/>
          </w:tcPr>
          <w:p>
            <w:pPr>
              <w:ind w:left="580"/>
              <w:spacing w:after="0"/>
              <w:rPr>
                <w:sz w:val="20"/>
                <w:szCs w:val="20"/>
                <w:color w:val="auto"/>
              </w:rPr>
            </w:pPr>
            <w:r>
              <w:rPr>
                <w:rFonts w:ascii="Arial" w:cs="Arial" w:eastAsia="Arial" w:hAnsi="Arial"/>
                <w:sz w:val="16"/>
                <w:szCs w:val="16"/>
                <w:b w:val="1"/>
                <w:bCs w:val="1"/>
                <w:color w:val="auto"/>
              </w:rPr>
              <w:t>As of December 31, 2016</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4"/>
          </w:tcPr>
          <w:p>
            <w:pPr>
              <w:ind w:left="20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1320" w:type="dxa"/>
            <w:vAlign w:val="bottom"/>
          </w:tcPr>
          <w:p>
            <w:pPr>
              <w:jc w:val="right"/>
              <w:ind w:right="172"/>
              <w:spacing w:after="0"/>
              <w:rPr>
                <w:sz w:val="20"/>
                <w:szCs w:val="20"/>
                <w:color w:val="auto"/>
              </w:rPr>
            </w:pPr>
            <w:r>
              <w:rPr>
                <w:rFonts w:ascii="Arial" w:cs="Arial" w:eastAsia="Arial" w:hAnsi="Arial"/>
                <w:sz w:val="16"/>
                <w:szCs w:val="16"/>
                <w:b w:val="1"/>
                <w:bCs w:val="1"/>
                <w:color w:val="auto"/>
              </w:rPr>
              <w:t>Net Carrying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4"/>
              </w:rPr>
              <w:t>Carrying Amount</w:t>
            </w:r>
          </w:p>
        </w:tc>
        <w:tc>
          <w:tcPr>
            <w:tcW w:w="140" w:type="dxa"/>
            <w:vAlign w:val="bottom"/>
          </w:tcPr>
          <w:p>
            <w:pPr>
              <w:spacing w:after="0"/>
              <w:rPr>
                <w:sz w:val="18"/>
                <w:szCs w:val="18"/>
                <w:color w:val="auto"/>
              </w:rPr>
            </w:pPr>
          </w:p>
        </w:tc>
        <w:tc>
          <w:tcPr>
            <w:tcW w:w="1600" w:type="dxa"/>
            <w:vAlign w:val="bottom"/>
            <w:gridSpan w:val="4"/>
          </w:tcPr>
          <w:p>
            <w:pPr>
              <w:ind w:left="20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320" w:type="dxa"/>
            <w:vAlign w:val="bottom"/>
          </w:tcPr>
          <w:p>
            <w:pPr>
              <w:jc w:val="right"/>
              <w:ind w:right="3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9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spacing w:after="0"/>
              <w:rPr>
                <w:sz w:val="21"/>
                <w:szCs w:val="21"/>
                <w:color w:val="auto"/>
              </w:rPr>
            </w:pP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42,213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7,718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9"/>
              </w:rPr>
              <w:t>100,387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w w:val="93"/>
              </w:rPr>
              <w:t>The amortization expenses is as follows:</w:t>
            </w: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4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jc w:val="right"/>
              <w:ind w:right="732"/>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ind w:right="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912"/>
              <w:spacing w:after="0"/>
              <w:rPr>
                <w:sz w:val="20"/>
                <w:szCs w:val="20"/>
                <w:color w:val="auto"/>
              </w:rPr>
            </w:pPr>
            <w:r>
              <w:rPr>
                <w:rFonts w:ascii="Arial" w:cs="Arial" w:eastAsia="Arial" w:hAnsi="Arial"/>
                <w:sz w:val="16"/>
                <w:szCs w:val="16"/>
                <w:b w:val="1"/>
                <w:bCs w:val="1"/>
                <w:color w:val="auto"/>
                <w:w w:val="84"/>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296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13,975</w:t>
            </w:r>
          </w:p>
        </w:tc>
        <w:tc>
          <w:tcPr>
            <w:tcW w:w="92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7"/>
              </w:rPr>
              <w:t>11,873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6"/>
                <w:szCs w:val="16"/>
                <w:b w:val="1"/>
                <w:bCs w:val="1"/>
                <w:color w:val="auto"/>
              </w:rPr>
              <w:t>(in years)</w:t>
            </w:r>
          </w:p>
        </w:tc>
      </w:tr>
      <w:tr>
        <w:trPr>
          <w:trHeight w:val="33"/>
        </w:trPr>
        <w:tc>
          <w:tcPr>
            <w:tcW w:w="370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5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70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5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53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370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5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459"/>
        </w:trPr>
        <w:tc>
          <w:tcPr>
            <w:tcW w:w="3700" w:type="dxa"/>
            <w:vAlign w:val="bottom"/>
          </w:tcPr>
          <w:p>
            <w:pPr>
              <w:spacing w:after="0"/>
              <w:rPr>
                <w:sz w:val="24"/>
                <w:szCs w:val="24"/>
                <w:color w:val="auto"/>
              </w:rPr>
            </w:pPr>
          </w:p>
        </w:tc>
        <w:tc>
          <w:tcPr>
            <w:tcW w:w="5340" w:type="dxa"/>
            <w:vAlign w:val="bottom"/>
          </w:tcPr>
          <w:p>
            <w:pPr>
              <w:jc w:val="right"/>
              <w:ind w:right="4271"/>
              <w:spacing w:after="0"/>
              <w:rPr>
                <w:sz w:val="20"/>
                <w:szCs w:val="20"/>
                <w:color w:val="auto"/>
              </w:rPr>
            </w:pPr>
            <w:r>
              <w:rPr>
                <w:rFonts w:ascii="Arial" w:cs="Arial" w:eastAsia="Arial" w:hAnsi="Arial"/>
                <w:sz w:val="18"/>
                <w:szCs w:val="18"/>
                <w:color w:val="auto"/>
              </w:rPr>
              <w:t>F-28</w:t>
            </w:r>
          </w:p>
        </w:tc>
      </w:tr>
    </w:tbl>
    <w:p>
      <w:pPr>
        <w:sectPr>
          <w:pgSz w:w="11900" w:h="16838" w:orient="portrait"/>
          <w:cols w:equalWidth="0" w:num="1">
            <w:col w:w="10860"/>
          </w:cols>
          <w:pgMar w:left="240" w:top="121" w:right="7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Estimated amortization of intangible assets during the year ending December 31:</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15,249</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12,508</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7,981</w:t>
            </w:r>
          </w:p>
        </w:tc>
      </w:tr>
      <w:tr>
        <w:trPr>
          <w:trHeight w:val="27"/>
        </w:trPr>
        <w:tc>
          <w:tcPr>
            <w:tcW w:w="7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 in equity affiliate</w:t>
      </w:r>
    </w:p>
    <w:p>
      <w:pPr>
        <w:spacing w:after="0" w:line="11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8"/>
          <w:szCs w:val="18"/>
          <w:color w:val="auto"/>
        </w:rPr>
        <w:t xml:space="preserve">On December 12, 2017, the Company acquired preferred stock in Corridor Platform Inc. (“Corridor”), a </w:t>
      </w:r>
      <w:r>
        <w:rPr>
          <w:rFonts w:ascii="Arial" w:cs="Arial" w:eastAsia="Arial" w:hAnsi="Arial"/>
          <w:sz w:val="19"/>
          <w:szCs w:val="19"/>
          <w:color w:val="auto"/>
        </w:rPr>
        <w:t>big data credit risk management platform</w:t>
      </w:r>
      <w:r>
        <w:rPr>
          <w:rFonts w:ascii="Arial" w:cs="Arial" w:eastAsia="Arial" w:hAnsi="Arial"/>
          <w:sz w:val="18"/>
          <w:szCs w:val="18"/>
          <w:color w:val="auto"/>
        </w:rPr>
        <w:t xml:space="preserve"> </w:t>
      </w:r>
      <w:r>
        <w:rPr>
          <w:rFonts w:ascii="Arial" w:cs="Arial" w:eastAsia="Arial" w:hAnsi="Arial"/>
          <w:sz w:val="19"/>
          <w:szCs w:val="19"/>
          <w:color w:val="auto"/>
        </w:rPr>
        <w:t>f</w:t>
      </w:r>
      <w:r>
        <w:rPr>
          <w:rFonts w:ascii="Arial" w:cs="Arial" w:eastAsia="Arial" w:hAnsi="Arial"/>
          <w:sz w:val="18"/>
          <w:szCs w:val="18"/>
          <w:color w:val="auto"/>
        </w:rPr>
        <w:t>or $3,000. The Company has determined that based on its ownership interest and other rights, Corridor is an equity affiliate. The Company has the right and</w:t>
      </w:r>
      <w:r>
        <w:rPr>
          <w:rFonts w:ascii="Arial" w:cs="Arial" w:eastAsia="Arial" w:hAnsi="Arial"/>
          <w:sz w:val="19"/>
          <w:szCs w:val="19"/>
          <w:color w:val="auto"/>
        </w:rPr>
        <w:t xml:space="preserve"> </w:t>
      </w:r>
      <w:r>
        <w:rPr>
          <w:rFonts w:ascii="Arial" w:cs="Arial" w:eastAsia="Arial" w:hAnsi="Arial"/>
          <w:sz w:val="18"/>
          <w:szCs w:val="18"/>
          <w:color w:val="auto"/>
        </w:rPr>
        <w:t>option to acquire additional preferred stock from Corridor as per the terms of the agreement. The Company's proportionate share of net loss of Corridor for the period December 12, 2017 to December 31, 2017 was insignificant.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assets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consists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w w:val="84"/>
              </w:rPr>
              <w:t>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1120" w:type="dxa"/>
            <w:vAlign w:val="bottom"/>
            <w:tcBorders>
              <w:bottom w:val="single" w:sz="8" w:color="CCEEFF"/>
            </w:tcBorders>
            <w:gridSpan w:val="3"/>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Advances to suppliers</w:t>
            </w:r>
          </w:p>
        </w:tc>
        <w:tc>
          <w:tcPr>
            <w:tcW w:w="50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statutory authorities</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Others</w:t>
            </w:r>
          </w:p>
        </w:tc>
        <w:tc>
          <w:tcPr>
            <w:tcW w:w="50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29,582</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Accrued expenses and other current liabilities</w:t>
            </w: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5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4"/>
          </w:tcPr>
          <w:p>
            <w:pPr>
              <w:jc w:val="right"/>
              <w:ind w:right="330"/>
              <w:spacing w:after="0"/>
              <w:rPr>
                <w:sz w:val="20"/>
                <w:szCs w:val="20"/>
                <w:color w:val="auto"/>
              </w:rPr>
            </w:pPr>
            <w:r>
              <w:rPr>
                <w:rFonts w:ascii="Arial" w:cs="Arial" w:eastAsia="Arial" w:hAnsi="Arial"/>
                <w:sz w:val="18"/>
                <w:szCs w:val="18"/>
                <w:color w:val="auto"/>
                <w:w w:val="99"/>
              </w:rPr>
              <w:t>Accrued expenses and other current liabilities consists of the following:</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48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43,235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Client liability account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60" w:type="dxa"/>
            <w:vAlign w:val="bottom"/>
            <w:gridSpan w:val="2"/>
          </w:tcPr>
          <w:p>
            <w:pPr>
              <w:ind w:left="40"/>
              <w:spacing w:after="0"/>
              <w:rPr>
                <w:sz w:val="20"/>
                <w:szCs w:val="20"/>
                <w:color w:val="auto"/>
              </w:rPr>
            </w:pPr>
            <w:r>
              <w:rPr>
                <w:rFonts w:ascii="Arial" w:cs="Arial" w:eastAsia="Arial" w:hAnsi="Arial"/>
                <w:sz w:val="18"/>
                <w:szCs w:val="18"/>
                <w:color w:val="auto"/>
              </w:rPr>
              <w:t>Others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8,594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61,366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Non-current liabilities consists of the following:</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As of</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291"/>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6280" w:type="dxa"/>
            <w:vAlign w:val="bottom"/>
            <w:vMerge w:val="restart"/>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322</w:t>
            </w: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3,435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16,202</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are recognized in other comprehensive income on the Company's consolidated balance sheet until the settlement of those contracts. The balances as of December 31, 2017 and 2016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Cumulative currency translation adjustments</w:t>
            </w: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(58,405)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(77,299)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cash flow hedges, net of taxes of $4,918 and $1,207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Retirement benefits, net of taxes of ($74) and ($342)</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7"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63"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as of December 31, 2017 and 2016. The table excludes accounts receivable, accounts payable and accrued expenses for which fair values approximate their carrying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134620</wp:posOffset>
            </wp:positionV>
            <wp:extent cx="4219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680" w:type="dxa"/>
            <w:vAlign w:val="bottom"/>
            <w:gridSpan w:val="2"/>
          </w:tcPr>
          <w:p>
            <w:pPr>
              <w:ind w:left="540"/>
              <w:spacing w:after="0"/>
              <w:rPr>
                <w:sz w:val="20"/>
                <w:szCs w:val="20"/>
                <w:color w:val="auto"/>
              </w:rPr>
            </w:pPr>
            <w:r>
              <w:rPr>
                <w:rFonts w:ascii="Arial" w:cs="Arial" w:eastAsia="Arial" w:hAnsi="Arial"/>
                <w:sz w:val="16"/>
                <w:szCs w:val="16"/>
                <w:b w:val="1"/>
                <w:bCs w:val="1"/>
                <w:color w:val="auto"/>
              </w:rPr>
              <w:t>Level 1</w:t>
            </w:r>
          </w:p>
        </w:tc>
        <w:tc>
          <w:tcPr>
            <w:tcW w:w="1700" w:type="dxa"/>
            <w:vAlign w:val="bottom"/>
            <w:gridSpan w:val="2"/>
          </w:tcPr>
          <w:p>
            <w:pPr>
              <w:ind w:left="540"/>
              <w:spacing w:after="0"/>
              <w:rPr>
                <w:sz w:val="20"/>
                <w:szCs w:val="20"/>
                <w:color w:val="auto"/>
              </w:rPr>
            </w:pPr>
            <w:r>
              <w:rPr>
                <w:rFonts w:ascii="Arial" w:cs="Arial" w:eastAsia="Arial" w:hAnsi="Arial"/>
                <w:sz w:val="16"/>
                <w:szCs w:val="16"/>
                <w:b w:val="1"/>
                <w:bCs w:val="1"/>
                <w:color w:val="auto"/>
              </w:rPr>
              <w:t>Level 2</w:t>
            </w:r>
          </w:p>
        </w:tc>
        <w:tc>
          <w:tcPr>
            <w:tcW w:w="1680" w:type="dxa"/>
            <w:vAlign w:val="bottom"/>
            <w:gridSpan w:val="2"/>
          </w:tcPr>
          <w:p>
            <w:pPr>
              <w:ind w:left="540"/>
              <w:spacing w:after="0"/>
              <w:rPr>
                <w:sz w:val="20"/>
                <w:szCs w:val="20"/>
                <w:color w:val="auto"/>
              </w:rPr>
            </w:pPr>
            <w:r>
              <w:rPr>
                <w:rFonts w:ascii="Arial" w:cs="Arial" w:eastAsia="Arial" w:hAnsi="Arial"/>
                <w:sz w:val="16"/>
                <w:szCs w:val="16"/>
                <w:b w:val="1"/>
                <w:bCs w:val="1"/>
                <w:color w:val="auto"/>
              </w:rPr>
              <w:t>Level 3</w:t>
            </w: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Total</w:t>
            </w:r>
          </w:p>
        </w:tc>
      </w:tr>
      <w:tr>
        <w:trPr>
          <w:trHeight w:val="33"/>
        </w:trPr>
        <w:tc>
          <w:tcPr>
            <w:tcW w:w="3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60"/>
        </w:trPr>
        <w:tc>
          <w:tcPr>
            <w:tcW w:w="38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r>
    </w:tbl>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Money market and mutual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162,906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162,906</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18,298</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162,906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181,204</w:t>
            </w:r>
          </w:p>
        </w:tc>
      </w:tr>
      <w:tr>
        <w:trPr>
          <w:trHeight w:val="67"/>
        </w:trPr>
        <w:tc>
          <w:tcPr>
            <w:tcW w:w="38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177"/>
        </w:trPr>
        <w:tc>
          <w:tcPr>
            <w:tcW w:w="38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3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877</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earn-out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r>
      <w:tr>
        <w:trPr>
          <w:trHeight w:val="67"/>
        </w:trPr>
        <w:tc>
          <w:tcPr>
            <w:tcW w:w="38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1"/>
        </w:trPr>
        <w:tc>
          <w:tcPr>
            <w:tcW w:w="38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r>
      <w:tr>
        <w:trPr>
          <w:trHeight w:val="217"/>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3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38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Money market and mutual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6,318</w:t>
            </w:r>
          </w:p>
        </w:tc>
      </w:tr>
      <w:tr>
        <w:trPr>
          <w:trHeight w:val="67"/>
        </w:trPr>
        <w:tc>
          <w:tcPr>
            <w:tcW w:w="38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177"/>
        </w:trPr>
        <w:tc>
          <w:tcPr>
            <w:tcW w:w="38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3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1"/>
                <w:szCs w:val="21"/>
                <w:color w:val="auto"/>
              </w:rPr>
            </w:pP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2,258</w:t>
            </w:r>
          </w:p>
        </w:tc>
      </w:tr>
      <w:tr>
        <w:trPr>
          <w:trHeight w:val="27"/>
        </w:trPr>
        <w:tc>
          <w:tcPr>
            <w:tcW w:w="3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Represents short-term investments carried on fair value option under ASC 825 "Financial Instruments" as of December 31, 2017</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15 for further details.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i w:val="1"/>
          <w:iCs w:val="1"/>
          <w:color w:val="auto"/>
        </w:rPr>
        <w:t xml:space="preserve">Fair value of earn-out consideration: </w:t>
      </w:r>
      <w:r>
        <w:rPr>
          <w:rFonts w:ascii="Arial" w:cs="Arial" w:eastAsia="Arial" w:hAnsi="Arial"/>
          <w:sz w:val="17"/>
          <w:szCs w:val="17"/>
          <w:color w:val="auto"/>
        </w:rPr>
        <w:t>The fair value measurement of earn-out consideration is determined using Level 3 inputs. The Company’s earn-out consideration represents a component of the total purchase consideration for its acquisition of Health Integrated. The measurement is calculated using unobservable inputs based on the Company’s own assessment of achievement of certain performance goals by Health Integrated during the 2018 calendar year. The Company estimated the fair value of the earn-out consideration to be $920, based on expected probability method.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Hedge Accounting</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as effective hedges and that qualify as cash flow hedges under ASC No. 815. The Company had outstanding cash flow hedges totaling $300,757 as of December 31, 2017 and $218,545 as of December 31, 2016.</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 / (loss), net of tax, until the hedged transactions occurs. The Company early adopted ASU 2017-12, Derivative and Hedging (Topic 815), Targeted Improvements to Accounting for Hedging Activities. Pursuant to this adoption, effective January 1, 2017, the resultant foreign exchange gain/(loss) are recorded along with the underlying hedged item in the same line of consolidated statements of income as either part of “Cost of revenue”, “General and administrative expenses”, “Selling and marketing expenses”, Depreciation and amortization”, as applicable.</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Prior to January 1, 2017, the resultant foreign exchange gain/(loss) on settlement of cash flow hedges and changes in the fair value of cash flow hedges deemed ineffective were recorded in “Foreign exchange gain, net” in the consolidated statements of income.</w:t>
      </w:r>
    </w:p>
    <w:p>
      <w:pPr>
        <w:spacing w:after="0" w:line="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currency. These derivatives do not qualify as fair value hedges under ASC No. 815. Changes in the fair value of these derivatives are recognized in the consolidated statement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$98,967 and GBP 17,947 as of December 31, 2017 and amounted to $63,980 and GBP 17,974 as of December 31, 2016.</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$10,411 of net derivative gains included in accumulated other comprehensive loss (“AOCI”) could be reclassified into earnings within the next twelve months based on exchange rates prevailing as of December 31, 2017. At December 31, 2017, the maximum outstanding term of the cash flow hedges was 45 months.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Derivatives designated as hedging instruments :</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46355</wp:posOffset>
            </wp:positionV>
            <wp:extent cx="3790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46355</wp:posOffset>
            </wp:positionV>
            <wp:extent cx="656018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b w:val="1"/>
          <w:bCs w:val="1"/>
          <w:color w:val="auto"/>
        </w:rPr>
        <w:t>December 31, 2017</w:t>
      </w:r>
      <w:r>
        <w:rPr>
          <w:sz w:val="20"/>
          <w:szCs w:val="20"/>
          <w:color w:val="auto"/>
        </w:rPr>
        <w:tab/>
      </w: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46355</wp:posOffset>
            </wp:positionV>
            <wp:extent cx="2701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240" w:space="720"/>
            <w:col w:w="446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10,892</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7,360</w:t>
            </w:r>
          </w:p>
        </w:tc>
        <w:tc>
          <w:tcPr>
            <w:tcW w:w="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216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481</w:t>
            </w:r>
          </w:p>
        </w:tc>
        <w:tc>
          <w:tcPr>
            <w:tcW w:w="980" w:type="dxa"/>
            <w:vAlign w:val="bottom"/>
            <w:vMerge w:val="restart"/>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1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1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98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205740</wp:posOffset>
            </wp:positionV>
            <wp:extent cx="656018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6560185"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 xml:space="preserve">Derivatives not designated as hedging instruments </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60960</wp:posOffset>
            </wp:positionV>
            <wp:extent cx="37903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46355</wp:posOffset>
            </wp:positionV>
            <wp:extent cx="2701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b w:val="1"/>
          <w:bCs w:val="1"/>
          <w:color w:val="auto"/>
        </w:rPr>
        <w:t>December 31, 2017</w:t>
      </w:r>
      <w:r>
        <w:rPr>
          <w:sz w:val="20"/>
          <w:szCs w:val="20"/>
          <w:color w:val="auto"/>
        </w:rPr>
        <w:tab/>
      </w:r>
      <w:r>
        <w:rPr>
          <w:rFonts w:ascii="Arial" w:cs="Arial" w:eastAsia="Arial" w:hAnsi="Arial"/>
          <w:sz w:val="14"/>
          <w:szCs w:val="14"/>
          <w:b w:val="1"/>
          <w:bCs w:val="1"/>
          <w:color w:val="auto"/>
        </w:rPr>
        <w:t>December 31, 2016</w:t>
      </w:r>
    </w:p>
    <w:p>
      <w:pPr>
        <w:spacing w:after="0" w:line="53" w:lineRule="exact"/>
        <w:rPr>
          <w:sz w:val="20"/>
          <w:szCs w:val="20"/>
          <w:color w:val="auto"/>
        </w:rPr>
      </w:pPr>
    </w:p>
    <w:p>
      <w:pPr>
        <w:sectPr>
          <w:pgSz w:w="11900" w:h="16838" w:orient="portrait"/>
          <w:cols w:equalWidth="0" w:num="2">
            <w:col w:w="6240" w:space="720"/>
            <w:col w:w="446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920" w:type="dxa"/>
            <w:vAlign w:val="bottom"/>
            <w:vMerge w:val="restart"/>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80" w:type="dxa"/>
            <w:vAlign w:val="bottom"/>
            <w:vMerge w:val="restart"/>
          </w:tcPr>
          <w:p>
            <w:pPr>
              <w:jc w:val="right"/>
              <w:ind w:right="7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 forth the effect of foreign currency exchange contracts in the consolidated statements of income and accumulated other comprehensive loss for the years ended December 31, 2017 and 2016:</w:t>
      </w:r>
    </w:p>
    <w:p>
      <w:pPr>
        <w:sectPr>
          <w:pgSz w:w="11900" w:h="16838" w:orient="portrait"/>
          <w:cols w:equalWidth="0" w:num="1">
            <w:col w:w="11420"/>
          </w:cols>
          <w:pgMar w:left="240" w:top="121" w:right="239" w:bottom="1440" w:gutter="0" w:footer="0" w:header="0"/>
          <w:type w:val="continuous"/>
        </w:sectPr>
      </w:pPr>
    </w:p>
    <w:p>
      <w:pPr>
        <w:spacing w:after="0" w:line="33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Derivatives in hedging relationships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Forward Exchange Contracts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46355</wp:posOffset>
            </wp:positionV>
            <wp:extent cx="4107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(Gain)/loss recognized in AOCI</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53340</wp:posOffset>
            </wp:positionV>
            <wp:extent cx="62687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6268720" cy="180340"/>
                    </a:xfrm>
                    <a:prstGeom prst="rect">
                      <a:avLst/>
                    </a:prstGeom>
                    <a:noFill/>
                  </pic:spPr>
                </pic:pic>
              </a:graphicData>
            </a:graphic>
          </wp:anchor>
        </w:drawing>
      </w:r>
    </w:p>
    <w:p>
      <w:pPr>
        <w:spacing w:after="0" w:line="91"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60960</wp:posOffset>
            </wp:positionV>
            <wp:extent cx="2092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7260" w:space="720"/>
            <w:col w:w="3440"/>
          </w:cols>
          <w:pgMar w:left="240" w:top="121" w:right="239" w:bottom="1440" w:gutter="0" w:footer="0" w:header="0"/>
          <w:type w:val="continuous"/>
        </w:sectPr>
      </w:pPr>
    </w:p>
    <w:tbl>
      <w:tblPr>
        <w:tblLayout w:type="fixed"/>
        <w:tblInd w:w="780" w:type="dxa"/>
        <w:tblCellMar>
          <w:top w:w="0" w:type="dxa"/>
          <w:left w:w="0" w:type="dxa"/>
          <w:bottom w:w="0" w:type="dxa"/>
          <w:right w:w="0" w:type="dxa"/>
        </w:tblCellMar>
      </w:tblP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324"/>
        </w:trPr>
        <w:tc>
          <w:tcPr>
            <w:tcW w:w="4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5"/>
              </w:rPr>
              <w:t>(Gain)/loss recognized in consolidated statements of income</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Derivatives in fair value hedging relationships</w:t>
            </w:r>
          </w:p>
        </w:tc>
        <w:tc>
          <w:tcPr>
            <w:tcW w:w="2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(5,056)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(4,790)</w:t>
            </w:r>
          </w:p>
        </w:tc>
      </w:tr>
      <w:tr>
        <w:trPr>
          <w:trHeight w:val="486"/>
        </w:trPr>
        <w:tc>
          <w:tcPr>
            <w:tcW w:w="4440" w:type="dxa"/>
            <w:vAlign w:val="bottom"/>
          </w:tcPr>
          <w:p>
            <w:pPr>
              <w:spacing w:after="0"/>
              <w:rPr>
                <w:sz w:val="24"/>
                <w:szCs w:val="24"/>
                <w:color w:val="auto"/>
              </w:rPr>
            </w:pPr>
          </w:p>
        </w:tc>
        <w:tc>
          <w:tcPr>
            <w:tcW w:w="2660" w:type="dxa"/>
            <w:vAlign w:val="bottom"/>
          </w:tcPr>
          <w:p>
            <w:pPr>
              <w:jc w:val="right"/>
              <w:ind w:right="1910"/>
              <w:spacing w:after="0"/>
              <w:rPr>
                <w:sz w:val="20"/>
                <w:szCs w:val="20"/>
                <w:color w:val="auto"/>
              </w:rPr>
            </w:pPr>
            <w:r>
              <w:rPr>
                <w:rFonts w:ascii="Arial" w:cs="Arial" w:eastAsia="Arial" w:hAnsi="Arial"/>
                <w:sz w:val="18"/>
                <w:szCs w:val="18"/>
                <w:color w:val="auto"/>
              </w:rPr>
              <w:t>F-33</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Location and amount of (gain)/loss recognized in consolidated statements of income for cash flow and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52070</wp:posOffset>
            </wp:positionV>
            <wp:extent cx="63804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89"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46355</wp:posOffset>
            </wp:positionV>
            <wp:extent cx="3533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Type of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234950</wp:posOffset>
            </wp:positionV>
            <wp:extent cx="2778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-321945</wp:posOffset>
            </wp:positionV>
            <wp:extent cx="2778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9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Cash flow hedging relationships</w:t>
      </w:r>
    </w:p>
    <w:p>
      <w:pPr>
        <w:spacing w:after="0" w:line="72"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Location in consolidated statements of income where (gain)/loss was reclassed from AOCI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158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2016*</w:t>
            </w:r>
          </w:p>
        </w:tc>
      </w:tr>
      <w:tr>
        <w:trPr>
          <w:trHeight w:val="33"/>
        </w:trPr>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As per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(Gain)/loss on</w:t>
            </w:r>
          </w:p>
        </w:tc>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As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(Gain)/loss on</w:t>
            </w:r>
          </w:p>
        </w:tc>
      </w:tr>
      <w:tr>
        <w:trPr>
          <w:trHeight w:val="203"/>
        </w:trPr>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87"/>
              </w:rPr>
              <w:t>consolidated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87"/>
              </w:rPr>
              <w:t>consolidated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foreign currency</w:t>
            </w:r>
          </w:p>
        </w:tc>
      </w:tr>
      <w:tr>
        <w:trPr>
          <w:trHeight w:val="203"/>
        </w:trPr>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86"/>
              </w:rPr>
              <w:t>statements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exchange</w:t>
            </w:r>
          </w:p>
        </w:tc>
        <w:tc>
          <w:tcPr>
            <w:tcW w:w="1140" w:type="dxa"/>
            <w:vAlign w:val="bottom"/>
          </w:tcPr>
          <w:p>
            <w:pPr>
              <w:jc w:val="center"/>
              <w:ind w:left="59"/>
              <w:spacing w:after="0"/>
              <w:rPr>
                <w:sz w:val="20"/>
                <w:szCs w:val="20"/>
                <w:color w:val="auto"/>
              </w:rPr>
            </w:pPr>
            <w:r>
              <w:rPr>
                <w:rFonts w:ascii="Arial" w:cs="Arial" w:eastAsia="Arial" w:hAnsi="Arial"/>
                <w:sz w:val="16"/>
                <w:szCs w:val="16"/>
                <w:b w:val="1"/>
                <w:bCs w:val="1"/>
                <w:color w:val="auto"/>
                <w:w w:val="88"/>
              </w:rPr>
              <w:t>statements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contracts</w:t>
            </w:r>
          </w:p>
        </w:tc>
        <w:tc>
          <w:tcPr>
            <w:tcW w:w="114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480060</wp:posOffset>
            </wp:positionV>
            <wp:extent cx="638048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6380480" cy="205740"/>
                    </a:xfrm>
                    <a:prstGeom prst="rect">
                      <a:avLst/>
                    </a:prstGeom>
                    <a:noFill/>
                  </pic:spPr>
                </pic:pic>
              </a:graphicData>
            </a:graphic>
          </wp:anchor>
        </w:drawing>
      </w:r>
    </w:p>
    <w:p>
      <w:pPr>
        <w:spacing w:after="0" w:line="960" w:lineRule="exact"/>
        <w:rPr>
          <w:sz w:val="20"/>
          <w:szCs w:val="20"/>
          <w:color w:val="auto"/>
        </w:rPr>
      </w:pPr>
    </w:p>
    <w:p>
      <w:pPr>
        <w:sectPr>
          <w:pgSz w:w="11900" w:h="16838" w:orient="portrait"/>
          <w:cols w:equalWidth="0" w:num="2">
            <w:col w:w="4560" w:space="620"/>
            <w:col w:w="6240"/>
          </w:cols>
          <w:pgMar w:left="240" w:top="121" w:right="23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495,586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Selling &amp; marketing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53,383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&amp;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7"/>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hedging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Location in consolidated statements of income where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(gain)/loss was recognized</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4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(4,790)</w:t>
            </w:r>
          </w:p>
        </w:tc>
      </w:tr>
      <w:tr>
        <w:trPr>
          <w:trHeight w:val="27"/>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56"/>
        <w:spacing w:after="0" w:line="275" w:lineRule="auto"/>
        <w:tabs>
          <w:tab w:leader="none" w:pos="7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early adopted ASU 2017-12, Derivatives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In prior periods, such gain/loss were included under "Foreign exchange gain, net" line in the consolidated statements of income.</w:t>
      </w: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2014, the Company entered into a credit agreement that provided for a $50,000 revolving credit facility (the “Credit Facility”). On February 23, 2015, the Company increased the commitments under the Credit Facility by up to an additional $50,000. The Credit Facility had a maturity date of October 24, 2019 and was voluntarily pre-payable from time to time without premium or penalty. On November 21, 2017, the Company prepaid all outstanding amounts, including accrued interest and fees, and terminated all commitments, under the Credit Agreement. The Credit Facility carried an effective interest rate of 2.99% per annum during the year ended December 31, 2017.</w:t>
      </w:r>
    </w:p>
    <w:p>
      <w:pPr>
        <w:spacing w:after="0" w:line="2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21, 2017, the Company and each of the Company’s wholly owned material domestic subsidiaries entered into a Credit Agreement with certain lenders, and Citibank, N.A. as Administrative Agent (the “New Credit Agreement”). The New Credit Agreement provides for a $200,000 revolving credit facility (the “New Credit Facility”) with an option to increase the commitments by up to $100,000,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used to repay amounts outstanding under the Credit Facility and may otherwise be used for working capital and general corporate purposes, including permitted acquisitions.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0.00% to 0.75% per annum with respect to loans pegged to the specified prime rate, and 1.00% to 1.75% per annum on loans pegged to the adjusted LIBO rate. The revolving credit commitments under the New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 The New Credit Facility carried an effective interest rate of 3.5% per annum during the year ended December 31, 2017.</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Obligations under the New Credit Agreement are guaranteed by the Company’s material domestic subsidiaries and are secured by all or substantially all of the assets of the Company and our material domestic subsidiaries. The New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or the total net leverage ratio, both as defined for the four consecutive quarter period ending on the last day of each fiscal quarter, to be less than 3.5 to 1.0 or more than 3.0 to 1.0, respectively. At December 31, 2017, the Company was in compliance with all financial and non - financial covenants listed under the New Credit Agreement.</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we had an outstanding debt of $60,000 of which $10,000 is expected to be repaid within the next twelve months and is included under "current portion of long-term borrowings" and the balance of $50,000 is included under "long-term borrowings" in the consolidated balance sheets.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connection with the New Credit Agreement, the Company incurred issuance cost of $790 which are deferred and amortized as an adjustment to interest expense over the term of the New Credit Facility. The unamortized debt issuance costs as of December 31, 2017 and December 31, 2016 was $773 and $272, respectively and is included under "other current assets" and “other assets” in the consolidated balance sheets.</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Borrowings also includes structured payables which are in the nature of debt, amounting to $709, of which $318 and $391 is included under "current portion of long-term borrowings" and "long-term borrowings", respectively in the consolidated balance sheet as of December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years ended December 31, 2017 and 2016, the Company acquired 69,154 and 17,676 shares of common stock, respectively from employees in connection with withholding tax payments related to the vesting of restricted stock for a total consideration of $3,267 and $807, respectively. The weighted average purchase price per share of $47.24 and $45.65,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increases the 2017 authorization from $20,000 to $40,000 and authorizes stock repurchases of up to $40,000 in each of 2018 and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year ended December 31, 2017, the Company purchased 761,154 shares of its common stock for an aggregate purchase price of approximately $40,187, including commissions, representing an average purchase price per share of $52.80 under the 2014 and 2017 Repurchase program.</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 ended December 31, 2016, the Company purchased 364,056 shares of its common stock for an aggregate purchase price of approximately $17,396, including commissions, representing an average purchase price per share of $47.78 under the 2014 Repurchase program.</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8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benefit obligation has been measured as of December 31, 2017. The following table sets forth the activity and the funded status of the Gratuity Plans and the amounts recognized in the Company’s consolidated financial statements at the end of the relevant periods:</w:t>
      </w:r>
    </w:p>
    <w:p>
      <w:pPr>
        <w:spacing w:after="0" w:line="333"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0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4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Pr>
          <w:p>
            <w:pPr>
              <w:spacing w:after="0"/>
              <w:rPr>
                <w:sz w:val="20"/>
                <w:szCs w:val="20"/>
                <w:color w:val="auto"/>
              </w:rPr>
            </w:pPr>
          </w:p>
        </w:tc>
        <w:tc>
          <w:tcPr>
            <w:tcW w:w="16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 2016</w:t>
            </w:r>
          </w:p>
        </w:tc>
      </w:tr>
      <w:tr>
        <w:trPr>
          <w:trHeight w:val="33"/>
        </w:trPr>
        <w:tc>
          <w:tcPr>
            <w:tcW w:w="4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w w:val="95"/>
              </w:rPr>
              <w:t>Projected benefit obligation at the beginning of the year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7,909</w:t>
            </w:r>
          </w:p>
        </w:tc>
      </w:tr>
      <w:tr>
        <w:trPr>
          <w:trHeight w:val="27"/>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Actuarial (gain)/loss</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677</w:t>
            </w:r>
          </w:p>
        </w:tc>
      </w:tr>
      <w:tr>
        <w:trPr>
          <w:trHeight w:val="27"/>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the end of the year</w:t>
            </w:r>
          </w:p>
        </w:tc>
        <w:tc>
          <w:tcPr>
            <w:tcW w:w="1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9,711</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Unfunded amount–non-current</w:t>
            </w:r>
          </w:p>
        </w:tc>
        <w:tc>
          <w:tcPr>
            <w:tcW w:w="1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1,977</w:t>
            </w:r>
          </w:p>
        </w:tc>
      </w:tr>
      <w:tr>
        <w:trPr>
          <w:trHeight w:val="27"/>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amount–current</w:t>
            </w:r>
          </w:p>
        </w:tc>
        <w:tc>
          <w:tcPr>
            <w:tcW w:w="1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Total accrued liability</w:t>
            </w:r>
          </w:p>
        </w:tc>
        <w:tc>
          <w:tcPr>
            <w:tcW w:w="1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4,071</w:t>
            </w:r>
          </w:p>
        </w:tc>
      </w:tr>
      <w:tr>
        <w:trPr>
          <w:trHeight w:val="27"/>
        </w:trPr>
        <w:tc>
          <w:tcPr>
            <w:tcW w:w="4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6"/>
        </w:trPr>
        <w:tc>
          <w:tcPr>
            <w:tcW w:w="4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spacing w:after="0"/>
              <w:rPr>
                <w:sz w:val="13"/>
                <w:szCs w:val="13"/>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6,533</w:t>
            </w:r>
          </w:p>
        </w:tc>
      </w:tr>
      <w:tr>
        <w:trPr>
          <w:trHeight w:val="27"/>
        </w:trPr>
        <w:tc>
          <w:tcPr>
            <w:tcW w:w="4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1500" w:type="dxa"/>
            <w:vAlign w:val="bottom"/>
            <w:gridSpan w:val="2"/>
          </w:tcPr>
          <w:p>
            <w:pPr>
              <w:jc w:val="right"/>
              <w:ind w:right="870"/>
              <w:spacing w:after="0"/>
              <w:rPr>
                <w:sz w:val="20"/>
                <w:szCs w:val="20"/>
                <w:color w:val="auto"/>
              </w:rPr>
            </w:pPr>
            <w:r>
              <w:rPr>
                <w:rFonts w:ascii="Arial" w:cs="Arial" w:eastAsia="Arial" w:hAnsi="Arial"/>
                <w:sz w:val="18"/>
                <w:szCs w:val="18"/>
                <w:color w:val="auto"/>
              </w:rPr>
              <w:t>F-36</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r>
      <w:tr>
        <w:trPr>
          <w:trHeight w:val="33"/>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1,933</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Actuarial loss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2,433</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components of accumulated other comprehensive gain/(loss) (net of tax) that have not been recognized as components of net gratuity cost in the statement of income as of December 31, 2017 and 2016 are as follows:</w:t>
      </w:r>
    </w:p>
    <w:p>
      <w:pPr>
        <w:spacing w:after="0" w:line="117"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6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Accumulated other comprehensive gain/(loss), net of tax</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amount in accumulated other comprehensive gain that is expected to be recognized as a component of net periodic benefit cost over the next fiscal year is $161.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172"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37465</wp:posOffset>
            </wp:positionV>
            <wp:extent cx="2864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80"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6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33"/>
        </w:trPr>
        <w:tc>
          <w:tcPr>
            <w:tcW w:w="5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 on plan assets per annum</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16"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benefit payments during the year ending December 31,</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2019</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2021</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2023 to 2027</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w:t>
            </w:r>
          </w:p>
        </w:tc>
      </w:tr>
    </w:tbl>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7.9% on these Gratuity Plans for the period ended December 31,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Actual return</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Employer contribution</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Plan Assets at December 31, 2016</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5,640</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Employer contribution</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1,700</w:t>
            </w:r>
          </w:p>
        </w:tc>
      </w:tr>
      <w:tr>
        <w:trPr>
          <w:trHeight w:val="27"/>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7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December 31, 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All benefits payments were made through the plan assets during the year ended December 31, 2017 and December 31, 2016.</w:t>
      </w:r>
    </w:p>
    <w:p>
      <w:pPr>
        <w:spacing w:after="0" w:line="2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(the “Code”), covering all eligible employees, as defined in the Code is a defined contribution plan. The Company may make discretionary contributions of up to a maximum of 4% of employee compensation within certain limits. Contributions to the 401(k) Plans amounted to $2,709, $2,383 and $1,907 during the years ended December 31, 2017, 2016 and 2015, respectively.</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years ended December 31, 2017, 2016 and 2015, the Company contributed $7,115, $6,306 and $5,753 respectively, for various defined contribution plans on behalf of its employees in India, the Philippines, Bulgaria, Romania, the Czech Republic, South Africa, Colombia, and Singapore.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and other equipment under various lease arrangements provided by financial institutions. Future minimum lease payments under these capital leases as of December 31, 2017 are as follows: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During the next twelve months ending December 31,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Future minimum lease payments under such agreements expiring after December 31, 2017 are set forth below:</w:t>
      </w:r>
    </w:p>
    <w:p>
      <w:pPr>
        <w:spacing w:after="0" w:line="200" w:lineRule="exact"/>
        <w:rPr>
          <w:sz w:val="20"/>
          <w:szCs w:val="20"/>
          <w:color w:val="auto"/>
        </w:rPr>
      </w:pPr>
    </w:p>
    <w:p>
      <w:pPr>
        <w:spacing w:after="0" w:line="349"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During the next twelve months ending December 31,</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17,802</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12,888</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28,273</w:t>
            </w:r>
          </w:p>
        </w:tc>
      </w:tr>
      <w:tr>
        <w:trPr>
          <w:trHeight w:val="27"/>
        </w:trPr>
        <w:tc>
          <w:tcPr>
            <w:tcW w:w="7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minimum lease payment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104,887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straight-line basis over cancelable and non-cancelable lease period determined under ASC topic 840, "Leases":</w:t>
      </w:r>
    </w:p>
    <w:p>
      <w:pPr>
        <w:spacing w:after="0" w:line="34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Year ended December 31,</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24,015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21,382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Deferred rent</w:t>
            </w: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8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6"/>
                <w:szCs w:val="16"/>
                <w:b w:val="1"/>
                <w:bCs w:val="1"/>
                <w:color w:val="auto"/>
              </w:rPr>
              <w:t>As of</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4"/>
          </w:tcPr>
          <w:p>
            <w:pPr>
              <w:jc w:val="right"/>
              <w:ind w:right="294"/>
              <w:spacing w:after="0"/>
              <w:rPr>
                <w:sz w:val="20"/>
                <w:szCs w:val="20"/>
                <w:color w:val="auto"/>
              </w:rPr>
            </w:pPr>
            <w:r>
              <w:rPr>
                <w:rFonts w:ascii="Arial" w:cs="Arial" w:eastAsia="Arial" w:hAnsi="Arial"/>
                <w:sz w:val="16"/>
                <w:szCs w:val="16"/>
                <w:b w:val="1"/>
                <w:bCs w:val="1"/>
                <w:color w:val="auto"/>
                <w:w w:val="88"/>
              </w:rPr>
              <w:t>December 31,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20" w:type="dxa"/>
            <w:vAlign w:val="bottom"/>
            <w:gridSpan w:val="2"/>
            <w:shd w:val="clear" w:color="auto" w:fill="CCEEFF"/>
          </w:tcPr>
          <w:p>
            <w:pPr>
              <w:jc w:val="right"/>
              <w:ind w:right="874"/>
              <w:spacing w:after="0"/>
              <w:rPr>
                <w:sz w:val="20"/>
                <w:szCs w:val="20"/>
                <w:color w:val="auto"/>
              </w:rPr>
            </w:pPr>
            <w:r>
              <w:rPr>
                <w:rFonts w:ascii="Arial" w:cs="Arial" w:eastAsia="Arial" w:hAnsi="Arial"/>
                <w:sz w:val="18"/>
                <w:szCs w:val="18"/>
                <w:color w:val="auto"/>
                <w:w w:val="88"/>
              </w:rPr>
              <w:t>Cancelable and non-cancelable operating leases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Deferred rent is included under "Accrued expenses and other current liabilities" and "Non-current liabilities" in the consolidated balance sheets.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r>
      <w:tr>
        <w:trPr>
          <w:trHeight w:val="33"/>
        </w:trPr>
        <w:tc>
          <w:tcPr>
            <w:tcW w:w="27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25,045</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Foreign</w:t>
            </w:r>
          </w:p>
        </w:tc>
        <w:tc>
          <w:tcPr>
            <w:tcW w:w="2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71,232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50,731</w:t>
            </w:r>
          </w:p>
        </w:tc>
      </w:tr>
      <w:tr>
        <w:trPr>
          <w:trHeight w:val="27"/>
        </w:trPr>
        <w:tc>
          <w:tcPr>
            <w:tcW w:w="27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7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85,034</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75,776</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720" w:type="dxa"/>
            <w:vAlign w:val="bottom"/>
          </w:tcPr>
          <w:p>
            <w:pPr>
              <w:spacing w:after="0"/>
              <w:rPr>
                <w:sz w:val="24"/>
                <w:szCs w:val="24"/>
                <w:color w:val="auto"/>
              </w:rPr>
            </w:pPr>
          </w:p>
        </w:tc>
        <w:tc>
          <w:tcPr>
            <w:tcW w:w="3020" w:type="dxa"/>
            <w:vAlign w:val="bottom"/>
            <w:gridSpan w:val="2"/>
          </w:tcPr>
          <w:p>
            <w:pPr>
              <w:jc w:val="right"/>
              <w:ind w:right="680"/>
              <w:spacing w:after="0"/>
              <w:rPr>
                <w:sz w:val="20"/>
                <w:szCs w:val="20"/>
                <w:color w:val="auto"/>
              </w:rPr>
            </w:pPr>
            <w:r>
              <w:rPr>
                <w:rFonts w:ascii="Arial" w:cs="Arial" w:eastAsia="Arial" w:hAnsi="Arial"/>
                <w:sz w:val="18"/>
                <w:szCs w:val="18"/>
                <w:color w:val="auto"/>
              </w:rPr>
              <w:t>F-39</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expense consists of the following:</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17,407</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9,951</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12,022</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25,535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21,973</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2,618</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3,041</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2,238</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36,146</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17"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tax holiday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(benefit)/provision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Unrecognized tax benefits and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tax expense/(benefit)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US Tax Reform Act impact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tax benefit for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income tax rate was 42.5% and 26.4% during the year ended December 31, 2017 and 2016, respectively. The effective tax rate for the year ended December 31, 2017 was significantly impacted by recording the impact of the Tax Cuts and Jobs Act (the “Tax Reform Act”), enacted on December 22, 2017 by the U.S. government. The Tax Reform Act makes broad and complex changes to the U.S. tax code that has affected our fiscal year ended December 31, 2017, including, but not limited to (1) reducing the U.S. federal corporate tax rate from 35.0% to 21.0% effective January 1, 2018 and (2) implementing a modified territorial tax system that includes a one-time transition tax on the mandatory deemed repatriation of accumulated earnings and profits (“E&amp;P”) of foreign subsidiaries that is payable over eight years.</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re-measured its net deferred tax assets and liabilities using the enacted Federal Tax Rate that will apply when these amounts are expected to reverse. The effect of the re-measurement of $1,949 is reflected entirely in the current period that includes the enactment date and is allocated directly to income tax expense from continuing operations.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Deemed Repatriation Transition Tax (the “Transition Tax”) is a tax on previously untaxed accumulated E&amp;P of certain of our foreign subsidiaries. To determine the amount of the Transition Tax, the Company must determine, in addition to other factors, the amount of post-1986 E&amp;P of the relevant subsidiaries, as well as the amount of non-U.S. income taxes paid on such earnings. The Company was able to make a reasonable estimate and recorded a provisional Transition Tax obligation of $27,236.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December 22, 2017, the SEC issued Staff Accounting Bulletin (“SAB 118”), which provides guidance on accounting for tax effects of the Tax Reform Act. SAB 118 provides a measurement period that should not extend beyond one year from the Tax Reform Act enactment date for companies to complete the accounting under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Tax Reform Act. While the Company was able to make reasonable estimates of the impact of the reduction in corporate rate and the deemed repatriation transition tax, the final impact of the Tax Reform Act may differ from these estimates, due to, among other things, changes in our interpretations and assumptions, additional guidance that may be issued by the I.R.S., and actions the Company may take. The Company continues to gather additional information to determine the final impact.</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Company also derive benefit from a corporate tax holiday in the Philippines for our operations centers established there over the last several years. The tax holiday expired for two of our centers in 2014 and in 2016 and will expire over the next few years for other centers, which may lead to an increase in our overall tax rate. Following the expiry of the tax exemption, income generated from centers in the Philippines will be taxed at the prevailing annual tax rate, which is currently 5.0% on gross income.</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Certain operations centers in India, which were established in Special Economic Zones (“SEZs”), are eligible for tax incentives until 2025. These operations centers are eligible for a 100% income tax exemption for first five years of operations and 50% exemption for a period of five years thereafter.</w:t>
      </w:r>
    </w:p>
    <w:p>
      <w:pPr>
        <w:spacing w:after="0" w:line="124"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The diluted earnings per share effect of the tax holiday is $0.13, $0.12 and $0.09 for the years ended December 31, 2017, 2016 and 2015,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deferred tax balances as of December 31, 2017 and 2016 are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4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0"/>
                <w:szCs w:val="20"/>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Tax credit carry forward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4,806</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3,765</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10,385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1,856</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exchange loss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1,307</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37"/>
        </w:trPr>
        <w:tc>
          <w:tcPr>
            <w:tcW w:w="6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29,832</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7"/>
        </w:trPr>
        <w:tc>
          <w:tcPr>
            <w:tcW w:w="624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29,378</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Unrealized exchange gain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1,414</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13,165</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14,579</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14,799</w:t>
            </w:r>
          </w:p>
        </w:tc>
      </w:tr>
      <w:tr>
        <w:trPr>
          <w:trHeight w:val="27"/>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2017 and 2016, the Company performed an analysis of the deferred tax asset valuation allowance for net operating loss carry forward for its domestic entities. Based on this analysis, the Company continues to carry a valuation allowance on the deferred tax assets on certain net operating loss carry forwards. Accordingly, the Company had recorded a valuation allowance of $20 and $351 as of December 31, 2017 and 2016, respectively. The Company also recorded a valuation allowance of $88 and $103 related to tax credit carry forward as of December 31, 2017 and 2016, respectively.</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the multiple acquisitions over the last few years, the Company acquired federal and state net operating losses in the United States. As of December 31, 2017 and 2016, the Company has federal net operating loss carry forwards of approximately of $1,554 and $4,052, respectively, which expire through various years until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At December 31, 2017, undistributed earnings of the Company’s foreign subsidiaries amounted to approximately $376,649. Not all of the undistributed earnings may be available for repatriation due to foreign legal restrictions that require minimum reserves to be maintained in those Countries and additional taxes that could be imposed on the distribution of those earnings. U.S. federal deferred income taxes on these earnings are not required because under the Tax Reform Act such earnings have been subject to U.S. federal tax as a result of the mandatory repatriation provision. Additionally, such earnings will not be subject to U.S. federal tax when actually distributed as provided in the Tax Reform Act, except that certain foreign jurisdictions may impose a tax on such distributions.</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Company’s income tax expense also includes the impact of provisions established for uncertain income tax positions determined in accordance with ASC topic 740, </w:t>
      </w:r>
      <w:r>
        <w:rPr>
          <w:rFonts w:ascii="Arial" w:cs="Arial" w:eastAsia="Arial" w:hAnsi="Arial"/>
          <w:sz w:val="18"/>
          <w:szCs w:val="18"/>
          <w:i w:val="1"/>
          <w:iCs w:val="1"/>
          <w:color w:val="auto"/>
        </w:rPr>
        <w:t>“</w:t>
      </w:r>
      <w:r>
        <w:rPr>
          <w:rFonts w:ascii="Arial" w:cs="Arial" w:eastAsia="Arial" w:hAnsi="Arial"/>
          <w:sz w:val="18"/>
          <w:szCs w:val="18"/>
          <w:color w:val="auto"/>
        </w:rPr>
        <w:t>Income Taxes</w:t>
      </w:r>
      <w:r>
        <w:rPr>
          <w:rFonts w:ascii="Arial" w:cs="Arial" w:eastAsia="Arial" w:hAnsi="Arial"/>
          <w:sz w:val="18"/>
          <w:szCs w:val="18"/>
          <w:i w:val="1"/>
          <w:iCs w:val="1"/>
          <w:color w:val="auto"/>
        </w:rPr>
        <w:t>”</w:t>
      </w:r>
      <w:r>
        <w:rPr>
          <w:rFonts w:ascii="Arial" w:cs="Arial" w:eastAsia="Arial" w:hAnsi="Arial"/>
          <w:sz w:val="18"/>
          <w:szCs w:val="18"/>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an estimate. To the extent that the final tax outcome of these matters differs from the amounts recorded, such differences will impact the income tax expense in the period in which such determination is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2017 through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0"/>
              <w:spacing w:after="0"/>
              <w:rPr>
                <w:sz w:val="20"/>
                <w:szCs w:val="20"/>
                <w:color w:val="auto"/>
              </w:rPr>
            </w:pPr>
            <w:r>
              <w:rPr>
                <w:rFonts w:ascii="Arial" w:cs="Arial" w:eastAsia="Arial" w:hAnsi="Arial"/>
                <w:sz w:val="18"/>
                <w:szCs w:val="18"/>
                <w:color w:val="auto"/>
              </w:rPr>
              <w:t>Balance as of January 1, 2017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3,087</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37"/>
        </w:trPr>
        <w:tc>
          <w:tcPr>
            <w:tcW w:w="97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r>
      <w:tr>
        <w:trPr>
          <w:trHeight w:val="27"/>
        </w:trPr>
        <w:tc>
          <w:tcPr>
            <w:tcW w:w="9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as of December 31, 2017 of $824, if recognized, would impact the effective tax rate.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recognized interest of nil and $315 during the years ended December 31, 2017 and 2016, respectively, which is included in the income tax expense in the consolidated statements of income. As of December 31, 2017 and 2016, the Company has accrued interest and penalties of $68 and $1,553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Stock Based Compensation</w:t>
      </w:r>
    </w:p>
    <w:p>
      <w:pPr>
        <w:spacing w:after="0" w:line="33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June 19, 2015, at the Company’s 2015 Annual Meeting of Stockholders, the Company's stockholders approved the 2015 Plan, which amended and restated the 2006 Omnibus Award Plan to, among other things, increased the total number of shares reserved for grants of awards under the 2015 Plan by 1,700,000 shares. As of December 31, 2017, the Company had 1,509,976 shares available for grant under the 2015 Plan (includes 145,193 shares against vested performance-based restricted stock units for which the underlying common stock was issued subsequent to December 31, 2017).</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2015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The equity awards generally vest proportionally over a period of four years from the date of grant, unless specified otherwise.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applies the provisions of ASC 718, to account for its stock based compensation, using the modified prospective method of transition. Under the provisions of this guidance, the estimated fair value of stock-based awards granted under stock incentive plans is recognized as compensation expense over the vesting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statements of income:</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r>
      <w:tr>
        <w:trPr>
          <w:trHeight w:val="33"/>
        </w:trPr>
        <w:tc>
          <w:tcPr>
            <w:tcW w:w="37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6,077</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7,075</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16,047</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2040" w:type="dxa"/>
            <w:vAlign w:val="bottom"/>
            <w:gridSpan w:val="2"/>
          </w:tcPr>
          <w:p>
            <w:pPr>
              <w:jc w:val="right"/>
              <w:ind w:right="590"/>
              <w:spacing w:after="0"/>
              <w:rPr>
                <w:sz w:val="20"/>
                <w:szCs w:val="20"/>
                <w:color w:val="auto"/>
              </w:rPr>
            </w:pPr>
            <w:r>
              <w:rPr>
                <w:rFonts w:ascii="Arial" w:cs="Arial" w:eastAsia="Arial" w:hAnsi="Arial"/>
                <w:sz w:val="18"/>
                <w:szCs w:val="18"/>
                <w:color w:val="auto"/>
              </w:rPr>
              <w:t>F-43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periods of the awards, which are generally the vesting periods. The Company accounts for the forfeitures as and when the actual forfeitures occur.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Intrinsic</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811,902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259,563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December 31, 2017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259,563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unrecognized compensation cost for unvested options as of December 31, 2017 is nil. The Company did not grant any options during the years ended December 31, 2017, 2016 and 2015. The total grant date fair value of options vested during the years ended December 31, 2017, 2016 and 2015 was nil, $706 and $1,228, respectively. The aggregate intrinsic value of options exercised during the years ended December 31, 2017, 2016 and 2015 was $23,027, $12,911 and $4,413,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stock options outstanding, vested and exercisable at December 31, 2017:</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80" w:type="dxa"/>
            <w:vAlign w:val="bottom"/>
            <w:gridSpan w:val="4"/>
          </w:tcPr>
          <w:p>
            <w:pPr>
              <w:jc w:val="right"/>
              <w:ind w:right="334"/>
              <w:spacing w:after="0"/>
              <w:rPr>
                <w:sz w:val="20"/>
                <w:szCs w:val="20"/>
                <w:color w:val="auto"/>
              </w:rPr>
            </w:pPr>
            <w:r>
              <w:rPr>
                <w:rFonts w:ascii="Arial" w:cs="Arial" w:eastAsia="Arial" w:hAnsi="Arial"/>
                <w:sz w:val="16"/>
                <w:szCs w:val="16"/>
                <w:b w:val="1"/>
                <w:bCs w:val="1"/>
                <w:color w:val="auto"/>
              </w:rPr>
              <w:t>Options Outstanding, Vested and Exercisable</w:t>
            </w:r>
          </w:p>
        </w:tc>
      </w:tr>
      <w:tr>
        <w:trPr>
          <w:trHeight w:val="33"/>
        </w:trPr>
        <w:tc>
          <w:tcPr>
            <w:tcW w:w="3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4"/>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36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Range of Exercise Prices</w:t>
            </w:r>
          </w:p>
        </w:tc>
        <w:tc>
          <w:tcPr>
            <w:tcW w:w="3760" w:type="dxa"/>
            <w:vAlign w:val="bottom"/>
          </w:tcPr>
          <w:p>
            <w:pPr>
              <w:spacing w:after="0"/>
              <w:rPr>
                <w:sz w:val="18"/>
                <w:szCs w:val="18"/>
                <w:color w:val="auto"/>
              </w:rPr>
            </w:pPr>
          </w:p>
        </w:tc>
        <w:tc>
          <w:tcPr>
            <w:tcW w:w="2040" w:type="dxa"/>
            <w:vAlign w:val="bottom"/>
            <w:gridSpan w:val="2"/>
          </w:tcPr>
          <w:p>
            <w:pPr>
              <w:ind w:left="740"/>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8"/>
                <w:szCs w:val="18"/>
                <w:color w:val="auto"/>
              </w:rPr>
            </w:pPr>
          </w:p>
        </w:tc>
        <w:tc>
          <w:tcPr>
            <w:tcW w:w="1640" w:type="dxa"/>
            <w:vAlign w:val="bottom"/>
          </w:tcPr>
          <w:p>
            <w:pPr>
              <w:jc w:val="center"/>
              <w:ind w:right="214"/>
              <w:spacing w:after="0"/>
              <w:rPr>
                <w:sz w:val="20"/>
                <w:szCs w:val="20"/>
                <w:color w:val="auto"/>
              </w:rPr>
            </w:pPr>
            <w:r>
              <w:rPr>
                <w:rFonts w:ascii="Arial" w:cs="Arial" w:eastAsia="Arial" w:hAnsi="Arial"/>
                <w:sz w:val="16"/>
                <w:szCs w:val="16"/>
                <w:b w:val="1"/>
                <w:bCs w:val="1"/>
                <w:color w:val="auto"/>
                <w:w w:val="89"/>
              </w:rPr>
              <w:t>Exercise Price</w:t>
            </w:r>
          </w:p>
        </w:tc>
      </w:tr>
      <w:tr>
        <w:trPr>
          <w:trHeight w:val="33"/>
        </w:trPr>
        <w:tc>
          <w:tcPr>
            <w:tcW w:w="36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$8.00 to $15.00</w:t>
            </w:r>
          </w:p>
        </w:tc>
        <w:tc>
          <w:tcPr>
            <w:tcW w:w="57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98,784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$15.01 to $21.00</w:t>
            </w:r>
          </w:p>
        </w:tc>
        <w:tc>
          <w:tcPr>
            <w:tcW w:w="5700" w:type="dxa"/>
            <w:vAlign w:val="bottom"/>
            <w:gridSpan w:val="2"/>
          </w:tcPr>
          <w:p>
            <w:pPr>
              <w:jc w:val="right"/>
              <w:ind w:right="34"/>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19.05</w:t>
            </w:r>
          </w:p>
        </w:tc>
      </w:tr>
      <w:tr>
        <w:trPr>
          <w:trHeight w:val="27"/>
        </w:trPr>
        <w:tc>
          <w:tcPr>
            <w:tcW w:w="3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$21.01 to $28.00</w:t>
            </w:r>
          </w:p>
        </w:tc>
        <w:tc>
          <w:tcPr>
            <w:tcW w:w="37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24.40</w:t>
            </w:r>
          </w:p>
        </w:tc>
      </w:tr>
      <w:tr>
        <w:trPr>
          <w:trHeight w:val="237"/>
        </w:trPr>
        <w:tc>
          <w:tcPr>
            <w:tcW w:w="3620" w:type="dxa"/>
            <w:vAlign w:val="bottom"/>
          </w:tcPr>
          <w:p>
            <w:pPr>
              <w:ind w:left="380"/>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rPr>
                <w:sz w:val="20"/>
                <w:szCs w:val="20"/>
                <w:color w:val="auto"/>
              </w:rPr>
            </w:pPr>
          </w:p>
        </w:tc>
        <w:tc>
          <w:tcPr>
            <w:tcW w:w="1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259,563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18.03</w:t>
            </w:r>
          </w:p>
        </w:tc>
      </w:tr>
      <w:tr>
        <w:trPr>
          <w:trHeight w:val="27"/>
        </w:trPr>
        <w:tc>
          <w:tcPr>
            <w:tcW w:w="3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5800" w:type="dxa"/>
            <w:vAlign w:val="bottom"/>
            <w:gridSpan w:val="3"/>
          </w:tcPr>
          <w:p>
            <w:pPr>
              <w:ind w:left="1880"/>
              <w:spacing w:after="0"/>
              <w:rPr>
                <w:sz w:val="20"/>
                <w:szCs w:val="20"/>
                <w:color w:val="auto"/>
              </w:rPr>
            </w:pPr>
            <w:r>
              <w:rPr>
                <w:rFonts w:ascii="Arial" w:cs="Arial" w:eastAsia="Arial" w:hAnsi="Arial"/>
                <w:sz w:val="18"/>
                <w:szCs w:val="18"/>
                <w:color w:val="auto"/>
              </w:rPr>
              <w:t>F-44</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980" w:type="dxa"/>
            <w:vAlign w:val="bottom"/>
            <w:gridSpan w:val="5"/>
          </w:tcPr>
          <w:p>
            <w:pPr>
              <w:ind w:left="880"/>
              <w:spacing w:after="0"/>
              <w:rPr>
                <w:sz w:val="20"/>
                <w:szCs w:val="20"/>
                <w:color w:val="auto"/>
              </w:rPr>
            </w:pPr>
            <w:r>
              <w:rPr>
                <w:rFonts w:ascii="Arial" w:cs="Arial" w:eastAsia="Arial" w:hAnsi="Arial"/>
                <w:sz w:val="16"/>
                <w:szCs w:val="16"/>
                <w:b w:val="1"/>
                <w:bCs w:val="1"/>
                <w:color w:val="auto"/>
              </w:rPr>
              <w:t>Restricted Stock</w:t>
            </w:r>
          </w:p>
        </w:tc>
        <w:tc>
          <w:tcPr>
            <w:tcW w:w="28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Restricted Stock Units</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5620" w:type="dxa"/>
            <w:vAlign w:val="bottom"/>
          </w:tcPr>
          <w:p>
            <w:pPr>
              <w:spacing w:after="0"/>
              <w:rPr>
                <w:sz w:val="18"/>
                <w:szCs w:val="18"/>
                <w:color w:val="auto"/>
              </w:rPr>
            </w:pPr>
          </w:p>
        </w:tc>
        <w:tc>
          <w:tcPr>
            <w:tcW w:w="150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December 31, 2016 </w:t>
            </w:r>
            <w:r>
              <w:rPr>
                <w:rFonts w:ascii="Arial" w:cs="Arial" w:eastAsia="Arial" w:hAnsi="Arial"/>
                <w:sz w:val="25"/>
                <w:szCs w:val="25"/>
                <w:color w:val="auto"/>
                <w:vertAlign w:val="superscript"/>
              </w:rPr>
              <w:t>(1)</w:t>
            </w: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246,940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1,256,288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37.38</w:t>
            </w: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391,927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48.02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34.52</w:t>
            </w: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41.50</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5"/>
                <w:szCs w:val="25"/>
                <w:color w:val="auto"/>
                <w:vertAlign w:val="superscript"/>
              </w:rPr>
              <w:t>(1)</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182,267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1,046,999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42.26</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firstLine="8"/>
        <w:spacing w:after="0" w:line="275" w:lineRule="auto"/>
        <w:tabs>
          <w:tab w:leader="none" w:pos="392"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Excludes 11,058 and 19,874 restricted stock units vested during the years ended December 31, 2017 and 2016, respectively. As of December 31, 2017 and 2016 restricted stock units vested for which the underlying common stock is yet to be issued are 146,112 and 135,054, respectively.</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2017, unrecognized compensation cost of $34,463 is expected to be expensed over a weighted average period of 2.47 years. The weighted-average fair value of restricted stock and restricted stock units granted during the years ended December 31, 2017, 2016 and 2015 was $48.02, $48.97 and $35.18, respectively. The total grant date fair value of restricted stock and restricted stock units vested during the years ended December 31, 2017, 2016 and 2015 was $19,430, $10,761 and $12,620,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Under the 2015 Plan, the Company grants performance-based restricted stock units (“PRSUs”) to executive officers and other specified employees. 50% of the PRSUs cliff vest at the end of a three-year period based on a revenue target for the third year (“PUs”). However, for PUs granted in 2015, up to one-third of the PUs may be earned based on the Company’s revenue performance in each of the first two years against annual revenue targets in those years. The total amount of PUs that the recipient earns based on these performance criteria will be the greater of (i) the PUs earned in the year of vesting and (ii) the sum of the earned PUs during the first two years. The remaining 50% is based on a market condition (“MUs”) that is contingent on the Company meeting or exceeding the total shareholder return relative to a group of peer companies specified under the program measured over a three-year performance period. The award recipient may earn up to two hundred percent (200%) of the PRSUs granted based on the actual achievement of targets.</w:t>
      </w:r>
    </w:p>
    <w:p>
      <w:pPr>
        <w:spacing w:after="0" w:line="16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fair value of each PU was determined based on the market price of one common share on the date of grant, and the associated compensation expense was calculated on the basis that performance targets at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62"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76"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each MU granted to employees is estimated on the date of grant using the following weighted average assumptions:</w:t>
      </w:r>
    </w:p>
    <w:p>
      <w:pPr>
        <w:spacing w:after="0" w:line="172"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37465</wp:posOffset>
            </wp:positionV>
            <wp:extent cx="2864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80"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6180" w:type="dxa"/>
            <w:vAlign w:val="bottom"/>
            <w:gridSpan w:val="2"/>
          </w:tcPr>
          <w:p>
            <w:pPr>
              <w:ind w:left="5840"/>
              <w:spacing w:after="0"/>
              <w:rPr>
                <w:sz w:val="20"/>
                <w:szCs w:val="20"/>
                <w:color w:val="auto"/>
              </w:rPr>
            </w:pPr>
            <w:r>
              <w:rPr>
                <w:rFonts w:ascii="Arial" w:cs="Arial" w:eastAsia="Arial" w:hAnsi="Arial"/>
                <w:sz w:val="16"/>
                <w:szCs w:val="16"/>
                <w:b w:val="1"/>
                <w:bCs w:val="1"/>
                <w:color w:val="auto"/>
                <w:w w:val="89"/>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33"/>
        </w:trPr>
        <w:tc>
          <w:tcPr>
            <w:tcW w:w="5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2.86</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2.84</w:t>
            </w:r>
          </w:p>
        </w:tc>
      </w:tr>
      <w:tr>
        <w:trPr>
          <w:trHeight w:val="27"/>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23.8%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756"/>
        </w:trPr>
        <w:tc>
          <w:tcPr>
            <w:tcW w:w="6180" w:type="dxa"/>
            <w:vAlign w:val="bottom"/>
            <w:gridSpan w:val="2"/>
          </w:tcPr>
          <w:p>
            <w:pPr>
              <w:ind w:left="4720"/>
              <w:spacing w:after="0"/>
              <w:rPr>
                <w:sz w:val="20"/>
                <w:szCs w:val="20"/>
                <w:color w:val="auto"/>
              </w:rPr>
            </w:pPr>
            <w:r>
              <w:rPr>
                <w:rFonts w:ascii="Arial" w:cs="Arial" w:eastAsia="Arial" w:hAnsi="Arial"/>
                <w:sz w:val="18"/>
                <w:szCs w:val="18"/>
                <w:color w:val="auto"/>
              </w:rPr>
              <w:t>F-46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960" w:type="dxa"/>
            <w:vAlign w:val="bottom"/>
            <w:gridSpan w:val="5"/>
          </w:tcPr>
          <w:p>
            <w:pPr>
              <w:ind w:left="660"/>
              <w:spacing w:after="0"/>
              <w:rPr>
                <w:sz w:val="20"/>
                <w:szCs w:val="20"/>
                <w:color w:val="auto"/>
              </w:rPr>
            </w:pPr>
            <w:r>
              <w:rPr>
                <w:rFonts w:ascii="Arial" w:cs="Arial" w:eastAsia="Arial" w:hAnsi="Arial"/>
                <w:sz w:val="16"/>
                <w:szCs w:val="16"/>
                <w:b w:val="1"/>
                <w:bCs w:val="1"/>
                <w:color w:val="auto"/>
              </w:rPr>
              <w:t>Revenue Based PRSUs</w:t>
            </w:r>
          </w:p>
        </w:tc>
        <w:tc>
          <w:tcPr>
            <w:tcW w:w="286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rPr>
              <w:t>Market Condition Based PRSUs</w:t>
            </w:r>
          </w:p>
        </w:tc>
      </w:tr>
      <w:tr>
        <w:trPr>
          <w:trHeight w:val="33"/>
        </w:trPr>
        <w:tc>
          <w:tcPr>
            <w:tcW w:w="4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 Avg</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1"/>
              </w:rPr>
              <w:t>Weighted Avg</w:t>
            </w:r>
          </w:p>
        </w:tc>
      </w:tr>
      <w:tr>
        <w:trPr>
          <w:trHeight w:val="210"/>
        </w:trPr>
        <w:tc>
          <w:tcPr>
            <w:tcW w:w="4780" w:type="dxa"/>
            <w:vAlign w:val="bottom"/>
          </w:tcPr>
          <w:p>
            <w:pPr>
              <w:spacing w:after="0"/>
              <w:rPr>
                <w:sz w:val="18"/>
                <w:szCs w:val="18"/>
                <w:color w:val="auto"/>
              </w:rPr>
            </w:pPr>
          </w:p>
        </w:tc>
        <w:tc>
          <w:tcPr>
            <w:tcW w:w="148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148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122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62,113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54.10</w:t>
            </w: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Adjustment upon final determination of level of performance</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goal achievement*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(45,192)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39.60</w:t>
            </w: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58.85</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113,190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60.80</w:t>
            </w:r>
          </w:p>
        </w:tc>
      </w:tr>
      <w:tr>
        <w:trPr>
          <w:trHeight w:val="27"/>
        </w:trPr>
        <w:tc>
          <w:tcPr>
            <w:tcW w:w="4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342" w:lineRule="auto"/>
        <w:tabs>
          <w:tab w:leader="none" w:pos="527" w:val="left"/>
        </w:tabs>
        <w:numPr>
          <w:ilvl w:val="0"/>
          <w:numId w:val="28"/>
        </w:numPr>
        <w:rPr>
          <w:rFonts w:ascii="Arial" w:cs="Arial" w:eastAsia="Arial" w:hAnsi="Arial"/>
          <w:sz w:val="14"/>
          <w:szCs w:val="14"/>
          <w:i w:val="1"/>
          <w:iCs w:val="1"/>
          <w:color w:val="auto"/>
        </w:rPr>
      </w:pPr>
      <w:r>
        <w:rPr>
          <w:rFonts w:ascii="Arial" w:cs="Arial" w:eastAsia="Arial" w:hAnsi="Arial"/>
          <w:sz w:val="16"/>
          <w:szCs w:val="16"/>
          <w:color w:val="auto"/>
        </w:rPr>
        <w:t>Represents adjustment of shares issued in respect of PUs and MUs granted in February 2015 and MUs granted in April 2015 upon certification of the level of achievement of the performance targets for such awards for which the underlying common stock was issued subsequent to December 31, 2017.</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2017, unrecognized compensation cost of $6,810 is expected to be expensed over a weighted average period of 1.76 years.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Subsequent to December 31, 2017, the Company granted approximately 458,000 PRSUs and restricted stock units to its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Party Disclosures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approximately $1,748 for the year ended December 31, 2017 for services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Company had an account receivable of $140 related to these services.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2017, the Company has committed to spend approximately $9,500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certain of its transfer pricing policies for some of its subsidiaries. Further, the Company and a U.S. subsidiary are engaged in tax litigation with the income-tax authorities in India on the issue of permanent establishment.</w:t>
      </w:r>
    </w:p>
    <w:p>
      <w:pPr>
        <w:spacing w:after="0" w:line="17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aggregate amount demanded by Income tax authorities (net of advance payments, if any) from the Company related to its transfer pricing issues for tax years 2003 to 2014 and its permanent establishment issues for tax years 2003 to 2007 as of December 31, 2017 and 2016 is $18,065 and $17,963, respectively, of which the Company has made payments or provided bank guarantee to the extent $8,573 and $8,640, respectively. Amounts paid as deposits in respect of such assessments aggregating to $6,499 and $6,690 as of December 31, 2017 and 2016, respectively, are included in “Other assets” and amounts deposited for bank guarantees aggregating to $2,074 and $1,950 as of December 31, 2017 and 2016, respectively, are included in “Restricted cash” in the non-current assets section of the Company’s consolidated balance sheets.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1451610</wp:posOffset>
            </wp:positionV>
            <wp:extent cx="127762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21,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EXLSERVICE HOLDINGS,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Loan Parties Party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CITIBANK, N.A. and PNC CAPITAL MARKETS LLC,</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as Joint Lead Arrangers and Joint Bookrunners</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948055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WEIL:\96326885\14\35899.0571</w:t>
      </w:r>
    </w:p>
    <w:p>
      <w:pPr>
        <w:sectPr>
          <w:pgSz w:w="11900" w:h="16838" w:orient="portrait"/>
          <w:cols w:equalWidth="0" w:num="1">
            <w:col w:w="11420"/>
          </w:cols>
          <w:pgMar w:left="240" w:top="121"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0" w:type="dxa"/>
            <w:vAlign w:val="bottom"/>
            <w:gridSpan w:val="3"/>
          </w:tcPr>
          <w:p>
            <w:pPr>
              <w:jc w:val="center"/>
              <w:ind w:right="4301"/>
              <w:spacing w:after="0"/>
              <w:rPr>
                <w:sz w:val="20"/>
                <w:szCs w:val="20"/>
                <w:color w:val="auto"/>
              </w:rPr>
            </w:pPr>
            <w:r>
              <w:rPr>
                <w:rFonts w:ascii="Arial" w:cs="Arial" w:eastAsia="Arial" w:hAnsi="Arial"/>
                <w:sz w:val="20"/>
                <w:szCs w:val="20"/>
                <w:b w:val="1"/>
                <w:bCs w:val="1"/>
                <w:color w:val="auto"/>
                <w:w w:val="98"/>
              </w:rPr>
              <w:t>TABLE OF CONTENTS</w:t>
            </w:r>
          </w:p>
        </w:tc>
      </w:tr>
      <w:tr>
        <w:trPr>
          <w:trHeight w:val="446"/>
        </w:trPr>
        <w:tc>
          <w:tcPr>
            <w:tcW w:w="1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ind w:left="5500"/>
              <w:spacing w:after="0"/>
              <w:rPr>
                <w:sz w:val="20"/>
                <w:szCs w:val="20"/>
                <w:color w:val="auto"/>
              </w:rPr>
            </w:pPr>
            <w:r>
              <w:rPr>
                <w:rFonts w:ascii="Arial" w:cs="Arial" w:eastAsia="Arial" w:hAnsi="Arial"/>
                <w:sz w:val="20"/>
                <w:szCs w:val="20"/>
                <w:b w:val="1"/>
                <w:bCs w:val="1"/>
                <w:color w:val="auto"/>
                <w:w w:val="79"/>
              </w:rPr>
              <w:t>Page</w:t>
            </w: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I</w:t>
            </w:r>
          </w:p>
        </w:tc>
        <w:tc>
          <w:tcPr>
            <w:tcW w:w="1640" w:type="dxa"/>
            <w:vAlign w:val="bottom"/>
          </w:tcPr>
          <w:p>
            <w:pPr>
              <w:ind w:left="320"/>
              <w:spacing w:after="0"/>
              <w:rPr>
                <w:sz w:val="20"/>
                <w:szCs w:val="20"/>
                <w:color w:val="auto"/>
              </w:rPr>
            </w:pPr>
            <w:r>
              <w:rPr>
                <w:rFonts w:ascii="Arial" w:cs="Arial" w:eastAsia="Arial" w:hAnsi="Arial"/>
                <w:sz w:val="20"/>
                <w:szCs w:val="20"/>
                <w:color w:val="auto"/>
              </w:rPr>
              <w:t>DEFINITIONS</w:t>
            </w:r>
          </w:p>
        </w:tc>
        <w:tc>
          <w:tcPr>
            <w:tcW w:w="540" w:type="dxa"/>
            <w:vAlign w:val="bottom"/>
          </w:tcPr>
          <w:p>
            <w:pPr>
              <w:jc w:val="right"/>
              <w:ind w:right="24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1.01</w:t>
            </w:r>
          </w:p>
        </w:tc>
        <w:tc>
          <w:tcPr>
            <w:tcW w:w="1640" w:type="dxa"/>
            <w:vAlign w:val="bottom"/>
          </w:tcPr>
          <w:p>
            <w:pPr>
              <w:ind w:left="320"/>
              <w:spacing w:after="0"/>
              <w:rPr>
                <w:sz w:val="20"/>
                <w:szCs w:val="20"/>
                <w:color w:val="auto"/>
              </w:rPr>
            </w:pPr>
            <w:r>
              <w:rPr>
                <w:rFonts w:ascii="Arial" w:cs="Arial" w:eastAsia="Arial" w:hAnsi="Arial"/>
                <w:sz w:val="20"/>
                <w:szCs w:val="20"/>
                <w:color w:val="auto"/>
                <w:w w:val="99"/>
              </w:rPr>
              <w:t>Defined Terms</w:t>
            </w:r>
          </w:p>
        </w:tc>
        <w:tc>
          <w:tcPr>
            <w:tcW w:w="540" w:type="dxa"/>
            <w:vAlign w:val="bottom"/>
          </w:tcPr>
          <w:p>
            <w:pPr>
              <w:jc w:val="right"/>
              <w:ind w:right="28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1.02</w:t>
            </w:r>
          </w:p>
        </w:tc>
        <w:tc>
          <w:tcPr>
            <w:tcW w:w="3560" w:type="dxa"/>
            <w:vAlign w:val="bottom"/>
            <w:gridSpan w:val="5"/>
          </w:tcPr>
          <w:p>
            <w:pPr>
              <w:ind w:left="320"/>
              <w:spacing w:after="0"/>
              <w:rPr>
                <w:sz w:val="20"/>
                <w:szCs w:val="20"/>
                <w:color w:val="auto"/>
              </w:rPr>
            </w:pPr>
            <w:r>
              <w:rPr>
                <w:rFonts w:ascii="Arial" w:cs="Arial" w:eastAsia="Arial" w:hAnsi="Arial"/>
                <w:sz w:val="20"/>
                <w:szCs w:val="20"/>
                <w:color w:val="auto"/>
                <w:w w:val="93"/>
              </w:rPr>
              <w:t>Classification of Loans and Borrowings</w:t>
            </w:r>
          </w:p>
        </w:tc>
        <w:tc>
          <w:tcPr>
            <w:tcW w:w="5900" w:type="dxa"/>
            <w:vAlign w:val="bottom"/>
          </w:tcPr>
          <w:p>
            <w:pPr>
              <w:jc w:val="center"/>
              <w:ind w:right="5381"/>
              <w:spacing w:after="0"/>
              <w:rPr>
                <w:sz w:val="20"/>
                <w:szCs w:val="20"/>
                <w:color w:val="auto"/>
              </w:rPr>
            </w:pPr>
            <w:r>
              <w:rPr>
                <w:rFonts w:ascii="Arial" w:cs="Arial" w:eastAsia="Arial" w:hAnsi="Arial"/>
                <w:sz w:val="20"/>
                <w:szCs w:val="20"/>
                <w:color w:val="auto"/>
                <w:w w:val="80"/>
              </w:rPr>
              <w:t>24</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1.03</w:t>
            </w:r>
          </w:p>
        </w:tc>
        <w:tc>
          <w:tcPr>
            <w:tcW w:w="1640" w:type="dxa"/>
            <w:vAlign w:val="bottom"/>
          </w:tcPr>
          <w:p>
            <w:pPr>
              <w:ind w:left="320"/>
              <w:spacing w:after="0"/>
              <w:rPr>
                <w:sz w:val="20"/>
                <w:szCs w:val="20"/>
                <w:color w:val="auto"/>
              </w:rPr>
            </w:pPr>
            <w:r>
              <w:rPr>
                <w:rFonts w:ascii="Arial" w:cs="Arial" w:eastAsia="Arial" w:hAnsi="Arial"/>
                <w:sz w:val="20"/>
                <w:szCs w:val="20"/>
                <w:color w:val="auto"/>
                <w:w w:val="87"/>
              </w:rPr>
              <w:t>Terms Generally</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24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1.04</w:t>
            </w:r>
          </w:p>
        </w:tc>
        <w:tc>
          <w:tcPr>
            <w:tcW w:w="2460" w:type="dxa"/>
            <w:vAlign w:val="bottom"/>
            <w:gridSpan w:val="3"/>
          </w:tcPr>
          <w:p>
            <w:pPr>
              <w:ind w:left="320"/>
              <w:spacing w:after="0"/>
              <w:rPr>
                <w:sz w:val="20"/>
                <w:szCs w:val="20"/>
                <w:color w:val="auto"/>
              </w:rPr>
            </w:pPr>
            <w:r>
              <w:rPr>
                <w:rFonts w:ascii="Arial" w:cs="Arial" w:eastAsia="Arial" w:hAnsi="Arial"/>
                <w:sz w:val="20"/>
                <w:szCs w:val="20"/>
                <w:color w:val="auto"/>
                <w:w w:val="93"/>
              </w:rPr>
              <w:t>Accounting Terms; GAAP</w:t>
            </w:r>
          </w:p>
        </w:tc>
        <w:tc>
          <w:tcPr>
            <w:tcW w:w="420" w:type="dxa"/>
            <w:vAlign w:val="bottom"/>
          </w:tcPr>
          <w:p>
            <w:pPr>
              <w:jc w:val="right"/>
              <w:spacing w:after="0"/>
              <w:rPr>
                <w:sz w:val="20"/>
                <w:szCs w:val="20"/>
                <w:color w:val="auto"/>
              </w:rPr>
            </w:pPr>
            <w:r>
              <w:rPr>
                <w:rFonts w:ascii="Arial" w:cs="Arial" w:eastAsia="Arial" w:hAnsi="Arial"/>
                <w:sz w:val="20"/>
                <w:szCs w:val="20"/>
                <w:color w:val="auto"/>
              </w:rPr>
              <w:t>25</w:t>
            </w: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1.05</w:t>
            </w:r>
          </w:p>
        </w:tc>
        <w:tc>
          <w:tcPr>
            <w:tcW w:w="2180" w:type="dxa"/>
            <w:vAlign w:val="bottom"/>
            <w:gridSpan w:val="2"/>
          </w:tcPr>
          <w:p>
            <w:pPr>
              <w:ind w:left="320"/>
              <w:spacing w:after="0"/>
              <w:rPr>
                <w:sz w:val="20"/>
                <w:szCs w:val="20"/>
                <w:color w:val="auto"/>
              </w:rPr>
            </w:pPr>
            <w:r>
              <w:rPr>
                <w:rFonts w:ascii="Arial" w:cs="Arial" w:eastAsia="Arial" w:hAnsi="Arial"/>
                <w:sz w:val="20"/>
                <w:szCs w:val="20"/>
                <w:color w:val="auto"/>
                <w:w w:val="99"/>
              </w:rPr>
              <w:t>Status of Obligations</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II</w:t>
            </w:r>
          </w:p>
        </w:tc>
        <w:tc>
          <w:tcPr>
            <w:tcW w:w="1640" w:type="dxa"/>
            <w:vAlign w:val="bottom"/>
          </w:tcPr>
          <w:p>
            <w:pPr>
              <w:ind w:left="320"/>
              <w:spacing w:after="0"/>
              <w:rPr>
                <w:sz w:val="20"/>
                <w:szCs w:val="20"/>
                <w:color w:val="auto"/>
              </w:rPr>
            </w:pPr>
            <w:r>
              <w:rPr>
                <w:rFonts w:ascii="Arial" w:cs="Arial" w:eastAsia="Arial" w:hAnsi="Arial"/>
                <w:sz w:val="20"/>
                <w:szCs w:val="20"/>
                <w:color w:val="auto"/>
                <w:w w:val="97"/>
              </w:rPr>
              <w:t>THE CREDITS</w:t>
            </w:r>
          </w:p>
        </w:tc>
        <w:tc>
          <w:tcPr>
            <w:tcW w:w="540" w:type="dxa"/>
            <w:vAlign w:val="bottom"/>
          </w:tcPr>
          <w:p>
            <w:pPr>
              <w:jc w:val="right"/>
              <w:ind w:right="101"/>
              <w:spacing w:after="0"/>
              <w:rPr>
                <w:sz w:val="20"/>
                <w:szCs w:val="20"/>
                <w:color w:val="auto"/>
              </w:rPr>
            </w:pPr>
            <w:r>
              <w:rPr>
                <w:rFonts w:ascii="Arial" w:cs="Arial" w:eastAsia="Arial" w:hAnsi="Arial"/>
                <w:sz w:val="20"/>
                <w:szCs w:val="20"/>
                <w:color w:val="auto"/>
              </w:rPr>
              <w:t>25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2.01</w:t>
            </w:r>
          </w:p>
        </w:tc>
        <w:tc>
          <w:tcPr>
            <w:tcW w:w="1640" w:type="dxa"/>
            <w:vAlign w:val="bottom"/>
          </w:tcPr>
          <w:p>
            <w:pPr>
              <w:ind w:left="320"/>
              <w:spacing w:after="0"/>
              <w:rPr>
                <w:sz w:val="20"/>
                <w:szCs w:val="20"/>
                <w:color w:val="auto"/>
              </w:rPr>
            </w:pPr>
            <w:r>
              <w:rPr>
                <w:rFonts w:ascii="Arial" w:cs="Arial" w:eastAsia="Arial" w:hAnsi="Arial"/>
                <w:sz w:val="20"/>
                <w:szCs w:val="20"/>
                <w:color w:val="auto"/>
              </w:rPr>
              <w:t>Commitments</w:t>
            </w:r>
          </w:p>
        </w:tc>
        <w:tc>
          <w:tcPr>
            <w:tcW w:w="540" w:type="dxa"/>
            <w:vAlign w:val="bottom"/>
          </w:tcPr>
          <w:p>
            <w:pPr>
              <w:jc w:val="right"/>
              <w:ind w:right="241"/>
              <w:spacing w:after="0"/>
              <w:rPr>
                <w:sz w:val="20"/>
                <w:szCs w:val="20"/>
                <w:color w:val="auto"/>
              </w:rPr>
            </w:pPr>
            <w:r>
              <w:rPr>
                <w:rFonts w:ascii="Arial" w:cs="Arial" w:eastAsia="Arial" w:hAnsi="Arial"/>
                <w:sz w:val="20"/>
                <w:szCs w:val="20"/>
                <w:color w:val="auto"/>
                <w:w w:val="80"/>
              </w:rPr>
              <w:t>25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2.02</w:t>
            </w:r>
          </w:p>
        </w:tc>
        <w:tc>
          <w:tcPr>
            <w:tcW w:w="2180" w:type="dxa"/>
            <w:vAlign w:val="bottom"/>
            <w:gridSpan w:val="2"/>
          </w:tcPr>
          <w:p>
            <w:pPr>
              <w:ind w:left="320"/>
              <w:spacing w:after="0"/>
              <w:rPr>
                <w:sz w:val="20"/>
                <w:szCs w:val="20"/>
                <w:color w:val="auto"/>
              </w:rPr>
            </w:pPr>
            <w:r>
              <w:rPr>
                <w:rFonts w:ascii="Arial" w:cs="Arial" w:eastAsia="Arial" w:hAnsi="Arial"/>
                <w:sz w:val="20"/>
                <w:szCs w:val="20"/>
                <w:color w:val="auto"/>
                <w:w w:val="92"/>
              </w:rPr>
              <w:t>Loans and Borrowings</w:t>
            </w:r>
          </w:p>
        </w:tc>
        <w:tc>
          <w:tcPr>
            <w:tcW w:w="700" w:type="dxa"/>
            <w:vAlign w:val="bottom"/>
            <w:gridSpan w:val="2"/>
          </w:tcPr>
          <w:p>
            <w:pPr>
              <w:jc w:val="right"/>
              <w:ind w:right="261"/>
              <w:spacing w:after="0"/>
              <w:rPr>
                <w:sz w:val="20"/>
                <w:szCs w:val="20"/>
                <w:color w:val="auto"/>
              </w:rPr>
            </w:pPr>
            <w:r>
              <w:rPr>
                <w:rFonts w:ascii="Arial" w:cs="Arial" w:eastAsia="Arial" w:hAnsi="Arial"/>
                <w:sz w:val="20"/>
                <w:szCs w:val="20"/>
                <w:color w:val="auto"/>
              </w:rPr>
              <w:t>26</w:t>
            </w: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2.03</w:t>
            </w:r>
          </w:p>
        </w:tc>
        <w:tc>
          <w:tcPr>
            <w:tcW w:w="2460" w:type="dxa"/>
            <w:vAlign w:val="bottom"/>
            <w:gridSpan w:val="3"/>
          </w:tcPr>
          <w:p>
            <w:pPr>
              <w:ind w:left="320"/>
              <w:spacing w:after="0"/>
              <w:rPr>
                <w:sz w:val="20"/>
                <w:szCs w:val="20"/>
                <w:color w:val="auto"/>
              </w:rPr>
            </w:pPr>
            <w:r>
              <w:rPr>
                <w:rFonts w:ascii="Arial" w:cs="Arial" w:eastAsia="Arial" w:hAnsi="Arial"/>
                <w:sz w:val="20"/>
                <w:szCs w:val="20"/>
                <w:color w:val="auto"/>
                <w:w w:val="96"/>
              </w:rPr>
              <w:t>Requests for Borrowings</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w w:val="98"/>
              </w:rPr>
              <w:t>26</w:t>
            </w: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2.04</w:t>
            </w:r>
          </w:p>
        </w:tc>
        <w:tc>
          <w:tcPr>
            <w:tcW w:w="2880" w:type="dxa"/>
            <w:vAlign w:val="bottom"/>
            <w:gridSpan w:val="4"/>
          </w:tcPr>
          <w:p>
            <w:pPr>
              <w:ind w:left="320"/>
              <w:spacing w:after="0"/>
              <w:rPr>
                <w:sz w:val="20"/>
                <w:szCs w:val="20"/>
                <w:color w:val="auto"/>
              </w:rPr>
            </w:pPr>
            <w:r>
              <w:rPr>
                <w:rFonts w:ascii="Arial" w:cs="Arial" w:eastAsia="Arial" w:hAnsi="Arial"/>
                <w:sz w:val="20"/>
                <w:szCs w:val="20"/>
                <w:color w:val="auto"/>
                <w:w w:val="97"/>
              </w:rPr>
              <w:t>[Section intentionally omitted]</w:t>
            </w:r>
          </w:p>
        </w:tc>
        <w:tc>
          <w:tcPr>
            <w:tcW w:w="680" w:type="dxa"/>
            <w:vAlign w:val="bottom"/>
          </w:tcPr>
          <w:p>
            <w:pPr>
              <w:jc w:val="right"/>
              <w:ind w:right="321"/>
              <w:spacing w:after="0"/>
              <w:rPr>
                <w:sz w:val="20"/>
                <w:szCs w:val="20"/>
                <w:color w:val="auto"/>
              </w:rPr>
            </w:pPr>
            <w:r>
              <w:rPr>
                <w:rFonts w:ascii="Arial" w:cs="Arial" w:eastAsia="Arial" w:hAnsi="Arial"/>
                <w:sz w:val="20"/>
                <w:szCs w:val="20"/>
                <w:color w:val="auto"/>
              </w:rPr>
              <w:t>27</w:t>
            </w: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2.05</w:t>
            </w:r>
          </w:p>
        </w:tc>
        <w:tc>
          <w:tcPr>
            <w:tcW w:w="2880" w:type="dxa"/>
            <w:vAlign w:val="bottom"/>
            <w:gridSpan w:val="4"/>
          </w:tcPr>
          <w:p>
            <w:pPr>
              <w:ind w:left="320"/>
              <w:spacing w:after="0"/>
              <w:rPr>
                <w:sz w:val="20"/>
                <w:szCs w:val="20"/>
                <w:color w:val="auto"/>
              </w:rPr>
            </w:pPr>
            <w:r>
              <w:rPr>
                <w:rFonts w:ascii="Arial" w:cs="Arial" w:eastAsia="Arial" w:hAnsi="Arial"/>
                <w:sz w:val="20"/>
                <w:szCs w:val="20"/>
                <w:color w:val="auto"/>
                <w:w w:val="97"/>
              </w:rPr>
              <w:t>[Section intentionally omitted]</w:t>
            </w:r>
          </w:p>
        </w:tc>
        <w:tc>
          <w:tcPr>
            <w:tcW w:w="680" w:type="dxa"/>
            <w:vAlign w:val="bottom"/>
          </w:tcPr>
          <w:p>
            <w:pPr>
              <w:jc w:val="right"/>
              <w:ind w:right="321"/>
              <w:spacing w:after="0"/>
              <w:rPr>
                <w:sz w:val="20"/>
                <w:szCs w:val="20"/>
                <w:color w:val="auto"/>
              </w:rPr>
            </w:pPr>
            <w:r>
              <w:rPr>
                <w:rFonts w:ascii="Arial" w:cs="Arial" w:eastAsia="Arial" w:hAnsi="Arial"/>
                <w:sz w:val="20"/>
                <w:szCs w:val="20"/>
                <w:color w:val="auto"/>
              </w:rPr>
              <w:t>27</w:t>
            </w: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2.06</w:t>
            </w:r>
          </w:p>
        </w:tc>
        <w:tc>
          <w:tcPr>
            <w:tcW w:w="1640" w:type="dxa"/>
            <w:vAlign w:val="bottom"/>
          </w:tcPr>
          <w:p>
            <w:pPr>
              <w:ind w:left="320"/>
              <w:spacing w:after="0"/>
              <w:rPr>
                <w:sz w:val="20"/>
                <w:szCs w:val="20"/>
                <w:color w:val="auto"/>
              </w:rPr>
            </w:pPr>
            <w:r>
              <w:rPr>
                <w:rFonts w:ascii="Arial" w:cs="Arial" w:eastAsia="Arial" w:hAnsi="Arial"/>
                <w:sz w:val="20"/>
                <w:szCs w:val="20"/>
                <w:color w:val="auto"/>
                <w:w w:val="91"/>
              </w:rPr>
              <w:t>Letters of Credit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2.07</w:t>
            </w:r>
          </w:p>
        </w:tc>
        <w:tc>
          <w:tcPr>
            <w:tcW w:w="2180" w:type="dxa"/>
            <w:vAlign w:val="bottom"/>
            <w:gridSpan w:val="2"/>
          </w:tcPr>
          <w:p>
            <w:pPr>
              <w:ind w:left="320"/>
              <w:spacing w:after="0"/>
              <w:rPr>
                <w:sz w:val="20"/>
                <w:szCs w:val="20"/>
                <w:color w:val="auto"/>
              </w:rPr>
            </w:pPr>
            <w:r>
              <w:rPr>
                <w:rFonts w:ascii="Arial" w:cs="Arial" w:eastAsia="Arial" w:hAnsi="Arial"/>
                <w:sz w:val="20"/>
                <w:szCs w:val="20"/>
                <w:color w:val="auto"/>
                <w:w w:val="91"/>
              </w:rPr>
              <w:t>Funding of Borrowings</w:t>
            </w:r>
          </w:p>
        </w:tc>
        <w:tc>
          <w:tcPr>
            <w:tcW w:w="700" w:type="dxa"/>
            <w:vAlign w:val="bottom"/>
            <w:gridSpan w:val="2"/>
          </w:tcPr>
          <w:p>
            <w:pPr>
              <w:jc w:val="right"/>
              <w:ind w:right="201"/>
              <w:spacing w:after="0"/>
              <w:rPr>
                <w:sz w:val="20"/>
                <w:szCs w:val="20"/>
                <w:color w:val="auto"/>
              </w:rPr>
            </w:pPr>
            <w:r>
              <w:rPr>
                <w:rFonts w:ascii="Arial" w:cs="Arial" w:eastAsia="Arial" w:hAnsi="Arial"/>
                <w:sz w:val="20"/>
                <w:szCs w:val="20"/>
                <w:color w:val="auto"/>
              </w:rPr>
              <w:t>32</w:t>
            </w: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2.08</w:t>
            </w:r>
          </w:p>
        </w:tc>
        <w:tc>
          <w:tcPr>
            <w:tcW w:w="2180" w:type="dxa"/>
            <w:vAlign w:val="bottom"/>
            <w:gridSpan w:val="2"/>
          </w:tcPr>
          <w:p>
            <w:pPr>
              <w:ind w:left="320"/>
              <w:spacing w:after="0"/>
              <w:rPr>
                <w:sz w:val="20"/>
                <w:szCs w:val="20"/>
                <w:color w:val="auto"/>
              </w:rPr>
            </w:pPr>
            <w:r>
              <w:rPr>
                <w:rFonts w:ascii="Arial" w:cs="Arial" w:eastAsia="Arial" w:hAnsi="Arial"/>
                <w:sz w:val="20"/>
                <w:szCs w:val="20"/>
                <w:color w:val="auto"/>
                <w:w w:val="98"/>
              </w:rPr>
              <w:t>Interest Elections  32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2.09</w:t>
            </w:r>
          </w:p>
        </w:tc>
        <w:tc>
          <w:tcPr>
            <w:tcW w:w="9460" w:type="dxa"/>
            <w:vAlign w:val="bottom"/>
            <w:gridSpan w:val="6"/>
          </w:tcPr>
          <w:p>
            <w:pPr>
              <w:ind w:left="320"/>
              <w:spacing w:after="0"/>
              <w:rPr>
                <w:sz w:val="20"/>
                <w:szCs w:val="20"/>
                <w:color w:val="auto"/>
              </w:rPr>
            </w:pPr>
            <w:r>
              <w:rPr>
                <w:rFonts w:ascii="Arial" w:cs="Arial" w:eastAsia="Arial" w:hAnsi="Arial"/>
                <w:sz w:val="20"/>
                <w:szCs w:val="20"/>
                <w:color w:val="auto"/>
              </w:rPr>
              <w:t>Termination and Reduction of Commitments  33</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2.10</w:t>
            </w:r>
          </w:p>
        </w:tc>
        <w:tc>
          <w:tcPr>
            <w:tcW w:w="3560" w:type="dxa"/>
            <w:vAlign w:val="bottom"/>
            <w:gridSpan w:val="5"/>
          </w:tcPr>
          <w:p>
            <w:pPr>
              <w:ind w:left="320"/>
              <w:spacing w:after="0"/>
              <w:rPr>
                <w:sz w:val="20"/>
                <w:szCs w:val="20"/>
                <w:color w:val="auto"/>
              </w:rPr>
            </w:pPr>
            <w:r>
              <w:rPr>
                <w:rFonts w:ascii="Arial" w:cs="Arial" w:eastAsia="Arial" w:hAnsi="Arial"/>
                <w:sz w:val="20"/>
                <w:szCs w:val="20"/>
                <w:color w:val="auto"/>
                <w:w w:val="92"/>
              </w:rPr>
              <w:t>Repayment of Loans; Evidence of Debt</w:t>
            </w:r>
          </w:p>
        </w:tc>
        <w:tc>
          <w:tcPr>
            <w:tcW w:w="5900" w:type="dxa"/>
            <w:vAlign w:val="bottom"/>
          </w:tcPr>
          <w:p>
            <w:pPr>
              <w:jc w:val="center"/>
              <w:ind w:right="5401"/>
              <w:spacing w:after="0"/>
              <w:rPr>
                <w:sz w:val="20"/>
                <w:szCs w:val="20"/>
                <w:color w:val="auto"/>
              </w:rPr>
            </w:pPr>
            <w:r>
              <w:rPr>
                <w:rFonts w:ascii="Arial" w:cs="Arial" w:eastAsia="Arial" w:hAnsi="Arial"/>
                <w:sz w:val="20"/>
                <w:szCs w:val="20"/>
                <w:color w:val="auto"/>
                <w:w w:val="89"/>
              </w:rPr>
              <w:t>34</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2.11</w:t>
            </w:r>
          </w:p>
        </w:tc>
        <w:tc>
          <w:tcPr>
            <w:tcW w:w="2180" w:type="dxa"/>
            <w:vAlign w:val="bottom"/>
            <w:gridSpan w:val="2"/>
          </w:tcPr>
          <w:p>
            <w:pPr>
              <w:ind w:left="320"/>
              <w:spacing w:after="0"/>
              <w:rPr>
                <w:sz w:val="20"/>
                <w:szCs w:val="20"/>
                <w:color w:val="auto"/>
              </w:rPr>
            </w:pPr>
            <w:r>
              <w:rPr>
                <w:rFonts w:ascii="Arial" w:cs="Arial" w:eastAsia="Arial" w:hAnsi="Arial"/>
                <w:sz w:val="20"/>
                <w:szCs w:val="20"/>
                <w:color w:val="auto"/>
                <w:w w:val="96"/>
              </w:rPr>
              <w:t>Prepayment of Loans</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35</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2.12</w:t>
            </w:r>
          </w:p>
        </w:tc>
        <w:tc>
          <w:tcPr>
            <w:tcW w:w="1640" w:type="dxa"/>
            <w:vAlign w:val="bottom"/>
          </w:tcPr>
          <w:p>
            <w:pPr>
              <w:ind w:left="320"/>
              <w:spacing w:after="0"/>
              <w:rPr>
                <w:sz w:val="20"/>
                <w:szCs w:val="20"/>
                <w:color w:val="auto"/>
              </w:rPr>
            </w:pPr>
            <w:r>
              <w:rPr>
                <w:rFonts w:ascii="Arial" w:cs="Arial" w:eastAsia="Arial" w:hAnsi="Arial"/>
                <w:sz w:val="20"/>
                <w:szCs w:val="20"/>
                <w:color w:val="auto"/>
              </w:rPr>
              <w:t>Fees  35</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2.13</w:t>
            </w:r>
          </w:p>
        </w:tc>
        <w:tc>
          <w:tcPr>
            <w:tcW w:w="1640" w:type="dxa"/>
            <w:vAlign w:val="bottom"/>
          </w:tcPr>
          <w:p>
            <w:pPr>
              <w:ind w:left="320"/>
              <w:spacing w:after="0"/>
              <w:rPr>
                <w:sz w:val="20"/>
                <w:szCs w:val="20"/>
                <w:color w:val="auto"/>
              </w:rPr>
            </w:pPr>
            <w:r>
              <w:rPr>
                <w:rFonts w:ascii="Arial" w:cs="Arial" w:eastAsia="Arial" w:hAnsi="Arial"/>
                <w:sz w:val="20"/>
                <w:szCs w:val="20"/>
                <w:color w:val="auto"/>
              </w:rPr>
              <w:t>Interest  36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2.14</w:t>
            </w:r>
          </w:p>
        </w:tc>
        <w:tc>
          <w:tcPr>
            <w:tcW w:w="2460" w:type="dxa"/>
            <w:vAlign w:val="bottom"/>
            <w:gridSpan w:val="3"/>
          </w:tcPr>
          <w:p>
            <w:pPr>
              <w:ind w:left="320"/>
              <w:spacing w:after="0"/>
              <w:rPr>
                <w:sz w:val="20"/>
                <w:szCs w:val="20"/>
                <w:color w:val="auto"/>
              </w:rPr>
            </w:pPr>
            <w:r>
              <w:rPr>
                <w:rFonts w:ascii="Arial" w:cs="Arial" w:eastAsia="Arial" w:hAnsi="Arial"/>
                <w:sz w:val="20"/>
                <w:szCs w:val="20"/>
                <w:color w:val="auto"/>
                <w:w w:val="95"/>
              </w:rPr>
              <w:t>Alternate Rate of Interest</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37</w:t>
            </w:r>
          </w:p>
        </w:tc>
        <w:tc>
          <w:tcPr>
            <w:tcW w:w="680" w:type="dxa"/>
            <w:vAlign w:val="bottom"/>
          </w:tcPr>
          <w:p>
            <w:pPr>
              <w:spacing w:after="0"/>
              <w:rPr>
                <w:sz w:val="21"/>
                <w:szCs w:val="21"/>
                <w:color w:val="auto"/>
              </w:rPr>
            </w:pPr>
          </w:p>
        </w:tc>
        <w:tc>
          <w:tcPr>
            <w:tcW w:w="5900" w:type="dxa"/>
            <w:vAlign w:val="bottom"/>
          </w:tcPr>
          <w:p>
            <w:pPr>
              <w:spacing w:after="0"/>
              <w:rPr>
                <w:sz w:val="21"/>
                <w:szCs w:val="21"/>
                <w:color w:val="auto"/>
              </w:rPr>
            </w:pPr>
          </w:p>
        </w:tc>
      </w:tr>
    </w:tbl>
    <w:p>
      <w:pPr>
        <w:sectPr>
          <w:pgSz w:w="11900" w:h="16838" w:orient="portrait"/>
          <w:cols w:equalWidth="0" w:num="1">
            <w:col w:w="11420"/>
          </w:cols>
          <w:pgMar w:left="240" w:top="589" w:right="2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1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646"/>
        </w:trPr>
        <w:tc>
          <w:tcPr>
            <w:tcW w:w="1960" w:type="dxa"/>
            <w:vAlign w:val="bottom"/>
          </w:tcPr>
          <w:p>
            <w:pPr>
              <w:ind w:left="660"/>
              <w:spacing w:after="0"/>
              <w:rPr>
                <w:sz w:val="20"/>
                <w:szCs w:val="20"/>
                <w:color w:val="auto"/>
              </w:rPr>
            </w:pPr>
            <w:r>
              <w:rPr>
                <w:rFonts w:ascii="Arial" w:cs="Arial" w:eastAsia="Arial" w:hAnsi="Arial"/>
                <w:sz w:val="20"/>
                <w:szCs w:val="20"/>
                <w:color w:val="auto"/>
              </w:rPr>
              <w:t>Section 2.15</w:t>
            </w:r>
          </w:p>
        </w:tc>
        <w:tc>
          <w:tcPr>
            <w:tcW w:w="2040" w:type="dxa"/>
            <w:vAlign w:val="bottom"/>
            <w:gridSpan w:val="3"/>
          </w:tcPr>
          <w:p>
            <w:pPr>
              <w:ind w:left="320"/>
              <w:spacing w:after="0"/>
              <w:rPr>
                <w:sz w:val="20"/>
                <w:szCs w:val="20"/>
                <w:color w:val="auto"/>
              </w:rPr>
            </w:pPr>
            <w:r>
              <w:rPr>
                <w:rFonts w:ascii="Arial" w:cs="Arial" w:eastAsia="Arial" w:hAnsi="Arial"/>
                <w:sz w:val="20"/>
                <w:szCs w:val="20"/>
                <w:color w:val="auto"/>
                <w:w w:val="95"/>
              </w:rPr>
              <w:t>Increased Costs  37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2.16</w:t>
            </w:r>
          </w:p>
        </w:tc>
        <w:tc>
          <w:tcPr>
            <w:tcW w:w="2480" w:type="dxa"/>
            <w:vAlign w:val="bottom"/>
            <w:gridSpan w:val="4"/>
          </w:tcPr>
          <w:p>
            <w:pPr>
              <w:ind w:left="320"/>
              <w:spacing w:after="0"/>
              <w:rPr>
                <w:sz w:val="20"/>
                <w:szCs w:val="20"/>
                <w:color w:val="auto"/>
              </w:rPr>
            </w:pPr>
            <w:r>
              <w:rPr>
                <w:rFonts w:ascii="Arial" w:cs="Arial" w:eastAsia="Arial" w:hAnsi="Arial"/>
                <w:sz w:val="20"/>
                <w:szCs w:val="20"/>
                <w:color w:val="auto"/>
                <w:w w:val="95"/>
              </w:rPr>
              <w:t>Break Funding Payments</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38</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2.17</w:t>
            </w:r>
          </w:p>
        </w:tc>
        <w:tc>
          <w:tcPr>
            <w:tcW w:w="2960" w:type="dxa"/>
            <w:vAlign w:val="bottom"/>
            <w:gridSpan w:val="6"/>
          </w:tcPr>
          <w:p>
            <w:pPr>
              <w:ind w:left="320"/>
              <w:spacing w:after="0"/>
              <w:rPr>
                <w:sz w:val="20"/>
                <w:szCs w:val="20"/>
                <w:color w:val="auto"/>
              </w:rPr>
            </w:pPr>
            <w:r>
              <w:rPr>
                <w:rFonts w:ascii="Arial" w:cs="Arial" w:eastAsia="Arial" w:hAnsi="Arial"/>
                <w:sz w:val="20"/>
                <w:szCs w:val="20"/>
                <w:color w:val="auto"/>
                <w:w w:val="92"/>
              </w:rPr>
              <w:t>Withholding of Taxes; Gross-Up</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39</w:t>
            </w: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2.18</w:t>
            </w:r>
          </w:p>
        </w:tc>
        <w:tc>
          <w:tcPr>
            <w:tcW w:w="9460" w:type="dxa"/>
            <w:vAlign w:val="bottom"/>
            <w:gridSpan w:val="9"/>
          </w:tcPr>
          <w:p>
            <w:pPr>
              <w:ind w:left="320"/>
              <w:spacing w:after="0"/>
              <w:rPr>
                <w:sz w:val="20"/>
                <w:szCs w:val="20"/>
                <w:color w:val="auto"/>
              </w:rPr>
            </w:pPr>
            <w:r>
              <w:rPr>
                <w:rFonts w:ascii="Arial" w:cs="Arial" w:eastAsia="Arial" w:hAnsi="Arial"/>
                <w:sz w:val="20"/>
                <w:szCs w:val="20"/>
                <w:color w:val="auto"/>
              </w:rPr>
              <w:t>Payments Generally; Allocation of Proceeds; Sharing of Setoffs  42</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2.19</w:t>
            </w:r>
          </w:p>
        </w:tc>
        <w:tc>
          <w:tcPr>
            <w:tcW w:w="4340" w:type="dxa"/>
            <w:vAlign w:val="bottom"/>
            <w:gridSpan w:val="8"/>
          </w:tcPr>
          <w:p>
            <w:pPr>
              <w:ind w:left="320"/>
              <w:spacing w:after="0"/>
              <w:rPr>
                <w:sz w:val="20"/>
                <w:szCs w:val="20"/>
                <w:color w:val="auto"/>
              </w:rPr>
            </w:pPr>
            <w:r>
              <w:rPr>
                <w:rFonts w:ascii="Arial" w:cs="Arial" w:eastAsia="Arial" w:hAnsi="Arial"/>
                <w:sz w:val="20"/>
                <w:szCs w:val="20"/>
                <w:color w:val="auto"/>
                <w:w w:val="95"/>
              </w:rPr>
              <w:t>Mitigation Obligations; Replacement of Lenders</w:t>
            </w:r>
          </w:p>
        </w:tc>
        <w:tc>
          <w:tcPr>
            <w:tcW w:w="5120" w:type="dxa"/>
            <w:vAlign w:val="bottom"/>
          </w:tcPr>
          <w:p>
            <w:pPr>
              <w:jc w:val="right"/>
              <w:ind w:right="4801"/>
              <w:spacing w:after="0"/>
              <w:rPr>
                <w:sz w:val="20"/>
                <w:szCs w:val="20"/>
                <w:color w:val="auto"/>
              </w:rPr>
            </w:pPr>
            <w:r>
              <w:rPr>
                <w:rFonts w:ascii="Arial" w:cs="Arial" w:eastAsia="Arial" w:hAnsi="Arial"/>
                <w:sz w:val="20"/>
                <w:szCs w:val="20"/>
                <w:color w:val="auto"/>
                <w:w w:val="89"/>
              </w:rPr>
              <w:t>45</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2.20</w:t>
            </w:r>
          </w:p>
        </w:tc>
        <w:tc>
          <w:tcPr>
            <w:tcW w:w="2040" w:type="dxa"/>
            <w:vAlign w:val="bottom"/>
            <w:gridSpan w:val="3"/>
          </w:tcPr>
          <w:p>
            <w:pPr>
              <w:ind w:left="320"/>
              <w:spacing w:after="0"/>
              <w:rPr>
                <w:sz w:val="20"/>
                <w:szCs w:val="20"/>
                <w:color w:val="auto"/>
              </w:rPr>
            </w:pPr>
            <w:r>
              <w:rPr>
                <w:rFonts w:ascii="Arial" w:cs="Arial" w:eastAsia="Arial" w:hAnsi="Arial"/>
                <w:sz w:val="20"/>
                <w:szCs w:val="20"/>
                <w:color w:val="auto"/>
              </w:rPr>
              <w:t>Defaulting Lenders</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2.21</w:t>
            </w:r>
          </w:p>
        </w:tc>
        <w:tc>
          <w:tcPr>
            <w:tcW w:w="2040" w:type="dxa"/>
            <w:vAlign w:val="bottom"/>
            <w:gridSpan w:val="3"/>
          </w:tcPr>
          <w:p>
            <w:pPr>
              <w:ind w:left="320"/>
              <w:spacing w:after="0"/>
              <w:rPr>
                <w:sz w:val="20"/>
                <w:szCs w:val="20"/>
                <w:color w:val="auto"/>
              </w:rPr>
            </w:pPr>
            <w:r>
              <w:rPr>
                <w:rFonts w:ascii="Arial" w:cs="Arial" w:eastAsia="Arial" w:hAnsi="Arial"/>
                <w:sz w:val="20"/>
                <w:szCs w:val="20"/>
                <w:color w:val="auto"/>
                <w:w w:val="96"/>
              </w:rPr>
              <w:t>Returned Payments</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w w:val="89"/>
              </w:rPr>
              <w:t>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2.22</w:t>
            </w:r>
          </w:p>
        </w:tc>
        <w:tc>
          <w:tcPr>
            <w:tcW w:w="2960" w:type="dxa"/>
            <w:vAlign w:val="bottom"/>
            <w:gridSpan w:val="6"/>
          </w:tcPr>
          <w:p>
            <w:pPr>
              <w:ind w:left="320"/>
              <w:spacing w:after="0"/>
              <w:rPr>
                <w:sz w:val="20"/>
                <w:szCs w:val="20"/>
                <w:color w:val="auto"/>
              </w:rPr>
            </w:pPr>
            <w:r>
              <w:rPr>
                <w:rFonts w:ascii="Arial" w:cs="Arial" w:eastAsia="Arial" w:hAnsi="Arial"/>
                <w:sz w:val="20"/>
                <w:szCs w:val="20"/>
                <w:color w:val="auto"/>
                <w:w w:val="90"/>
              </w:rPr>
              <w:t>Amend and Extend Transactions</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47</w:t>
            </w: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2.23</w:t>
            </w:r>
          </w:p>
        </w:tc>
        <w:tc>
          <w:tcPr>
            <w:tcW w:w="2480" w:type="dxa"/>
            <w:vAlign w:val="bottom"/>
            <w:gridSpan w:val="4"/>
          </w:tcPr>
          <w:p>
            <w:pPr>
              <w:ind w:left="320"/>
              <w:spacing w:after="0"/>
              <w:rPr>
                <w:sz w:val="20"/>
                <w:szCs w:val="20"/>
                <w:color w:val="auto"/>
              </w:rPr>
            </w:pPr>
            <w:r>
              <w:rPr>
                <w:rFonts w:ascii="Arial" w:cs="Arial" w:eastAsia="Arial" w:hAnsi="Arial"/>
                <w:sz w:val="20"/>
                <w:szCs w:val="20"/>
                <w:color w:val="auto"/>
                <w:w w:val="93"/>
              </w:rPr>
              <w:t>Increase of Commitments</w:t>
            </w:r>
          </w:p>
        </w:tc>
        <w:tc>
          <w:tcPr>
            <w:tcW w:w="480" w:type="dxa"/>
            <w:vAlign w:val="bottom"/>
            <w:gridSpan w:val="2"/>
          </w:tcPr>
          <w:p>
            <w:pPr>
              <w:jc w:val="right"/>
              <w:ind w:right="101"/>
              <w:spacing w:after="0"/>
              <w:rPr>
                <w:sz w:val="20"/>
                <w:szCs w:val="20"/>
                <w:color w:val="auto"/>
              </w:rPr>
            </w:pPr>
            <w:r>
              <w:rPr>
                <w:rFonts w:ascii="Arial" w:cs="Arial" w:eastAsia="Arial" w:hAnsi="Arial"/>
                <w:sz w:val="20"/>
                <w:szCs w:val="20"/>
                <w:color w:val="auto"/>
              </w:rPr>
              <w:t>49</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2.24</w:t>
            </w:r>
          </w:p>
        </w:tc>
        <w:tc>
          <w:tcPr>
            <w:tcW w:w="3600" w:type="dxa"/>
            <w:vAlign w:val="bottom"/>
            <w:gridSpan w:val="7"/>
          </w:tcPr>
          <w:p>
            <w:pPr>
              <w:ind w:left="320"/>
              <w:spacing w:after="0"/>
              <w:rPr>
                <w:sz w:val="20"/>
                <w:szCs w:val="20"/>
                <w:color w:val="auto"/>
              </w:rPr>
            </w:pPr>
            <w:r>
              <w:rPr>
                <w:rFonts w:ascii="Arial" w:cs="Arial" w:eastAsia="Arial" w:hAnsi="Arial"/>
                <w:sz w:val="20"/>
                <w:szCs w:val="20"/>
                <w:color w:val="auto"/>
                <w:w w:val="89"/>
              </w:rPr>
              <w:t>Banking Services and Swap Agreements</w:t>
            </w:r>
          </w:p>
        </w:tc>
        <w:tc>
          <w:tcPr>
            <w:tcW w:w="740" w:type="dxa"/>
            <w:vAlign w:val="bottom"/>
          </w:tcPr>
          <w:p>
            <w:pPr>
              <w:jc w:val="right"/>
              <w:ind w:right="301"/>
              <w:spacing w:after="0"/>
              <w:rPr>
                <w:sz w:val="20"/>
                <w:szCs w:val="20"/>
                <w:color w:val="auto"/>
              </w:rPr>
            </w:pPr>
            <w:r>
              <w:rPr>
                <w:rFonts w:ascii="Arial" w:cs="Arial" w:eastAsia="Arial" w:hAnsi="Arial"/>
                <w:sz w:val="20"/>
                <w:szCs w:val="20"/>
                <w:color w:val="auto"/>
              </w:rPr>
              <w:t>50</w:t>
            </w:r>
          </w:p>
        </w:tc>
        <w:tc>
          <w:tcPr>
            <w:tcW w:w="512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III</w:t>
            </w:r>
          </w:p>
        </w:tc>
        <w:tc>
          <w:tcPr>
            <w:tcW w:w="4340" w:type="dxa"/>
            <w:vAlign w:val="bottom"/>
            <w:gridSpan w:val="8"/>
          </w:tcPr>
          <w:p>
            <w:pPr>
              <w:ind w:left="320"/>
              <w:spacing w:after="0"/>
              <w:rPr>
                <w:sz w:val="20"/>
                <w:szCs w:val="20"/>
                <w:color w:val="auto"/>
              </w:rPr>
            </w:pPr>
            <w:r>
              <w:rPr>
                <w:rFonts w:ascii="Arial" w:cs="Arial" w:eastAsia="Arial" w:hAnsi="Arial"/>
                <w:sz w:val="20"/>
                <w:szCs w:val="20"/>
                <w:color w:val="auto"/>
                <w:w w:val="95"/>
              </w:rPr>
              <w:t>REPRESENTATIONS AND WARRANTIES  50</w:t>
            </w:r>
          </w:p>
        </w:tc>
        <w:tc>
          <w:tcPr>
            <w:tcW w:w="512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3.01</w:t>
            </w:r>
          </w:p>
        </w:tc>
        <w:tc>
          <w:tcPr>
            <w:tcW w:w="2040" w:type="dxa"/>
            <w:vAlign w:val="bottom"/>
            <w:gridSpan w:val="3"/>
          </w:tcPr>
          <w:p>
            <w:pPr>
              <w:ind w:left="320"/>
              <w:spacing w:after="0"/>
              <w:rPr>
                <w:sz w:val="20"/>
                <w:szCs w:val="20"/>
                <w:color w:val="auto"/>
              </w:rPr>
            </w:pPr>
            <w:r>
              <w:rPr>
                <w:rFonts w:ascii="Arial" w:cs="Arial" w:eastAsia="Arial" w:hAnsi="Arial"/>
                <w:sz w:val="20"/>
                <w:szCs w:val="20"/>
                <w:color w:val="auto"/>
                <w:w w:val="88"/>
              </w:rPr>
              <w:t>Organization; Powers</w:t>
            </w:r>
          </w:p>
        </w:tc>
        <w:tc>
          <w:tcPr>
            <w:tcW w:w="440" w:type="dxa"/>
            <w:vAlign w:val="bottom"/>
          </w:tcPr>
          <w:p>
            <w:pPr>
              <w:jc w:val="right"/>
              <w:spacing w:after="0"/>
              <w:rPr>
                <w:sz w:val="20"/>
                <w:szCs w:val="20"/>
                <w:color w:val="auto"/>
              </w:rPr>
            </w:pPr>
            <w:r>
              <w:rPr>
                <w:rFonts w:ascii="Arial" w:cs="Arial" w:eastAsia="Arial" w:hAnsi="Arial"/>
                <w:sz w:val="20"/>
                <w:szCs w:val="20"/>
                <w:color w:val="auto"/>
              </w:rPr>
              <w:t>50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3.02</w:t>
            </w:r>
          </w:p>
        </w:tc>
        <w:tc>
          <w:tcPr>
            <w:tcW w:w="2740" w:type="dxa"/>
            <w:vAlign w:val="bottom"/>
            <w:gridSpan w:val="5"/>
          </w:tcPr>
          <w:p>
            <w:pPr>
              <w:ind w:left="320"/>
              <w:spacing w:after="0"/>
              <w:rPr>
                <w:sz w:val="20"/>
                <w:szCs w:val="20"/>
                <w:color w:val="auto"/>
              </w:rPr>
            </w:pPr>
            <w:r>
              <w:rPr>
                <w:rFonts w:ascii="Arial" w:cs="Arial" w:eastAsia="Arial" w:hAnsi="Arial"/>
                <w:sz w:val="20"/>
                <w:szCs w:val="20"/>
                <w:color w:val="auto"/>
                <w:w w:val="96"/>
              </w:rPr>
              <w:t>Authorization; Enforceability</w:t>
            </w:r>
          </w:p>
        </w:tc>
        <w:tc>
          <w:tcPr>
            <w:tcW w:w="860" w:type="dxa"/>
            <w:vAlign w:val="bottom"/>
            <w:gridSpan w:val="2"/>
          </w:tcPr>
          <w:p>
            <w:pPr>
              <w:jc w:val="right"/>
              <w:ind w:right="461"/>
              <w:spacing w:after="0"/>
              <w:rPr>
                <w:sz w:val="20"/>
                <w:szCs w:val="20"/>
                <w:color w:val="auto"/>
              </w:rPr>
            </w:pPr>
            <w:r>
              <w:rPr>
                <w:rFonts w:ascii="Arial" w:cs="Arial" w:eastAsia="Arial" w:hAnsi="Arial"/>
                <w:sz w:val="20"/>
                <w:szCs w:val="20"/>
                <w:color w:val="auto"/>
              </w:rPr>
              <w:t>50</w:t>
            </w: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3.03</w:t>
            </w:r>
          </w:p>
        </w:tc>
        <w:tc>
          <w:tcPr>
            <w:tcW w:w="3600" w:type="dxa"/>
            <w:vAlign w:val="bottom"/>
            <w:gridSpan w:val="7"/>
          </w:tcPr>
          <w:p>
            <w:pPr>
              <w:ind w:left="320"/>
              <w:spacing w:after="0"/>
              <w:rPr>
                <w:sz w:val="20"/>
                <w:szCs w:val="20"/>
                <w:color w:val="auto"/>
              </w:rPr>
            </w:pPr>
            <w:r>
              <w:rPr>
                <w:rFonts w:ascii="Arial" w:cs="Arial" w:eastAsia="Arial" w:hAnsi="Arial"/>
                <w:sz w:val="20"/>
                <w:szCs w:val="20"/>
                <w:color w:val="auto"/>
                <w:w w:val="96"/>
              </w:rPr>
              <w:t>Governmental Approvals; No Conflicts</w:t>
            </w:r>
          </w:p>
        </w:tc>
        <w:tc>
          <w:tcPr>
            <w:tcW w:w="740" w:type="dxa"/>
            <w:vAlign w:val="bottom"/>
          </w:tcPr>
          <w:p>
            <w:pPr>
              <w:jc w:val="right"/>
              <w:ind w:right="401"/>
              <w:spacing w:after="0"/>
              <w:rPr>
                <w:sz w:val="20"/>
                <w:szCs w:val="20"/>
                <w:color w:val="auto"/>
              </w:rPr>
            </w:pPr>
            <w:r>
              <w:rPr>
                <w:rFonts w:ascii="Arial" w:cs="Arial" w:eastAsia="Arial" w:hAnsi="Arial"/>
                <w:sz w:val="20"/>
                <w:szCs w:val="20"/>
                <w:color w:val="auto"/>
                <w:w w:val="98"/>
              </w:rPr>
              <w:t>51</w:t>
            </w: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3.04</w:t>
            </w:r>
          </w:p>
        </w:tc>
        <w:tc>
          <w:tcPr>
            <w:tcW w:w="4340" w:type="dxa"/>
            <w:vAlign w:val="bottom"/>
            <w:gridSpan w:val="8"/>
          </w:tcPr>
          <w:p>
            <w:pPr>
              <w:ind w:left="320"/>
              <w:spacing w:after="0"/>
              <w:rPr>
                <w:sz w:val="20"/>
                <w:szCs w:val="20"/>
                <w:color w:val="auto"/>
              </w:rPr>
            </w:pPr>
            <w:r>
              <w:rPr>
                <w:rFonts w:ascii="Arial" w:cs="Arial" w:eastAsia="Arial" w:hAnsi="Arial"/>
                <w:sz w:val="20"/>
                <w:szCs w:val="20"/>
                <w:color w:val="auto"/>
                <w:w w:val="91"/>
              </w:rPr>
              <w:t>Financial Condition; No Material Adverse Change</w:t>
            </w:r>
          </w:p>
        </w:tc>
        <w:tc>
          <w:tcPr>
            <w:tcW w:w="5120" w:type="dxa"/>
            <w:vAlign w:val="bottom"/>
          </w:tcPr>
          <w:p>
            <w:pPr>
              <w:jc w:val="right"/>
              <w:ind w:right="4641"/>
              <w:spacing w:after="0"/>
              <w:rPr>
                <w:sz w:val="20"/>
                <w:szCs w:val="20"/>
                <w:color w:val="auto"/>
              </w:rPr>
            </w:pPr>
            <w:r>
              <w:rPr>
                <w:rFonts w:ascii="Arial" w:cs="Arial" w:eastAsia="Arial" w:hAnsi="Arial"/>
                <w:sz w:val="20"/>
                <w:szCs w:val="20"/>
                <w:color w:val="auto"/>
              </w:rPr>
              <w:t>51</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3.05</w:t>
            </w:r>
          </w:p>
        </w:tc>
        <w:tc>
          <w:tcPr>
            <w:tcW w:w="1300" w:type="dxa"/>
            <w:vAlign w:val="bottom"/>
            <w:gridSpan w:val="2"/>
          </w:tcPr>
          <w:p>
            <w:pPr>
              <w:ind w:left="320"/>
              <w:spacing w:after="0"/>
              <w:rPr>
                <w:sz w:val="20"/>
                <w:szCs w:val="20"/>
                <w:color w:val="auto"/>
              </w:rPr>
            </w:pPr>
            <w:r>
              <w:rPr>
                <w:rFonts w:ascii="Arial" w:cs="Arial" w:eastAsia="Arial" w:hAnsi="Arial"/>
                <w:sz w:val="20"/>
                <w:szCs w:val="20"/>
                <w:color w:val="auto"/>
              </w:rPr>
              <w:t>Properties</w:t>
            </w:r>
          </w:p>
        </w:tc>
        <w:tc>
          <w:tcPr>
            <w:tcW w:w="740" w:type="dxa"/>
            <w:vAlign w:val="bottom"/>
          </w:tcPr>
          <w:p>
            <w:pPr>
              <w:jc w:val="right"/>
              <w:ind w:right="421"/>
              <w:spacing w:after="0"/>
              <w:rPr>
                <w:sz w:val="20"/>
                <w:szCs w:val="20"/>
                <w:color w:val="auto"/>
              </w:rPr>
            </w:pPr>
            <w:r>
              <w:rPr>
                <w:rFonts w:ascii="Arial" w:cs="Arial" w:eastAsia="Arial" w:hAnsi="Arial"/>
                <w:sz w:val="20"/>
                <w:szCs w:val="20"/>
                <w:color w:val="auto"/>
                <w:w w:val="89"/>
              </w:rPr>
              <w:t>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3.06</w:t>
            </w:r>
          </w:p>
        </w:tc>
        <w:tc>
          <w:tcPr>
            <w:tcW w:w="4340" w:type="dxa"/>
            <w:vAlign w:val="bottom"/>
            <w:gridSpan w:val="8"/>
          </w:tcPr>
          <w:p>
            <w:pPr>
              <w:ind w:left="320"/>
              <w:spacing w:after="0"/>
              <w:rPr>
                <w:sz w:val="20"/>
                <w:szCs w:val="20"/>
                <w:color w:val="auto"/>
              </w:rPr>
            </w:pPr>
            <w:r>
              <w:rPr>
                <w:rFonts w:ascii="Arial" w:cs="Arial" w:eastAsia="Arial" w:hAnsi="Arial"/>
                <w:sz w:val="20"/>
                <w:szCs w:val="20"/>
                <w:color w:val="auto"/>
              </w:rPr>
              <w:t>Litigation and Environmental Matters  51</w:t>
            </w: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3.07</w:t>
            </w:r>
          </w:p>
        </w:tc>
        <w:tc>
          <w:tcPr>
            <w:tcW w:w="3600" w:type="dxa"/>
            <w:vAlign w:val="bottom"/>
            <w:gridSpan w:val="7"/>
          </w:tcPr>
          <w:p>
            <w:pPr>
              <w:ind w:left="320"/>
              <w:spacing w:after="0"/>
              <w:rPr>
                <w:sz w:val="20"/>
                <w:szCs w:val="20"/>
                <w:color w:val="auto"/>
              </w:rPr>
            </w:pPr>
            <w:r>
              <w:rPr>
                <w:rFonts w:ascii="Arial" w:cs="Arial" w:eastAsia="Arial" w:hAnsi="Arial"/>
                <w:sz w:val="20"/>
                <w:szCs w:val="20"/>
                <w:color w:val="auto"/>
                <w:w w:val="92"/>
              </w:rPr>
              <w:t>Compliance with Laws and Agreements</w:t>
            </w:r>
          </w:p>
        </w:tc>
        <w:tc>
          <w:tcPr>
            <w:tcW w:w="740" w:type="dxa"/>
            <w:vAlign w:val="bottom"/>
          </w:tcPr>
          <w:p>
            <w:pPr>
              <w:jc w:val="right"/>
              <w:ind w:right="341"/>
              <w:spacing w:after="0"/>
              <w:rPr>
                <w:sz w:val="20"/>
                <w:szCs w:val="20"/>
                <w:color w:val="auto"/>
              </w:rPr>
            </w:pPr>
            <w:r>
              <w:rPr>
                <w:rFonts w:ascii="Arial" w:cs="Arial" w:eastAsia="Arial" w:hAnsi="Arial"/>
                <w:sz w:val="20"/>
                <w:szCs w:val="20"/>
                <w:color w:val="auto"/>
              </w:rPr>
              <w:t>52</w:t>
            </w: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3.08</w:t>
            </w:r>
          </w:p>
        </w:tc>
        <w:tc>
          <w:tcPr>
            <w:tcW w:w="2740" w:type="dxa"/>
            <w:vAlign w:val="bottom"/>
            <w:gridSpan w:val="5"/>
          </w:tcPr>
          <w:p>
            <w:pPr>
              <w:ind w:left="320"/>
              <w:spacing w:after="0"/>
              <w:rPr>
                <w:sz w:val="20"/>
                <w:szCs w:val="20"/>
                <w:color w:val="auto"/>
              </w:rPr>
            </w:pPr>
            <w:r>
              <w:rPr>
                <w:rFonts w:ascii="Arial" w:cs="Arial" w:eastAsia="Arial" w:hAnsi="Arial"/>
                <w:sz w:val="20"/>
                <w:szCs w:val="20"/>
                <w:color w:val="auto"/>
                <w:w w:val="95"/>
              </w:rPr>
              <w:t>Investment Company Status</w:t>
            </w:r>
          </w:p>
        </w:tc>
        <w:tc>
          <w:tcPr>
            <w:tcW w:w="220" w:type="dxa"/>
            <w:vAlign w:val="bottom"/>
          </w:tcPr>
          <w:p>
            <w:pPr>
              <w:jc w:val="right"/>
              <w:spacing w:after="0"/>
              <w:rPr>
                <w:sz w:val="20"/>
                <w:szCs w:val="20"/>
                <w:color w:val="auto"/>
              </w:rPr>
            </w:pPr>
            <w:r>
              <w:rPr>
                <w:rFonts w:ascii="Arial" w:cs="Arial" w:eastAsia="Arial" w:hAnsi="Arial"/>
                <w:sz w:val="20"/>
                <w:szCs w:val="20"/>
                <w:color w:val="auto"/>
                <w:w w:val="80"/>
              </w:rPr>
              <w:t>52</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3.09</w:t>
            </w:r>
          </w:p>
        </w:tc>
        <w:tc>
          <w:tcPr>
            <w:tcW w:w="940" w:type="dxa"/>
            <w:vAlign w:val="bottom"/>
          </w:tcPr>
          <w:p>
            <w:pPr>
              <w:ind w:left="320"/>
              <w:spacing w:after="0"/>
              <w:rPr>
                <w:sz w:val="20"/>
                <w:szCs w:val="20"/>
                <w:color w:val="auto"/>
              </w:rPr>
            </w:pPr>
            <w:r>
              <w:rPr>
                <w:rFonts w:ascii="Arial" w:cs="Arial" w:eastAsia="Arial" w:hAnsi="Arial"/>
                <w:sz w:val="20"/>
                <w:szCs w:val="20"/>
                <w:color w:val="auto"/>
              </w:rPr>
              <w:t>Taxes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52</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3.10</w:t>
            </w:r>
          </w:p>
        </w:tc>
        <w:tc>
          <w:tcPr>
            <w:tcW w:w="940" w:type="dxa"/>
            <w:vAlign w:val="bottom"/>
          </w:tcPr>
          <w:p>
            <w:pPr>
              <w:ind w:left="320"/>
              <w:spacing w:after="0"/>
              <w:rPr>
                <w:sz w:val="20"/>
                <w:szCs w:val="20"/>
                <w:color w:val="auto"/>
              </w:rPr>
            </w:pPr>
            <w:r>
              <w:rPr>
                <w:rFonts w:ascii="Arial" w:cs="Arial" w:eastAsia="Arial" w:hAnsi="Arial"/>
                <w:sz w:val="20"/>
                <w:szCs w:val="20"/>
                <w:color w:val="auto"/>
                <w:w w:val="99"/>
              </w:rPr>
              <w:t>ERISA</w:t>
            </w:r>
          </w:p>
        </w:tc>
        <w:tc>
          <w:tcPr>
            <w:tcW w:w="360" w:type="dxa"/>
            <w:vAlign w:val="bottom"/>
          </w:tcPr>
          <w:p>
            <w:pPr>
              <w:jc w:val="right"/>
              <w:spacing w:after="0"/>
              <w:rPr>
                <w:sz w:val="20"/>
                <w:szCs w:val="20"/>
                <w:color w:val="auto"/>
              </w:rPr>
            </w:pPr>
            <w:r>
              <w:rPr>
                <w:rFonts w:ascii="Arial" w:cs="Arial" w:eastAsia="Arial" w:hAnsi="Arial"/>
                <w:sz w:val="20"/>
                <w:szCs w:val="20"/>
                <w:color w:val="auto"/>
              </w:rPr>
              <w:t>52</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3.11</w:t>
            </w:r>
          </w:p>
        </w:tc>
        <w:tc>
          <w:tcPr>
            <w:tcW w:w="1300" w:type="dxa"/>
            <w:vAlign w:val="bottom"/>
            <w:gridSpan w:val="2"/>
          </w:tcPr>
          <w:p>
            <w:pPr>
              <w:ind w:left="320"/>
              <w:spacing w:after="0"/>
              <w:rPr>
                <w:sz w:val="20"/>
                <w:szCs w:val="20"/>
                <w:color w:val="auto"/>
              </w:rPr>
            </w:pPr>
            <w:r>
              <w:rPr>
                <w:rFonts w:ascii="Arial" w:cs="Arial" w:eastAsia="Arial" w:hAnsi="Arial"/>
                <w:sz w:val="20"/>
                <w:szCs w:val="20"/>
                <w:color w:val="auto"/>
              </w:rPr>
              <w:t>Disclosure</w:t>
            </w:r>
          </w:p>
        </w:tc>
        <w:tc>
          <w:tcPr>
            <w:tcW w:w="740" w:type="dxa"/>
            <w:vAlign w:val="bottom"/>
          </w:tcPr>
          <w:p>
            <w:pPr>
              <w:jc w:val="right"/>
              <w:ind w:right="381"/>
              <w:spacing w:after="0"/>
              <w:rPr>
                <w:sz w:val="20"/>
                <w:szCs w:val="20"/>
                <w:color w:val="auto"/>
              </w:rPr>
            </w:pPr>
            <w:r>
              <w:rPr>
                <w:rFonts w:ascii="Arial" w:cs="Arial" w:eastAsia="Arial" w:hAnsi="Arial"/>
                <w:sz w:val="20"/>
                <w:szCs w:val="20"/>
                <w:color w:val="auto"/>
              </w:rPr>
              <w:t>52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3.12</w:t>
            </w:r>
          </w:p>
        </w:tc>
        <w:tc>
          <w:tcPr>
            <w:tcW w:w="2960" w:type="dxa"/>
            <w:vAlign w:val="bottom"/>
            <w:gridSpan w:val="6"/>
          </w:tcPr>
          <w:p>
            <w:pPr>
              <w:ind w:left="320"/>
              <w:spacing w:after="0"/>
              <w:rPr>
                <w:sz w:val="20"/>
                <w:szCs w:val="20"/>
                <w:color w:val="auto"/>
              </w:rPr>
            </w:pPr>
            <w:r>
              <w:rPr>
                <w:rFonts w:ascii="Arial" w:cs="Arial" w:eastAsia="Arial" w:hAnsi="Arial"/>
                <w:sz w:val="20"/>
                <w:szCs w:val="20"/>
                <w:color w:val="auto"/>
                <w:w w:val="95"/>
              </w:rPr>
              <w:t>Capitalization and Subsidiaries</w:t>
            </w:r>
          </w:p>
        </w:tc>
        <w:tc>
          <w:tcPr>
            <w:tcW w:w="640" w:type="dxa"/>
            <w:vAlign w:val="bottom"/>
          </w:tcPr>
          <w:p>
            <w:pPr>
              <w:jc w:val="right"/>
              <w:ind w:right="321"/>
              <w:spacing w:after="0"/>
              <w:rPr>
                <w:sz w:val="20"/>
                <w:szCs w:val="20"/>
                <w:color w:val="auto"/>
              </w:rPr>
            </w:pPr>
            <w:r>
              <w:rPr>
                <w:rFonts w:ascii="Arial" w:cs="Arial" w:eastAsia="Arial" w:hAnsi="Arial"/>
                <w:sz w:val="20"/>
                <w:szCs w:val="20"/>
                <w:color w:val="auto"/>
                <w:w w:val="89"/>
              </w:rPr>
              <w:t>53</w:t>
            </w:r>
          </w:p>
        </w:tc>
        <w:tc>
          <w:tcPr>
            <w:tcW w:w="7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3.13</w:t>
            </w:r>
          </w:p>
        </w:tc>
        <w:tc>
          <w:tcPr>
            <w:tcW w:w="2740" w:type="dxa"/>
            <w:vAlign w:val="bottom"/>
            <w:gridSpan w:val="5"/>
          </w:tcPr>
          <w:p>
            <w:pPr>
              <w:ind w:left="320"/>
              <w:spacing w:after="0"/>
              <w:rPr>
                <w:sz w:val="20"/>
                <w:szCs w:val="20"/>
                <w:color w:val="auto"/>
              </w:rPr>
            </w:pPr>
            <w:r>
              <w:rPr>
                <w:rFonts w:ascii="Arial" w:cs="Arial" w:eastAsia="Arial" w:hAnsi="Arial"/>
                <w:sz w:val="20"/>
                <w:szCs w:val="20"/>
                <w:color w:val="auto"/>
                <w:w w:val="93"/>
              </w:rPr>
              <w:t>Security Interest in Collateral</w:t>
            </w:r>
          </w:p>
        </w:tc>
        <w:tc>
          <w:tcPr>
            <w:tcW w:w="860" w:type="dxa"/>
            <w:vAlign w:val="bottom"/>
            <w:gridSpan w:val="2"/>
          </w:tcPr>
          <w:p>
            <w:pPr>
              <w:jc w:val="right"/>
              <w:ind w:right="461"/>
              <w:spacing w:after="0"/>
              <w:rPr>
                <w:sz w:val="20"/>
                <w:szCs w:val="20"/>
                <w:color w:val="auto"/>
              </w:rPr>
            </w:pPr>
            <w:r>
              <w:rPr>
                <w:rFonts w:ascii="Arial" w:cs="Arial" w:eastAsia="Arial" w:hAnsi="Arial"/>
                <w:sz w:val="20"/>
                <w:szCs w:val="20"/>
                <w:color w:val="auto"/>
              </w:rPr>
              <w:t>53</w:t>
            </w:r>
          </w:p>
        </w:tc>
        <w:tc>
          <w:tcPr>
            <w:tcW w:w="740" w:type="dxa"/>
            <w:vAlign w:val="bottom"/>
          </w:tcPr>
          <w:p>
            <w:pPr>
              <w:spacing w:after="0"/>
              <w:rPr>
                <w:sz w:val="21"/>
                <w:szCs w:val="21"/>
                <w:color w:val="auto"/>
              </w:rPr>
            </w:pPr>
          </w:p>
        </w:tc>
        <w:tc>
          <w:tcPr>
            <w:tcW w:w="5120" w:type="dxa"/>
            <w:vAlign w:val="bottom"/>
          </w:tcPr>
          <w:p>
            <w:pPr>
              <w:spacing w:after="0"/>
              <w:rPr>
                <w:sz w:val="21"/>
                <w:szCs w:val="21"/>
                <w:color w:val="auto"/>
              </w:rPr>
            </w:pPr>
          </w:p>
        </w:tc>
      </w:tr>
    </w:tbl>
    <w:p>
      <w:pPr>
        <w:sectPr>
          <w:pgSz w:w="11900" w:h="16838" w:orient="portrait"/>
          <w:cols w:equalWidth="0" w:num="1">
            <w:col w:w="11420"/>
          </w:cols>
          <w:pgMar w:left="240" w:top="549" w:right="2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646"/>
        </w:trPr>
        <w:tc>
          <w:tcPr>
            <w:tcW w:w="1960" w:type="dxa"/>
            <w:vAlign w:val="bottom"/>
          </w:tcPr>
          <w:p>
            <w:pPr>
              <w:ind w:left="660"/>
              <w:spacing w:after="0"/>
              <w:rPr>
                <w:sz w:val="20"/>
                <w:szCs w:val="20"/>
                <w:color w:val="auto"/>
              </w:rPr>
            </w:pPr>
            <w:r>
              <w:rPr>
                <w:rFonts w:ascii="Arial" w:cs="Arial" w:eastAsia="Arial" w:hAnsi="Arial"/>
                <w:sz w:val="20"/>
                <w:szCs w:val="20"/>
                <w:color w:val="auto"/>
              </w:rPr>
              <w:t>Section 3.14</w:t>
            </w:r>
          </w:p>
        </w:tc>
        <w:tc>
          <w:tcPr>
            <w:tcW w:w="2620" w:type="dxa"/>
            <w:vAlign w:val="bottom"/>
            <w:gridSpan w:val="4"/>
          </w:tcPr>
          <w:p>
            <w:pPr>
              <w:ind w:left="320"/>
              <w:spacing w:after="0"/>
              <w:rPr>
                <w:sz w:val="20"/>
                <w:szCs w:val="20"/>
                <w:color w:val="auto"/>
              </w:rPr>
            </w:pPr>
            <w:r>
              <w:rPr>
                <w:rFonts w:ascii="Arial" w:cs="Arial" w:eastAsia="Arial" w:hAnsi="Arial"/>
                <w:sz w:val="20"/>
                <w:szCs w:val="20"/>
                <w:color w:val="auto"/>
                <w:w w:val="88"/>
              </w:rPr>
              <w:t>Federal Reserve Regulations</w:t>
            </w:r>
          </w:p>
        </w:tc>
        <w:tc>
          <w:tcPr>
            <w:tcW w:w="380" w:type="dxa"/>
            <w:vAlign w:val="bottom"/>
          </w:tcPr>
          <w:p>
            <w:pPr>
              <w:jc w:val="right"/>
              <w:spacing w:after="0"/>
              <w:rPr>
                <w:sz w:val="20"/>
                <w:szCs w:val="20"/>
                <w:color w:val="auto"/>
              </w:rPr>
            </w:pPr>
            <w:r>
              <w:rPr>
                <w:rFonts w:ascii="Arial" w:cs="Arial" w:eastAsia="Arial" w:hAnsi="Arial"/>
                <w:sz w:val="20"/>
                <w:szCs w:val="20"/>
                <w:color w:val="auto"/>
              </w:rPr>
              <w:t>53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3.15</w:t>
            </w:r>
          </w:p>
        </w:tc>
        <w:tc>
          <w:tcPr>
            <w:tcW w:w="3400" w:type="dxa"/>
            <w:vAlign w:val="bottom"/>
            <w:gridSpan w:val="6"/>
          </w:tcPr>
          <w:p>
            <w:pPr>
              <w:ind w:left="320"/>
              <w:spacing w:after="0"/>
              <w:rPr>
                <w:sz w:val="20"/>
                <w:szCs w:val="20"/>
                <w:color w:val="auto"/>
              </w:rPr>
            </w:pPr>
            <w:r>
              <w:rPr>
                <w:rFonts w:ascii="Arial" w:cs="Arial" w:eastAsia="Arial" w:hAnsi="Arial"/>
                <w:sz w:val="20"/>
                <w:szCs w:val="20"/>
                <w:color w:val="auto"/>
                <w:w w:val="95"/>
              </w:rPr>
              <w:t>Anti-Corruption Laws and Sanctions</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w w:val="98"/>
              </w:rPr>
              <w:t>53</w:t>
            </w: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3.16</w:t>
            </w:r>
          </w:p>
        </w:tc>
        <w:tc>
          <w:tcPr>
            <w:tcW w:w="1920" w:type="dxa"/>
            <w:vAlign w:val="bottom"/>
            <w:gridSpan w:val="2"/>
          </w:tcPr>
          <w:p>
            <w:pPr>
              <w:ind w:left="320"/>
              <w:spacing w:after="0"/>
              <w:rPr>
                <w:sz w:val="20"/>
                <w:szCs w:val="20"/>
                <w:color w:val="auto"/>
              </w:rPr>
            </w:pPr>
            <w:r>
              <w:rPr>
                <w:rFonts w:ascii="Arial" w:cs="Arial" w:eastAsia="Arial" w:hAnsi="Arial"/>
                <w:sz w:val="20"/>
                <w:szCs w:val="20"/>
                <w:color w:val="auto"/>
                <w:w w:val="88"/>
              </w:rPr>
              <w:t>Common Enterprise</w:t>
            </w:r>
          </w:p>
        </w:tc>
        <w:tc>
          <w:tcPr>
            <w:tcW w:w="700" w:type="dxa"/>
            <w:vAlign w:val="bottom"/>
            <w:gridSpan w:val="2"/>
          </w:tcPr>
          <w:p>
            <w:pPr>
              <w:jc w:val="right"/>
              <w:ind w:right="201"/>
              <w:spacing w:after="0"/>
              <w:rPr>
                <w:sz w:val="20"/>
                <w:szCs w:val="20"/>
                <w:color w:val="auto"/>
              </w:rPr>
            </w:pPr>
            <w:r>
              <w:rPr>
                <w:rFonts w:ascii="Arial" w:cs="Arial" w:eastAsia="Arial" w:hAnsi="Arial"/>
                <w:sz w:val="20"/>
                <w:szCs w:val="20"/>
                <w:color w:val="auto"/>
              </w:rPr>
              <w:t>53</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3.17</w:t>
            </w:r>
          </w:p>
        </w:tc>
        <w:tc>
          <w:tcPr>
            <w:tcW w:w="3000" w:type="dxa"/>
            <w:vAlign w:val="bottom"/>
            <w:gridSpan w:val="5"/>
          </w:tcPr>
          <w:p>
            <w:pPr>
              <w:ind w:left="320"/>
              <w:spacing w:after="0"/>
              <w:rPr>
                <w:sz w:val="20"/>
                <w:szCs w:val="20"/>
                <w:color w:val="auto"/>
              </w:rPr>
            </w:pPr>
            <w:r>
              <w:rPr>
                <w:rFonts w:ascii="Arial" w:cs="Arial" w:eastAsia="Arial" w:hAnsi="Arial"/>
                <w:sz w:val="20"/>
                <w:szCs w:val="20"/>
                <w:color w:val="auto"/>
                <w:w w:val="94"/>
              </w:rPr>
              <w:t>Not an EEA Financial Institution</w:t>
            </w:r>
          </w:p>
        </w:tc>
        <w:tc>
          <w:tcPr>
            <w:tcW w:w="400" w:type="dxa"/>
            <w:vAlign w:val="bottom"/>
          </w:tcPr>
          <w:p>
            <w:pPr>
              <w:jc w:val="right"/>
              <w:spacing w:after="0"/>
              <w:rPr>
                <w:sz w:val="20"/>
                <w:szCs w:val="20"/>
                <w:color w:val="auto"/>
              </w:rPr>
            </w:pPr>
            <w:r>
              <w:rPr>
                <w:rFonts w:ascii="Arial" w:cs="Arial" w:eastAsia="Arial" w:hAnsi="Arial"/>
                <w:sz w:val="20"/>
                <w:szCs w:val="20"/>
                <w:color w:val="auto"/>
              </w:rPr>
              <w:t>54</w:t>
            </w:r>
          </w:p>
        </w:tc>
        <w:tc>
          <w:tcPr>
            <w:tcW w:w="420" w:type="dxa"/>
            <w:vAlign w:val="bottom"/>
          </w:tcPr>
          <w:p>
            <w:pPr>
              <w:spacing w:after="0"/>
              <w:rPr>
                <w:sz w:val="21"/>
                <w:szCs w:val="21"/>
                <w:color w:val="auto"/>
              </w:rPr>
            </w:pPr>
          </w:p>
        </w:tc>
        <w:tc>
          <w:tcPr>
            <w:tcW w:w="564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IV</w:t>
            </w:r>
          </w:p>
        </w:tc>
        <w:tc>
          <w:tcPr>
            <w:tcW w:w="1660" w:type="dxa"/>
            <w:vAlign w:val="bottom"/>
          </w:tcPr>
          <w:p>
            <w:pPr>
              <w:ind w:left="320"/>
              <w:spacing w:after="0"/>
              <w:rPr>
                <w:sz w:val="20"/>
                <w:szCs w:val="20"/>
                <w:color w:val="auto"/>
              </w:rPr>
            </w:pPr>
            <w:r>
              <w:rPr>
                <w:rFonts w:ascii="Arial" w:cs="Arial" w:eastAsia="Arial" w:hAnsi="Arial"/>
                <w:sz w:val="20"/>
                <w:szCs w:val="20"/>
                <w:color w:val="auto"/>
              </w:rPr>
              <w:t>CONDITIONS</w:t>
            </w:r>
          </w:p>
        </w:tc>
        <w:tc>
          <w:tcPr>
            <w:tcW w:w="260" w:type="dxa"/>
            <w:vAlign w:val="bottom"/>
          </w:tcPr>
          <w:p>
            <w:pPr>
              <w:jc w:val="right"/>
              <w:spacing w:after="0"/>
              <w:rPr>
                <w:sz w:val="20"/>
                <w:szCs w:val="20"/>
                <w:color w:val="auto"/>
              </w:rPr>
            </w:pPr>
            <w:r>
              <w:rPr>
                <w:rFonts w:ascii="Arial" w:cs="Arial" w:eastAsia="Arial" w:hAnsi="Arial"/>
                <w:sz w:val="20"/>
                <w:szCs w:val="20"/>
                <w:color w:val="auto"/>
              </w:rPr>
              <w:t>54</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4.01</w:t>
            </w:r>
          </w:p>
        </w:tc>
        <w:tc>
          <w:tcPr>
            <w:tcW w:w="2620" w:type="dxa"/>
            <w:vAlign w:val="bottom"/>
            <w:gridSpan w:val="4"/>
          </w:tcPr>
          <w:p>
            <w:pPr>
              <w:ind w:left="320"/>
              <w:spacing w:after="0"/>
              <w:rPr>
                <w:sz w:val="20"/>
                <w:szCs w:val="20"/>
                <w:color w:val="auto"/>
              </w:rPr>
            </w:pPr>
            <w:r>
              <w:rPr>
                <w:rFonts w:ascii="Arial" w:cs="Arial" w:eastAsia="Arial" w:hAnsi="Arial"/>
                <w:sz w:val="20"/>
                <w:szCs w:val="20"/>
                <w:color w:val="auto"/>
                <w:w w:val="99"/>
              </w:rPr>
              <w:t>Conditions to Initial Loans</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w w:val="89"/>
              </w:rPr>
              <w:t>54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4.02</w:t>
            </w:r>
          </w:p>
        </w:tc>
        <w:tc>
          <w:tcPr>
            <w:tcW w:w="1920" w:type="dxa"/>
            <w:vAlign w:val="bottom"/>
            <w:gridSpan w:val="2"/>
          </w:tcPr>
          <w:p>
            <w:pPr>
              <w:ind w:left="320"/>
              <w:spacing w:after="0"/>
              <w:rPr>
                <w:sz w:val="20"/>
                <w:szCs w:val="20"/>
                <w:color w:val="auto"/>
              </w:rPr>
            </w:pPr>
            <w:r>
              <w:rPr>
                <w:rFonts w:ascii="Arial" w:cs="Arial" w:eastAsia="Arial" w:hAnsi="Arial"/>
                <w:sz w:val="20"/>
                <w:szCs w:val="20"/>
                <w:color w:val="auto"/>
                <w:w w:val="97"/>
              </w:rPr>
              <w:t>Each Credit Event</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56</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4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V</w:t>
            </w:r>
          </w:p>
        </w:tc>
        <w:tc>
          <w:tcPr>
            <w:tcW w:w="3000" w:type="dxa"/>
            <w:vAlign w:val="bottom"/>
            <w:gridSpan w:val="5"/>
          </w:tcPr>
          <w:p>
            <w:pPr>
              <w:ind w:left="320"/>
              <w:spacing w:after="0"/>
              <w:rPr>
                <w:sz w:val="20"/>
                <w:szCs w:val="20"/>
                <w:color w:val="auto"/>
              </w:rPr>
            </w:pPr>
            <w:r>
              <w:rPr>
                <w:rFonts w:ascii="Arial" w:cs="Arial" w:eastAsia="Arial" w:hAnsi="Arial"/>
                <w:sz w:val="20"/>
                <w:szCs w:val="20"/>
                <w:color w:val="auto"/>
              </w:rPr>
              <w:t>AFFIRMATIVE COVENANTS</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56</w:t>
            </w: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5.01</w:t>
            </w:r>
          </w:p>
        </w:tc>
        <w:tc>
          <w:tcPr>
            <w:tcW w:w="3820" w:type="dxa"/>
            <w:vAlign w:val="bottom"/>
            <w:gridSpan w:val="7"/>
          </w:tcPr>
          <w:p>
            <w:pPr>
              <w:ind w:left="320"/>
              <w:spacing w:after="0"/>
              <w:rPr>
                <w:sz w:val="20"/>
                <w:szCs w:val="20"/>
                <w:color w:val="auto"/>
              </w:rPr>
            </w:pPr>
            <w:r>
              <w:rPr>
                <w:rFonts w:ascii="Arial" w:cs="Arial" w:eastAsia="Arial" w:hAnsi="Arial"/>
                <w:sz w:val="20"/>
                <w:szCs w:val="20"/>
                <w:color w:val="auto"/>
                <w:w w:val="89"/>
              </w:rPr>
              <w:t>Financial Statements and Other Information</w:t>
            </w:r>
          </w:p>
        </w:tc>
        <w:tc>
          <w:tcPr>
            <w:tcW w:w="5640" w:type="dxa"/>
            <w:vAlign w:val="bottom"/>
          </w:tcPr>
          <w:p>
            <w:pPr>
              <w:jc w:val="right"/>
              <w:ind w:right="5161"/>
              <w:spacing w:after="0"/>
              <w:rPr>
                <w:sz w:val="20"/>
                <w:szCs w:val="20"/>
                <w:color w:val="auto"/>
              </w:rPr>
            </w:pPr>
            <w:r>
              <w:rPr>
                <w:rFonts w:ascii="Arial" w:cs="Arial" w:eastAsia="Arial" w:hAnsi="Arial"/>
                <w:sz w:val="20"/>
                <w:szCs w:val="20"/>
                <w:color w:val="auto"/>
              </w:rPr>
              <w:t>57</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5.02</w:t>
            </w:r>
          </w:p>
        </w:tc>
        <w:tc>
          <w:tcPr>
            <w:tcW w:w="2620" w:type="dxa"/>
            <w:vAlign w:val="bottom"/>
            <w:gridSpan w:val="4"/>
          </w:tcPr>
          <w:p>
            <w:pPr>
              <w:ind w:left="320"/>
              <w:spacing w:after="0"/>
              <w:rPr>
                <w:sz w:val="20"/>
                <w:szCs w:val="20"/>
                <w:color w:val="auto"/>
              </w:rPr>
            </w:pPr>
            <w:r>
              <w:rPr>
                <w:rFonts w:ascii="Arial" w:cs="Arial" w:eastAsia="Arial" w:hAnsi="Arial"/>
                <w:sz w:val="20"/>
                <w:szCs w:val="20"/>
                <w:color w:val="auto"/>
                <w:w w:val="98"/>
              </w:rPr>
              <w:t>Notices of Material Events</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w w:val="89"/>
              </w:rPr>
              <w:t>58</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5.03</w:t>
            </w:r>
          </w:p>
        </w:tc>
        <w:tc>
          <w:tcPr>
            <w:tcW w:w="3000" w:type="dxa"/>
            <w:vAlign w:val="bottom"/>
            <w:gridSpan w:val="5"/>
          </w:tcPr>
          <w:p>
            <w:pPr>
              <w:ind w:left="320"/>
              <w:spacing w:after="0"/>
              <w:rPr>
                <w:sz w:val="20"/>
                <w:szCs w:val="20"/>
                <w:color w:val="auto"/>
              </w:rPr>
            </w:pPr>
            <w:r>
              <w:rPr>
                <w:rFonts w:ascii="Arial" w:cs="Arial" w:eastAsia="Arial" w:hAnsi="Arial"/>
                <w:sz w:val="20"/>
                <w:szCs w:val="20"/>
                <w:color w:val="auto"/>
                <w:w w:val="94"/>
              </w:rPr>
              <w:t>Existence; Conduct of Business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59</w:t>
            </w: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5.04</w:t>
            </w:r>
          </w:p>
        </w:tc>
        <w:tc>
          <w:tcPr>
            <w:tcW w:w="1920" w:type="dxa"/>
            <w:vAlign w:val="bottom"/>
            <w:gridSpan w:val="2"/>
          </w:tcPr>
          <w:p>
            <w:pPr>
              <w:ind w:left="320"/>
              <w:spacing w:after="0"/>
              <w:rPr>
                <w:sz w:val="20"/>
                <w:szCs w:val="20"/>
                <w:color w:val="auto"/>
              </w:rPr>
            </w:pPr>
            <w:r>
              <w:rPr>
                <w:rFonts w:ascii="Arial" w:cs="Arial" w:eastAsia="Arial" w:hAnsi="Arial"/>
                <w:sz w:val="20"/>
                <w:szCs w:val="20"/>
                <w:color w:val="auto"/>
                <w:w w:val="97"/>
              </w:rPr>
              <w:t>Payment of Taxes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w w:val="80"/>
              </w:rPr>
              <w:t>59</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5.05</w:t>
            </w:r>
          </w:p>
        </w:tc>
        <w:tc>
          <w:tcPr>
            <w:tcW w:w="9460" w:type="dxa"/>
            <w:vAlign w:val="bottom"/>
            <w:gridSpan w:val="8"/>
          </w:tcPr>
          <w:p>
            <w:pPr>
              <w:ind w:left="320"/>
              <w:spacing w:after="0"/>
              <w:rPr>
                <w:sz w:val="20"/>
                <w:szCs w:val="20"/>
                <w:color w:val="auto"/>
              </w:rPr>
            </w:pPr>
            <w:r>
              <w:rPr>
                <w:rFonts w:ascii="Arial" w:cs="Arial" w:eastAsia="Arial" w:hAnsi="Arial"/>
                <w:sz w:val="20"/>
                <w:szCs w:val="20"/>
                <w:color w:val="auto"/>
              </w:rPr>
              <w:t>Maintenance of Properties; Insurance; Casualty and Condemnation  59</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5.06</w:t>
            </w:r>
          </w:p>
        </w:tc>
        <w:tc>
          <w:tcPr>
            <w:tcW w:w="3400" w:type="dxa"/>
            <w:vAlign w:val="bottom"/>
            <w:gridSpan w:val="6"/>
          </w:tcPr>
          <w:p>
            <w:pPr>
              <w:ind w:left="320"/>
              <w:spacing w:after="0"/>
              <w:rPr>
                <w:sz w:val="20"/>
                <w:szCs w:val="20"/>
                <w:color w:val="auto"/>
              </w:rPr>
            </w:pPr>
            <w:r>
              <w:rPr>
                <w:rFonts w:ascii="Arial" w:cs="Arial" w:eastAsia="Arial" w:hAnsi="Arial"/>
                <w:sz w:val="20"/>
                <w:szCs w:val="20"/>
                <w:color w:val="auto"/>
                <w:w w:val="90"/>
              </w:rPr>
              <w:t>Books and Records; Inspection Rights</w:t>
            </w:r>
          </w:p>
        </w:tc>
        <w:tc>
          <w:tcPr>
            <w:tcW w:w="420" w:type="dxa"/>
            <w:vAlign w:val="bottom"/>
          </w:tcPr>
          <w:p>
            <w:pPr>
              <w:jc w:val="right"/>
              <w:spacing w:after="0"/>
              <w:rPr>
                <w:sz w:val="20"/>
                <w:szCs w:val="20"/>
                <w:color w:val="auto"/>
              </w:rPr>
            </w:pPr>
            <w:r>
              <w:rPr>
                <w:rFonts w:ascii="Arial" w:cs="Arial" w:eastAsia="Arial" w:hAnsi="Arial"/>
                <w:sz w:val="20"/>
                <w:szCs w:val="20"/>
                <w:color w:val="auto"/>
              </w:rPr>
              <w:t>59</w:t>
            </w: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5.07</w:t>
            </w:r>
          </w:p>
        </w:tc>
        <w:tc>
          <w:tcPr>
            <w:tcW w:w="2220" w:type="dxa"/>
            <w:vAlign w:val="bottom"/>
            <w:gridSpan w:val="3"/>
          </w:tcPr>
          <w:p>
            <w:pPr>
              <w:ind w:left="320"/>
              <w:spacing w:after="0"/>
              <w:rPr>
                <w:sz w:val="20"/>
                <w:szCs w:val="20"/>
                <w:color w:val="auto"/>
              </w:rPr>
            </w:pPr>
            <w:r>
              <w:rPr>
                <w:rFonts w:ascii="Arial" w:cs="Arial" w:eastAsia="Arial" w:hAnsi="Arial"/>
                <w:sz w:val="20"/>
                <w:szCs w:val="20"/>
                <w:color w:val="auto"/>
                <w:w w:val="94"/>
              </w:rPr>
              <w:t>Compliance with Laws</w:t>
            </w:r>
          </w:p>
        </w:tc>
        <w:tc>
          <w:tcPr>
            <w:tcW w:w="400" w:type="dxa"/>
            <w:vAlign w:val="bottom"/>
          </w:tcPr>
          <w:p>
            <w:pPr>
              <w:jc w:val="right"/>
              <w:spacing w:after="0"/>
              <w:rPr>
                <w:sz w:val="20"/>
                <w:szCs w:val="20"/>
                <w:color w:val="auto"/>
              </w:rPr>
            </w:pPr>
            <w:r>
              <w:rPr>
                <w:rFonts w:ascii="Arial" w:cs="Arial" w:eastAsia="Arial" w:hAnsi="Arial"/>
                <w:sz w:val="20"/>
                <w:szCs w:val="20"/>
                <w:color w:val="auto"/>
              </w:rPr>
              <w:t>60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5.08</w:t>
            </w:r>
          </w:p>
        </w:tc>
        <w:tc>
          <w:tcPr>
            <w:tcW w:w="1660" w:type="dxa"/>
            <w:vAlign w:val="bottom"/>
          </w:tcPr>
          <w:p>
            <w:pPr>
              <w:ind w:left="320"/>
              <w:spacing w:after="0"/>
              <w:rPr>
                <w:sz w:val="20"/>
                <w:szCs w:val="20"/>
                <w:color w:val="auto"/>
              </w:rPr>
            </w:pPr>
            <w:r>
              <w:rPr>
                <w:rFonts w:ascii="Arial" w:cs="Arial" w:eastAsia="Arial" w:hAnsi="Arial"/>
                <w:sz w:val="20"/>
                <w:szCs w:val="20"/>
                <w:color w:val="auto"/>
                <w:w w:val="89"/>
              </w:rPr>
              <w:t>Use of Proceeds</w:t>
            </w:r>
          </w:p>
        </w:tc>
        <w:tc>
          <w:tcPr>
            <w:tcW w:w="560" w:type="dxa"/>
            <w:vAlign w:val="bottom"/>
            <w:gridSpan w:val="2"/>
          </w:tcPr>
          <w:p>
            <w:pPr>
              <w:jc w:val="right"/>
              <w:ind w:right="121"/>
              <w:spacing w:after="0"/>
              <w:rPr>
                <w:sz w:val="20"/>
                <w:szCs w:val="20"/>
                <w:color w:val="auto"/>
              </w:rPr>
            </w:pPr>
            <w:r>
              <w:rPr>
                <w:rFonts w:ascii="Arial" w:cs="Arial" w:eastAsia="Arial" w:hAnsi="Arial"/>
                <w:sz w:val="20"/>
                <w:szCs w:val="20"/>
                <w:color w:val="auto"/>
              </w:rPr>
              <w:t>60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5.09</w:t>
            </w:r>
          </w:p>
        </w:tc>
        <w:tc>
          <w:tcPr>
            <w:tcW w:w="3820" w:type="dxa"/>
            <w:vAlign w:val="bottom"/>
            <w:gridSpan w:val="7"/>
          </w:tcPr>
          <w:p>
            <w:pPr>
              <w:ind w:left="320"/>
              <w:spacing w:after="0"/>
              <w:rPr>
                <w:sz w:val="20"/>
                <w:szCs w:val="20"/>
                <w:color w:val="auto"/>
              </w:rPr>
            </w:pPr>
            <w:r>
              <w:rPr>
                <w:rFonts w:ascii="Arial" w:cs="Arial" w:eastAsia="Arial" w:hAnsi="Arial"/>
                <w:sz w:val="20"/>
                <w:szCs w:val="20"/>
                <w:color w:val="auto"/>
                <w:w w:val="95"/>
              </w:rPr>
              <w:t>Additional Collateral; Further Assurances</w:t>
            </w:r>
          </w:p>
        </w:tc>
        <w:tc>
          <w:tcPr>
            <w:tcW w:w="5640" w:type="dxa"/>
            <w:vAlign w:val="bottom"/>
          </w:tcPr>
          <w:p>
            <w:pPr>
              <w:jc w:val="right"/>
              <w:ind w:right="5341"/>
              <w:spacing w:after="0"/>
              <w:rPr>
                <w:sz w:val="20"/>
                <w:szCs w:val="20"/>
                <w:color w:val="auto"/>
              </w:rPr>
            </w:pPr>
            <w:r>
              <w:rPr>
                <w:rFonts w:ascii="Arial" w:cs="Arial" w:eastAsia="Arial" w:hAnsi="Arial"/>
                <w:sz w:val="20"/>
                <w:szCs w:val="20"/>
                <w:color w:val="auto"/>
                <w:w w:val="80"/>
              </w:rPr>
              <w:t>60</w:t>
            </w: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VI</w:t>
            </w:r>
          </w:p>
        </w:tc>
        <w:tc>
          <w:tcPr>
            <w:tcW w:w="2620" w:type="dxa"/>
            <w:vAlign w:val="bottom"/>
            <w:gridSpan w:val="4"/>
          </w:tcPr>
          <w:p>
            <w:pPr>
              <w:ind w:left="320"/>
              <w:spacing w:after="0"/>
              <w:rPr>
                <w:sz w:val="20"/>
                <w:szCs w:val="20"/>
                <w:color w:val="auto"/>
              </w:rPr>
            </w:pPr>
            <w:r>
              <w:rPr>
                <w:rFonts w:ascii="Arial" w:cs="Arial" w:eastAsia="Arial" w:hAnsi="Arial"/>
                <w:sz w:val="20"/>
                <w:szCs w:val="20"/>
                <w:color w:val="auto"/>
                <w:w w:val="98"/>
              </w:rPr>
              <w:t>NEGATIVE COVENANTS</w:t>
            </w:r>
          </w:p>
        </w:tc>
        <w:tc>
          <w:tcPr>
            <w:tcW w:w="380" w:type="dxa"/>
            <w:vAlign w:val="bottom"/>
          </w:tcPr>
          <w:p>
            <w:pPr>
              <w:jc w:val="right"/>
              <w:spacing w:after="0"/>
              <w:rPr>
                <w:sz w:val="20"/>
                <w:szCs w:val="20"/>
                <w:color w:val="auto"/>
              </w:rPr>
            </w:pPr>
            <w:r>
              <w:rPr>
                <w:rFonts w:ascii="Arial" w:cs="Arial" w:eastAsia="Arial" w:hAnsi="Arial"/>
                <w:sz w:val="20"/>
                <w:szCs w:val="20"/>
                <w:color w:val="auto"/>
              </w:rPr>
              <w:t>61</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6.01</w:t>
            </w:r>
          </w:p>
        </w:tc>
        <w:tc>
          <w:tcPr>
            <w:tcW w:w="1920" w:type="dxa"/>
            <w:vAlign w:val="bottom"/>
            <w:gridSpan w:val="2"/>
          </w:tcPr>
          <w:p>
            <w:pPr>
              <w:ind w:left="320"/>
              <w:spacing w:after="0"/>
              <w:rPr>
                <w:sz w:val="20"/>
                <w:szCs w:val="20"/>
                <w:color w:val="auto"/>
              </w:rPr>
            </w:pPr>
            <w:r>
              <w:rPr>
                <w:rFonts w:ascii="Arial" w:cs="Arial" w:eastAsia="Arial" w:hAnsi="Arial"/>
                <w:sz w:val="20"/>
                <w:szCs w:val="20"/>
                <w:color w:val="auto"/>
              </w:rPr>
              <w:t>Indebtedness  61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6.02</w:t>
            </w:r>
          </w:p>
        </w:tc>
        <w:tc>
          <w:tcPr>
            <w:tcW w:w="1660" w:type="dxa"/>
            <w:vAlign w:val="bottom"/>
          </w:tcPr>
          <w:p>
            <w:pPr>
              <w:ind w:left="320"/>
              <w:spacing w:after="0"/>
              <w:rPr>
                <w:sz w:val="20"/>
                <w:szCs w:val="20"/>
                <w:color w:val="auto"/>
              </w:rPr>
            </w:pPr>
            <w:r>
              <w:rPr>
                <w:rFonts w:ascii="Arial" w:cs="Arial" w:eastAsia="Arial" w:hAnsi="Arial"/>
                <w:sz w:val="20"/>
                <w:szCs w:val="20"/>
                <w:color w:val="auto"/>
              </w:rPr>
              <w:t>Liens  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6.03</w:t>
            </w:r>
          </w:p>
        </w:tc>
        <w:tc>
          <w:tcPr>
            <w:tcW w:w="2220" w:type="dxa"/>
            <w:vAlign w:val="bottom"/>
            <w:gridSpan w:val="3"/>
          </w:tcPr>
          <w:p>
            <w:pPr>
              <w:ind w:left="320"/>
              <w:spacing w:after="0"/>
              <w:rPr>
                <w:sz w:val="20"/>
                <w:szCs w:val="20"/>
                <w:color w:val="auto"/>
              </w:rPr>
            </w:pPr>
            <w:r>
              <w:rPr>
                <w:rFonts w:ascii="Arial" w:cs="Arial" w:eastAsia="Arial" w:hAnsi="Arial"/>
                <w:sz w:val="20"/>
                <w:szCs w:val="20"/>
                <w:color w:val="auto"/>
                <w:w w:val="92"/>
              </w:rPr>
              <w:t>Fundamental Changes</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65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6.04</w:t>
            </w:r>
          </w:p>
        </w:tc>
        <w:tc>
          <w:tcPr>
            <w:tcW w:w="9460" w:type="dxa"/>
            <w:vAlign w:val="bottom"/>
            <w:gridSpan w:val="8"/>
          </w:tcPr>
          <w:p>
            <w:pPr>
              <w:ind w:left="320"/>
              <w:spacing w:after="0"/>
              <w:rPr>
                <w:sz w:val="20"/>
                <w:szCs w:val="20"/>
                <w:color w:val="auto"/>
              </w:rPr>
            </w:pPr>
            <w:r>
              <w:rPr>
                <w:rFonts w:ascii="Arial" w:cs="Arial" w:eastAsia="Arial" w:hAnsi="Arial"/>
                <w:sz w:val="20"/>
                <w:szCs w:val="20"/>
                <w:color w:val="auto"/>
              </w:rPr>
              <w:t>Investments, Loans, Advances, Guarantees and Acquisitions  66</w:t>
            </w:r>
          </w:p>
        </w:tc>
      </w:tr>
    </w:tbl>
    <w:p>
      <w:pPr>
        <w:sectPr>
          <w:pgSz w:w="11900" w:h="16838" w:orient="portrait"/>
          <w:cols w:equalWidth="0" w:num="1">
            <w:col w:w="11420"/>
          </w:cols>
          <w:pgMar w:left="240" w:top="549"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40" w:type="dxa"/>
            <w:vAlign w:val="bottom"/>
            <w:gridSpan w:val="2"/>
          </w:tcPr>
          <w:p>
            <w:pPr>
              <w:jc w:val="center"/>
              <w:ind w:right="4541"/>
              <w:spacing w:after="0"/>
              <w:rPr>
                <w:sz w:val="20"/>
                <w:szCs w:val="20"/>
                <w:color w:val="auto"/>
              </w:rPr>
            </w:pPr>
            <w:r>
              <w:rPr>
                <w:rFonts w:ascii="Arial" w:cs="Arial" w:eastAsia="Arial" w:hAnsi="Arial"/>
                <w:sz w:val="20"/>
                <w:szCs w:val="20"/>
                <w:b w:val="1"/>
                <w:bCs w:val="1"/>
                <w:color w:val="auto"/>
                <w:w w:val="98"/>
              </w:rPr>
              <w:t>TABLE OF CONTENTS</w:t>
            </w:r>
          </w:p>
        </w:tc>
      </w:tr>
      <w:tr>
        <w:trPr>
          <w:trHeight w:val="230"/>
        </w:trPr>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jc w:val="center"/>
              <w:ind w:right="5061"/>
              <w:spacing w:after="0"/>
              <w:rPr>
                <w:sz w:val="20"/>
                <w:szCs w:val="20"/>
                <w:color w:val="auto"/>
              </w:rPr>
            </w:pPr>
            <w:r>
              <w:rPr>
                <w:rFonts w:ascii="Arial" w:cs="Arial" w:eastAsia="Arial" w:hAnsi="Arial"/>
                <w:sz w:val="20"/>
                <w:szCs w:val="20"/>
                <w:b w:val="1"/>
                <w:bCs w:val="1"/>
                <w:color w:val="auto"/>
                <w:w w:val="88"/>
              </w:rPr>
              <w:t>(continued)</w:t>
            </w:r>
          </w:p>
        </w:tc>
      </w:tr>
      <w:tr>
        <w:trPr>
          <w:trHeight w:val="256"/>
        </w:trPr>
        <w:tc>
          <w:tcPr>
            <w:tcW w:w="1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668"/>
        </w:trPr>
        <w:tc>
          <w:tcPr>
            <w:tcW w:w="1960" w:type="dxa"/>
            <w:vAlign w:val="bottom"/>
          </w:tcPr>
          <w:p>
            <w:pPr>
              <w:ind w:left="660"/>
              <w:spacing w:after="0"/>
              <w:rPr>
                <w:sz w:val="20"/>
                <w:szCs w:val="20"/>
                <w:color w:val="auto"/>
              </w:rPr>
            </w:pPr>
            <w:r>
              <w:rPr>
                <w:rFonts w:ascii="Arial" w:cs="Arial" w:eastAsia="Arial" w:hAnsi="Arial"/>
                <w:sz w:val="20"/>
                <w:szCs w:val="20"/>
                <w:color w:val="auto"/>
              </w:rPr>
              <w:t>Section 6.05</w:t>
            </w:r>
          </w:p>
        </w:tc>
        <w:tc>
          <w:tcPr>
            <w:tcW w:w="9460" w:type="dxa"/>
            <w:vAlign w:val="bottom"/>
            <w:gridSpan w:val="7"/>
          </w:tcPr>
          <w:p>
            <w:pPr>
              <w:ind w:left="320"/>
              <w:spacing w:after="0"/>
              <w:rPr>
                <w:sz w:val="20"/>
                <w:szCs w:val="20"/>
                <w:color w:val="auto"/>
              </w:rPr>
            </w:pPr>
            <w:r>
              <w:rPr>
                <w:rFonts w:ascii="Arial" w:cs="Arial" w:eastAsia="Arial" w:hAnsi="Arial"/>
                <w:sz w:val="20"/>
                <w:szCs w:val="20"/>
                <w:color w:val="auto"/>
              </w:rPr>
              <w:t>Asset Dispositions; Sale and Leaseback Transactions  67</w:t>
            </w: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6.06</w:t>
            </w:r>
          </w:p>
        </w:tc>
        <w:tc>
          <w:tcPr>
            <w:tcW w:w="2300" w:type="dxa"/>
            <w:vAlign w:val="bottom"/>
            <w:gridSpan w:val="4"/>
          </w:tcPr>
          <w:p>
            <w:pPr>
              <w:ind w:left="320"/>
              <w:spacing w:after="0"/>
              <w:rPr>
                <w:sz w:val="20"/>
                <w:szCs w:val="20"/>
                <w:color w:val="auto"/>
              </w:rPr>
            </w:pPr>
            <w:r>
              <w:rPr>
                <w:rFonts w:ascii="Arial" w:cs="Arial" w:eastAsia="Arial" w:hAnsi="Arial"/>
                <w:sz w:val="20"/>
                <w:szCs w:val="20"/>
                <w:color w:val="auto"/>
                <w:w w:val="99"/>
              </w:rPr>
              <w:t>Swap Agreements  68</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6.07</w:t>
            </w:r>
          </w:p>
        </w:tc>
        <w:tc>
          <w:tcPr>
            <w:tcW w:w="1980" w:type="dxa"/>
            <w:vAlign w:val="bottom"/>
            <w:gridSpan w:val="3"/>
          </w:tcPr>
          <w:p>
            <w:pPr>
              <w:ind w:left="320"/>
              <w:spacing w:after="0"/>
              <w:rPr>
                <w:sz w:val="20"/>
                <w:szCs w:val="20"/>
                <w:color w:val="auto"/>
              </w:rPr>
            </w:pPr>
            <w:r>
              <w:rPr>
                <w:rFonts w:ascii="Arial" w:cs="Arial" w:eastAsia="Arial" w:hAnsi="Arial"/>
                <w:sz w:val="20"/>
                <w:szCs w:val="20"/>
                <w:color w:val="auto"/>
                <w:w w:val="88"/>
              </w:rPr>
              <w:t>Restricted Payments</w:t>
            </w:r>
          </w:p>
        </w:tc>
        <w:tc>
          <w:tcPr>
            <w:tcW w:w="640" w:type="dxa"/>
            <w:vAlign w:val="bottom"/>
            <w:gridSpan w:val="2"/>
          </w:tcPr>
          <w:p>
            <w:pPr>
              <w:jc w:val="right"/>
              <w:ind w:right="181"/>
              <w:spacing w:after="0"/>
              <w:rPr>
                <w:sz w:val="20"/>
                <w:szCs w:val="20"/>
                <w:color w:val="auto"/>
              </w:rPr>
            </w:pPr>
            <w:r>
              <w:rPr>
                <w:rFonts w:ascii="Arial" w:cs="Arial" w:eastAsia="Arial" w:hAnsi="Arial"/>
                <w:sz w:val="20"/>
                <w:szCs w:val="20"/>
                <w:color w:val="auto"/>
              </w:rPr>
              <w:t>68</w:t>
            </w: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6.08</w:t>
            </w:r>
          </w:p>
        </w:tc>
        <w:tc>
          <w:tcPr>
            <w:tcW w:w="2620" w:type="dxa"/>
            <w:vAlign w:val="bottom"/>
            <w:gridSpan w:val="5"/>
          </w:tcPr>
          <w:p>
            <w:pPr>
              <w:ind w:left="320"/>
              <w:spacing w:after="0"/>
              <w:rPr>
                <w:sz w:val="20"/>
                <w:szCs w:val="20"/>
                <w:color w:val="auto"/>
              </w:rPr>
            </w:pPr>
            <w:r>
              <w:rPr>
                <w:rFonts w:ascii="Arial" w:cs="Arial" w:eastAsia="Arial" w:hAnsi="Arial"/>
                <w:sz w:val="20"/>
                <w:szCs w:val="20"/>
                <w:color w:val="auto"/>
                <w:w w:val="96"/>
              </w:rPr>
              <w:t>Transactions with Affiliates</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69</w:t>
            </w: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6.09</w:t>
            </w:r>
          </w:p>
        </w:tc>
        <w:tc>
          <w:tcPr>
            <w:tcW w:w="2300" w:type="dxa"/>
            <w:vAlign w:val="bottom"/>
            <w:gridSpan w:val="4"/>
          </w:tcPr>
          <w:p>
            <w:pPr>
              <w:ind w:left="320"/>
              <w:spacing w:after="0"/>
              <w:rPr>
                <w:sz w:val="20"/>
                <w:szCs w:val="20"/>
                <w:color w:val="auto"/>
              </w:rPr>
            </w:pPr>
            <w:r>
              <w:rPr>
                <w:rFonts w:ascii="Arial" w:cs="Arial" w:eastAsia="Arial" w:hAnsi="Arial"/>
                <w:sz w:val="20"/>
                <w:szCs w:val="20"/>
                <w:color w:val="auto"/>
                <w:w w:val="94"/>
              </w:rPr>
              <w:t>Restrictive Agreements</w:t>
            </w:r>
          </w:p>
        </w:tc>
        <w:tc>
          <w:tcPr>
            <w:tcW w:w="320" w:type="dxa"/>
            <w:vAlign w:val="bottom"/>
          </w:tcPr>
          <w:p>
            <w:pPr>
              <w:jc w:val="right"/>
              <w:spacing w:after="0"/>
              <w:rPr>
                <w:sz w:val="20"/>
                <w:szCs w:val="20"/>
                <w:color w:val="auto"/>
              </w:rPr>
            </w:pPr>
            <w:r>
              <w:rPr>
                <w:rFonts w:ascii="Arial" w:cs="Arial" w:eastAsia="Arial" w:hAnsi="Arial"/>
                <w:sz w:val="20"/>
                <w:szCs w:val="20"/>
                <w:color w:val="auto"/>
              </w:rPr>
              <w:t>69</w:t>
            </w: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6.10</w:t>
            </w:r>
          </w:p>
        </w:tc>
        <w:tc>
          <w:tcPr>
            <w:tcW w:w="3220" w:type="dxa"/>
            <w:vAlign w:val="bottom"/>
            <w:gridSpan w:val="6"/>
          </w:tcPr>
          <w:p>
            <w:pPr>
              <w:ind w:left="320"/>
              <w:spacing w:after="0"/>
              <w:rPr>
                <w:sz w:val="20"/>
                <w:szCs w:val="20"/>
                <w:color w:val="auto"/>
              </w:rPr>
            </w:pPr>
            <w:r>
              <w:rPr>
                <w:rFonts w:ascii="Arial" w:cs="Arial" w:eastAsia="Arial" w:hAnsi="Arial"/>
                <w:sz w:val="20"/>
                <w:szCs w:val="20"/>
                <w:color w:val="auto"/>
                <w:w w:val="91"/>
              </w:rPr>
              <w:t>Amendment of Material Documents</w:t>
            </w:r>
          </w:p>
        </w:tc>
        <w:tc>
          <w:tcPr>
            <w:tcW w:w="6240" w:type="dxa"/>
            <w:vAlign w:val="bottom"/>
          </w:tcPr>
          <w:p>
            <w:pPr>
              <w:jc w:val="right"/>
              <w:ind w:right="5781"/>
              <w:spacing w:after="0"/>
              <w:rPr>
                <w:sz w:val="20"/>
                <w:szCs w:val="20"/>
                <w:color w:val="auto"/>
              </w:rPr>
            </w:pPr>
            <w:r>
              <w:rPr>
                <w:rFonts w:ascii="Arial" w:cs="Arial" w:eastAsia="Arial" w:hAnsi="Arial"/>
                <w:sz w:val="20"/>
                <w:szCs w:val="20"/>
                <w:color w:val="auto"/>
              </w:rPr>
              <w:t>70</w:t>
            </w: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6.11</w:t>
            </w:r>
          </w:p>
        </w:tc>
        <w:tc>
          <w:tcPr>
            <w:tcW w:w="1980" w:type="dxa"/>
            <w:vAlign w:val="bottom"/>
            <w:gridSpan w:val="3"/>
          </w:tcPr>
          <w:p>
            <w:pPr>
              <w:ind w:left="320"/>
              <w:spacing w:after="0"/>
              <w:rPr>
                <w:sz w:val="20"/>
                <w:szCs w:val="20"/>
                <w:color w:val="auto"/>
              </w:rPr>
            </w:pPr>
            <w:r>
              <w:rPr>
                <w:rFonts w:ascii="Arial" w:cs="Arial" w:eastAsia="Arial" w:hAnsi="Arial"/>
                <w:sz w:val="20"/>
                <w:szCs w:val="20"/>
                <w:color w:val="auto"/>
                <w:w w:val="90"/>
              </w:rPr>
              <w:t>Financial Covenants</w:t>
            </w:r>
          </w:p>
        </w:tc>
        <w:tc>
          <w:tcPr>
            <w:tcW w:w="640" w:type="dxa"/>
            <w:vAlign w:val="bottom"/>
            <w:gridSpan w:val="2"/>
          </w:tcPr>
          <w:p>
            <w:pPr>
              <w:jc w:val="right"/>
              <w:ind w:right="181"/>
              <w:spacing w:after="0"/>
              <w:rPr>
                <w:sz w:val="20"/>
                <w:szCs w:val="20"/>
                <w:color w:val="auto"/>
              </w:rPr>
            </w:pPr>
            <w:r>
              <w:rPr>
                <w:rFonts w:ascii="Arial" w:cs="Arial" w:eastAsia="Arial" w:hAnsi="Arial"/>
                <w:sz w:val="20"/>
                <w:szCs w:val="20"/>
                <w:color w:val="auto"/>
              </w:rPr>
              <w:t>70</w:t>
            </w:r>
          </w:p>
        </w:tc>
        <w:tc>
          <w:tcPr>
            <w:tcW w:w="600" w:type="dxa"/>
            <w:vAlign w:val="bottom"/>
          </w:tcPr>
          <w:p>
            <w:pPr>
              <w:spacing w:after="0"/>
              <w:rPr>
                <w:sz w:val="21"/>
                <w:szCs w:val="21"/>
                <w:color w:val="auto"/>
              </w:rPr>
            </w:pPr>
          </w:p>
        </w:tc>
        <w:tc>
          <w:tcPr>
            <w:tcW w:w="624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VII</w:t>
            </w:r>
          </w:p>
        </w:tc>
        <w:tc>
          <w:tcPr>
            <w:tcW w:w="2300" w:type="dxa"/>
            <w:vAlign w:val="bottom"/>
            <w:gridSpan w:val="4"/>
          </w:tcPr>
          <w:p>
            <w:pPr>
              <w:ind w:left="320"/>
              <w:spacing w:after="0"/>
              <w:rPr>
                <w:sz w:val="20"/>
                <w:szCs w:val="20"/>
                <w:color w:val="auto"/>
              </w:rPr>
            </w:pPr>
            <w:r>
              <w:rPr>
                <w:rFonts w:ascii="Arial" w:cs="Arial" w:eastAsia="Arial" w:hAnsi="Arial"/>
                <w:sz w:val="20"/>
                <w:szCs w:val="20"/>
                <w:color w:val="auto"/>
                <w:w w:val="93"/>
              </w:rPr>
              <w:t>EVENTS OF DEFAULT</w:t>
            </w:r>
          </w:p>
        </w:tc>
        <w:tc>
          <w:tcPr>
            <w:tcW w:w="920" w:type="dxa"/>
            <w:vAlign w:val="bottom"/>
            <w:gridSpan w:val="2"/>
          </w:tcPr>
          <w:p>
            <w:pPr>
              <w:jc w:val="right"/>
              <w:ind w:right="441"/>
              <w:spacing w:after="0"/>
              <w:rPr>
                <w:sz w:val="20"/>
                <w:szCs w:val="20"/>
                <w:color w:val="auto"/>
              </w:rPr>
            </w:pPr>
            <w:r>
              <w:rPr>
                <w:rFonts w:ascii="Arial" w:cs="Arial" w:eastAsia="Arial" w:hAnsi="Arial"/>
                <w:sz w:val="20"/>
                <w:szCs w:val="20"/>
                <w:color w:val="auto"/>
              </w:rPr>
              <w:t>70</w:t>
            </w:r>
          </w:p>
        </w:tc>
        <w:tc>
          <w:tcPr>
            <w:tcW w:w="6240" w:type="dxa"/>
            <w:vAlign w:val="bottom"/>
          </w:tcPr>
          <w:p>
            <w:pPr>
              <w:spacing w:after="0"/>
              <w:rPr>
                <w:sz w:val="24"/>
                <w:szCs w:val="24"/>
                <w:color w:val="auto"/>
              </w:rPr>
            </w:pPr>
          </w:p>
        </w:tc>
      </w:tr>
      <w:tr>
        <w:trPr>
          <w:trHeight w:val="554"/>
        </w:trPr>
        <w:tc>
          <w:tcPr>
            <w:tcW w:w="1960" w:type="dxa"/>
            <w:vAlign w:val="bottom"/>
          </w:tcPr>
          <w:p>
            <w:pPr>
              <w:spacing w:after="0"/>
              <w:rPr>
                <w:sz w:val="20"/>
                <w:szCs w:val="20"/>
                <w:color w:val="auto"/>
              </w:rPr>
            </w:pPr>
            <w:r>
              <w:rPr>
                <w:rFonts w:ascii="Arial" w:cs="Arial" w:eastAsia="Arial" w:hAnsi="Arial"/>
                <w:sz w:val="20"/>
                <w:szCs w:val="20"/>
                <w:color w:val="auto"/>
              </w:rPr>
              <w:t>ARTICLE VIII</w:t>
            </w:r>
          </w:p>
        </w:tc>
        <w:tc>
          <w:tcPr>
            <w:tcW w:w="3220" w:type="dxa"/>
            <w:vAlign w:val="bottom"/>
            <w:gridSpan w:val="6"/>
          </w:tcPr>
          <w:p>
            <w:pPr>
              <w:ind w:left="320"/>
              <w:spacing w:after="0"/>
              <w:rPr>
                <w:sz w:val="20"/>
                <w:szCs w:val="20"/>
                <w:color w:val="auto"/>
              </w:rPr>
            </w:pPr>
            <w:r>
              <w:rPr>
                <w:rFonts w:ascii="Arial" w:cs="Arial" w:eastAsia="Arial" w:hAnsi="Arial"/>
                <w:sz w:val="20"/>
                <w:szCs w:val="20"/>
                <w:color w:val="auto"/>
              </w:rPr>
              <w:t>THE ADMINISTRATIVE AGENT</w:t>
            </w:r>
          </w:p>
        </w:tc>
        <w:tc>
          <w:tcPr>
            <w:tcW w:w="6240" w:type="dxa"/>
            <w:vAlign w:val="bottom"/>
          </w:tcPr>
          <w:p>
            <w:pPr>
              <w:jc w:val="right"/>
              <w:ind w:right="5821"/>
              <w:spacing w:after="0"/>
              <w:rPr>
                <w:sz w:val="20"/>
                <w:szCs w:val="20"/>
                <w:color w:val="auto"/>
              </w:rPr>
            </w:pPr>
            <w:r>
              <w:rPr>
                <w:rFonts w:ascii="Arial" w:cs="Arial" w:eastAsia="Arial" w:hAnsi="Arial"/>
                <w:sz w:val="20"/>
                <w:szCs w:val="20"/>
                <w:color w:val="auto"/>
              </w:rPr>
              <w:t>73</w:t>
            </w: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8.01</w:t>
            </w:r>
          </w:p>
        </w:tc>
        <w:tc>
          <w:tcPr>
            <w:tcW w:w="1440" w:type="dxa"/>
            <w:vAlign w:val="bottom"/>
            <w:gridSpan w:val="2"/>
          </w:tcPr>
          <w:p>
            <w:pPr>
              <w:ind w:left="320"/>
              <w:spacing w:after="0"/>
              <w:rPr>
                <w:sz w:val="20"/>
                <w:szCs w:val="20"/>
                <w:color w:val="auto"/>
              </w:rPr>
            </w:pPr>
            <w:r>
              <w:rPr>
                <w:rFonts w:ascii="Arial" w:cs="Arial" w:eastAsia="Arial" w:hAnsi="Arial"/>
                <w:sz w:val="20"/>
                <w:szCs w:val="20"/>
                <w:color w:val="auto"/>
                <w:w w:val="97"/>
              </w:rPr>
              <w:t>Appointment</w:t>
            </w:r>
          </w:p>
        </w:tc>
        <w:tc>
          <w:tcPr>
            <w:tcW w:w="540" w:type="dxa"/>
            <w:vAlign w:val="bottom"/>
          </w:tcPr>
          <w:p>
            <w:pPr>
              <w:jc w:val="right"/>
              <w:ind w:right="121"/>
              <w:spacing w:after="0"/>
              <w:rPr>
                <w:sz w:val="20"/>
                <w:szCs w:val="20"/>
                <w:color w:val="auto"/>
              </w:rPr>
            </w:pPr>
            <w:r>
              <w:rPr>
                <w:rFonts w:ascii="Arial" w:cs="Arial" w:eastAsia="Arial" w:hAnsi="Arial"/>
                <w:sz w:val="20"/>
                <w:szCs w:val="20"/>
                <w:color w:val="auto"/>
              </w:rPr>
              <w:t>73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8.02</w:t>
            </w:r>
          </w:p>
        </w:tc>
        <w:tc>
          <w:tcPr>
            <w:tcW w:w="1980" w:type="dxa"/>
            <w:vAlign w:val="bottom"/>
            <w:gridSpan w:val="3"/>
          </w:tcPr>
          <w:p>
            <w:pPr>
              <w:ind w:left="320"/>
              <w:spacing w:after="0"/>
              <w:rPr>
                <w:sz w:val="20"/>
                <w:szCs w:val="20"/>
                <w:color w:val="auto"/>
              </w:rPr>
            </w:pPr>
            <w:r>
              <w:rPr>
                <w:rFonts w:ascii="Arial" w:cs="Arial" w:eastAsia="Arial" w:hAnsi="Arial"/>
                <w:sz w:val="20"/>
                <w:szCs w:val="20"/>
                <w:color w:val="auto"/>
                <w:w w:val="97"/>
              </w:rPr>
              <w:t>Rights as a Lender</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w w:val="89"/>
              </w:rPr>
              <w:t>73</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8.03</w:t>
            </w:r>
          </w:p>
        </w:tc>
        <w:tc>
          <w:tcPr>
            <w:tcW w:w="2300" w:type="dxa"/>
            <w:vAlign w:val="bottom"/>
            <w:gridSpan w:val="4"/>
          </w:tcPr>
          <w:p>
            <w:pPr>
              <w:ind w:left="320"/>
              <w:spacing w:after="0"/>
              <w:rPr>
                <w:sz w:val="20"/>
                <w:szCs w:val="20"/>
                <w:color w:val="auto"/>
              </w:rPr>
            </w:pPr>
            <w:r>
              <w:rPr>
                <w:rFonts w:ascii="Arial" w:cs="Arial" w:eastAsia="Arial" w:hAnsi="Arial"/>
                <w:sz w:val="20"/>
                <w:szCs w:val="20"/>
                <w:color w:val="auto"/>
                <w:w w:val="97"/>
              </w:rPr>
              <w:t>Duties and Obligations</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73</w:t>
            </w: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8.04</w:t>
            </w:r>
          </w:p>
        </w:tc>
        <w:tc>
          <w:tcPr>
            <w:tcW w:w="1060" w:type="dxa"/>
            <w:vAlign w:val="bottom"/>
          </w:tcPr>
          <w:p>
            <w:pPr>
              <w:ind w:left="320"/>
              <w:spacing w:after="0"/>
              <w:rPr>
                <w:sz w:val="20"/>
                <w:szCs w:val="20"/>
                <w:color w:val="auto"/>
              </w:rPr>
            </w:pPr>
            <w:r>
              <w:rPr>
                <w:rFonts w:ascii="Arial" w:cs="Arial" w:eastAsia="Arial" w:hAnsi="Arial"/>
                <w:sz w:val="20"/>
                <w:szCs w:val="20"/>
                <w:color w:val="auto"/>
                <w:w w:val="92"/>
              </w:rPr>
              <w:t>Reliance</w:t>
            </w:r>
          </w:p>
        </w:tc>
        <w:tc>
          <w:tcPr>
            <w:tcW w:w="380" w:type="dxa"/>
            <w:vAlign w:val="bottom"/>
          </w:tcPr>
          <w:p>
            <w:pPr>
              <w:jc w:val="right"/>
              <w:spacing w:after="0"/>
              <w:rPr>
                <w:sz w:val="20"/>
                <w:szCs w:val="20"/>
                <w:color w:val="auto"/>
              </w:rPr>
            </w:pPr>
            <w:r>
              <w:rPr>
                <w:rFonts w:ascii="Arial" w:cs="Arial" w:eastAsia="Arial" w:hAnsi="Arial"/>
                <w:sz w:val="20"/>
                <w:szCs w:val="20"/>
                <w:color w:val="auto"/>
              </w:rPr>
              <w:t>74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8.05</w:t>
            </w:r>
          </w:p>
        </w:tc>
        <w:tc>
          <w:tcPr>
            <w:tcW w:w="2620" w:type="dxa"/>
            <w:vAlign w:val="bottom"/>
            <w:gridSpan w:val="5"/>
          </w:tcPr>
          <w:p>
            <w:pPr>
              <w:ind w:left="320"/>
              <w:spacing w:after="0"/>
              <w:rPr>
                <w:sz w:val="20"/>
                <w:szCs w:val="20"/>
                <w:color w:val="auto"/>
              </w:rPr>
            </w:pPr>
            <w:r>
              <w:rPr>
                <w:rFonts w:ascii="Arial" w:cs="Arial" w:eastAsia="Arial" w:hAnsi="Arial"/>
                <w:sz w:val="20"/>
                <w:szCs w:val="20"/>
                <w:color w:val="auto"/>
                <w:w w:val="91"/>
              </w:rPr>
              <w:t>Actions through Sub-Agents</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74</w:t>
            </w: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8.06</w:t>
            </w:r>
          </w:p>
        </w:tc>
        <w:tc>
          <w:tcPr>
            <w:tcW w:w="1440" w:type="dxa"/>
            <w:vAlign w:val="bottom"/>
            <w:gridSpan w:val="2"/>
          </w:tcPr>
          <w:p>
            <w:pPr>
              <w:ind w:left="320"/>
              <w:spacing w:after="0"/>
              <w:rPr>
                <w:sz w:val="20"/>
                <w:szCs w:val="20"/>
                <w:color w:val="auto"/>
              </w:rPr>
            </w:pPr>
            <w:r>
              <w:rPr>
                <w:rFonts w:ascii="Arial" w:cs="Arial" w:eastAsia="Arial" w:hAnsi="Arial"/>
                <w:sz w:val="20"/>
                <w:szCs w:val="20"/>
                <w:color w:val="auto"/>
              </w:rPr>
              <w:t>Resignation</w:t>
            </w:r>
          </w:p>
        </w:tc>
        <w:tc>
          <w:tcPr>
            <w:tcW w:w="540" w:type="dxa"/>
            <w:vAlign w:val="bottom"/>
          </w:tcPr>
          <w:p>
            <w:pPr>
              <w:jc w:val="right"/>
              <w:ind w:right="221"/>
              <w:spacing w:after="0"/>
              <w:rPr>
                <w:sz w:val="20"/>
                <w:szCs w:val="20"/>
                <w:color w:val="auto"/>
              </w:rPr>
            </w:pPr>
            <w:r>
              <w:rPr>
                <w:rFonts w:ascii="Arial" w:cs="Arial" w:eastAsia="Arial" w:hAnsi="Arial"/>
                <w:sz w:val="20"/>
                <w:szCs w:val="20"/>
                <w:color w:val="auto"/>
                <w:w w:val="89"/>
              </w:rPr>
              <w:t>74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8.07</w:t>
            </w:r>
          </w:p>
        </w:tc>
        <w:tc>
          <w:tcPr>
            <w:tcW w:w="1440" w:type="dxa"/>
            <w:vAlign w:val="bottom"/>
            <w:gridSpan w:val="2"/>
          </w:tcPr>
          <w:p>
            <w:pPr>
              <w:ind w:left="320"/>
              <w:spacing w:after="0"/>
              <w:rPr>
                <w:sz w:val="20"/>
                <w:szCs w:val="20"/>
                <w:color w:val="auto"/>
              </w:rPr>
            </w:pPr>
            <w:r>
              <w:rPr>
                <w:rFonts w:ascii="Arial" w:cs="Arial" w:eastAsia="Arial" w:hAnsi="Arial"/>
                <w:sz w:val="20"/>
                <w:szCs w:val="20"/>
                <w:color w:val="auto"/>
                <w:w w:val="90"/>
              </w:rPr>
              <w:t>Non-Reliance</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75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8.08</w:t>
            </w:r>
          </w:p>
        </w:tc>
        <w:tc>
          <w:tcPr>
            <w:tcW w:w="9460" w:type="dxa"/>
            <w:vAlign w:val="bottom"/>
            <w:gridSpan w:val="7"/>
          </w:tcPr>
          <w:p>
            <w:pPr>
              <w:ind w:left="320"/>
              <w:spacing w:after="0"/>
              <w:rPr>
                <w:sz w:val="20"/>
                <w:szCs w:val="20"/>
                <w:color w:val="auto"/>
              </w:rPr>
            </w:pPr>
            <w:r>
              <w:rPr>
                <w:rFonts w:ascii="Arial" w:cs="Arial" w:eastAsia="Arial" w:hAnsi="Arial"/>
                <w:sz w:val="20"/>
                <w:szCs w:val="20"/>
                <w:color w:val="auto"/>
              </w:rPr>
              <w:t>Not Partners or Co-Venturers; Administrative Agent as Representative of the Secured Parties  76</w:t>
            </w: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8.09</w:t>
            </w:r>
          </w:p>
        </w:tc>
        <w:tc>
          <w:tcPr>
            <w:tcW w:w="3220" w:type="dxa"/>
            <w:vAlign w:val="bottom"/>
            <w:gridSpan w:val="6"/>
          </w:tcPr>
          <w:p>
            <w:pPr>
              <w:ind w:left="320"/>
              <w:spacing w:after="0"/>
              <w:rPr>
                <w:sz w:val="20"/>
                <w:szCs w:val="20"/>
                <w:color w:val="auto"/>
              </w:rPr>
            </w:pPr>
            <w:r>
              <w:rPr>
                <w:rFonts w:ascii="Arial" w:cs="Arial" w:eastAsia="Arial" w:hAnsi="Arial"/>
                <w:sz w:val="20"/>
                <w:szCs w:val="20"/>
                <w:color w:val="auto"/>
                <w:w w:val="95"/>
              </w:rPr>
              <w:t>Lenders Not Subject to ERISA  77</w:t>
            </w:r>
          </w:p>
        </w:tc>
        <w:tc>
          <w:tcPr>
            <w:tcW w:w="6240" w:type="dxa"/>
            <w:vAlign w:val="bottom"/>
          </w:tcPr>
          <w:p>
            <w:pPr>
              <w:spacing w:after="0"/>
              <w:rPr>
                <w:sz w:val="21"/>
                <w:szCs w:val="21"/>
                <w:color w:val="auto"/>
              </w:rPr>
            </w:pPr>
          </w:p>
        </w:tc>
      </w:tr>
      <w:tr>
        <w:trPr>
          <w:trHeight w:val="446"/>
        </w:trPr>
        <w:tc>
          <w:tcPr>
            <w:tcW w:w="1960" w:type="dxa"/>
            <w:vAlign w:val="bottom"/>
          </w:tcPr>
          <w:p>
            <w:pPr>
              <w:spacing w:after="0"/>
              <w:rPr>
                <w:sz w:val="20"/>
                <w:szCs w:val="20"/>
                <w:color w:val="auto"/>
              </w:rPr>
            </w:pPr>
            <w:r>
              <w:rPr>
                <w:rFonts w:ascii="Arial" w:cs="Arial" w:eastAsia="Arial" w:hAnsi="Arial"/>
                <w:sz w:val="20"/>
                <w:szCs w:val="20"/>
                <w:color w:val="auto"/>
              </w:rPr>
              <w:t>ARTICLE IX</w:t>
            </w:r>
          </w:p>
        </w:tc>
        <w:tc>
          <w:tcPr>
            <w:tcW w:w="1980" w:type="dxa"/>
            <w:vAlign w:val="bottom"/>
            <w:gridSpan w:val="3"/>
          </w:tcPr>
          <w:p>
            <w:pPr>
              <w:ind w:left="320"/>
              <w:spacing w:after="0"/>
              <w:rPr>
                <w:sz w:val="20"/>
                <w:szCs w:val="20"/>
                <w:color w:val="auto"/>
              </w:rPr>
            </w:pPr>
            <w:r>
              <w:rPr>
                <w:rFonts w:ascii="Arial" w:cs="Arial" w:eastAsia="Arial" w:hAnsi="Arial"/>
                <w:sz w:val="20"/>
                <w:szCs w:val="20"/>
                <w:color w:val="auto"/>
                <w:w w:val="96"/>
              </w:rPr>
              <w:t>MISCELLANEOUS</w:t>
            </w:r>
          </w:p>
        </w:tc>
        <w:tc>
          <w:tcPr>
            <w:tcW w:w="640" w:type="dxa"/>
            <w:vAlign w:val="bottom"/>
            <w:gridSpan w:val="2"/>
          </w:tcPr>
          <w:p>
            <w:pPr>
              <w:jc w:val="right"/>
              <w:ind w:right="161"/>
              <w:spacing w:after="0"/>
              <w:rPr>
                <w:sz w:val="20"/>
                <w:szCs w:val="20"/>
                <w:color w:val="auto"/>
              </w:rPr>
            </w:pPr>
            <w:r>
              <w:rPr>
                <w:rFonts w:ascii="Arial" w:cs="Arial" w:eastAsia="Arial" w:hAnsi="Arial"/>
                <w:sz w:val="20"/>
                <w:szCs w:val="20"/>
                <w:color w:val="auto"/>
              </w:rPr>
              <w:t>77</w:t>
            </w:r>
          </w:p>
        </w:tc>
        <w:tc>
          <w:tcPr>
            <w:tcW w:w="60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317"/>
        </w:trPr>
        <w:tc>
          <w:tcPr>
            <w:tcW w:w="1960" w:type="dxa"/>
            <w:vAlign w:val="bottom"/>
          </w:tcPr>
          <w:p>
            <w:pPr>
              <w:ind w:left="660"/>
              <w:spacing w:after="0"/>
              <w:rPr>
                <w:sz w:val="20"/>
                <w:szCs w:val="20"/>
                <w:color w:val="auto"/>
              </w:rPr>
            </w:pPr>
            <w:r>
              <w:rPr>
                <w:rFonts w:ascii="Arial" w:cs="Arial" w:eastAsia="Arial" w:hAnsi="Arial"/>
                <w:sz w:val="20"/>
                <w:szCs w:val="20"/>
                <w:color w:val="auto"/>
              </w:rPr>
              <w:t>Section 9.01</w:t>
            </w:r>
          </w:p>
        </w:tc>
        <w:tc>
          <w:tcPr>
            <w:tcW w:w="1060" w:type="dxa"/>
            <w:vAlign w:val="bottom"/>
          </w:tcPr>
          <w:p>
            <w:pPr>
              <w:ind w:left="320"/>
              <w:spacing w:after="0"/>
              <w:rPr>
                <w:sz w:val="20"/>
                <w:szCs w:val="20"/>
                <w:color w:val="auto"/>
              </w:rPr>
            </w:pPr>
            <w:r>
              <w:rPr>
                <w:rFonts w:ascii="Arial" w:cs="Arial" w:eastAsia="Arial" w:hAnsi="Arial"/>
                <w:sz w:val="20"/>
                <w:szCs w:val="20"/>
                <w:color w:val="auto"/>
              </w:rPr>
              <w:t>Notices</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77</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30"/>
        </w:trPr>
        <w:tc>
          <w:tcPr>
            <w:tcW w:w="1960" w:type="dxa"/>
            <w:vAlign w:val="bottom"/>
          </w:tcPr>
          <w:p>
            <w:pPr>
              <w:ind w:left="660"/>
              <w:spacing w:after="0"/>
              <w:rPr>
                <w:sz w:val="20"/>
                <w:szCs w:val="20"/>
                <w:color w:val="auto"/>
              </w:rPr>
            </w:pPr>
            <w:r>
              <w:rPr>
                <w:rFonts w:ascii="Arial" w:cs="Arial" w:eastAsia="Arial" w:hAnsi="Arial"/>
                <w:sz w:val="20"/>
                <w:szCs w:val="20"/>
                <w:color w:val="auto"/>
              </w:rPr>
              <w:t>Section 9.02</w:t>
            </w:r>
          </w:p>
        </w:tc>
        <w:tc>
          <w:tcPr>
            <w:tcW w:w="2300" w:type="dxa"/>
            <w:vAlign w:val="bottom"/>
            <w:gridSpan w:val="4"/>
          </w:tcPr>
          <w:p>
            <w:pPr>
              <w:ind w:left="320"/>
              <w:spacing w:after="0"/>
              <w:rPr>
                <w:sz w:val="20"/>
                <w:szCs w:val="20"/>
                <w:color w:val="auto"/>
              </w:rPr>
            </w:pPr>
            <w:r>
              <w:rPr>
                <w:rFonts w:ascii="Arial" w:cs="Arial" w:eastAsia="Arial" w:hAnsi="Arial"/>
                <w:sz w:val="20"/>
                <w:szCs w:val="20"/>
                <w:color w:val="auto"/>
                <w:w w:val="97"/>
              </w:rPr>
              <w:t>Waivers; Amendments</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w w:val="89"/>
              </w:rPr>
              <w:t>79</w:t>
            </w:r>
          </w:p>
        </w:tc>
        <w:tc>
          <w:tcPr>
            <w:tcW w:w="600" w:type="dxa"/>
            <w:vAlign w:val="bottom"/>
          </w:tcPr>
          <w:p>
            <w:pPr>
              <w:spacing w:after="0"/>
              <w:rPr>
                <w:sz w:val="19"/>
                <w:szCs w:val="19"/>
                <w:color w:val="auto"/>
              </w:rPr>
            </w:pPr>
          </w:p>
        </w:tc>
        <w:tc>
          <w:tcPr>
            <w:tcW w:w="6240" w:type="dxa"/>
            <w:vAlign w:val="bottom"/>
          </w:tcPr>
          <w:p>
            <w:pPr>
              <w:spacing w:after="0"/>
              <w:rPr>
                <w:sz w:val="19"/>
                <w:szCs w:val="19"/>
                <w:color w:val="auto"/>
              </w:rPr>
            </w:pPr>
          </w:p>
        </w:tc>
      </w:tr>
      <w:tr>
        <w:trPr>
          <w:trHeight w:val="250"/>
        </w:trPr>
        <w:tc>
          <w:tcPr>
            <w:tcW w:w="1960" w:type="dxa"/>
            <w:vAlign w:val="bottom"/>
          </w:tcPr>
          <w:p>
            <w:pPr>
              <w:ind w:left="660"/>
              <w:spacing w:after="0"/>
              <w:rPr>
                <w:sz w:val="20"/>
                <w:szCs w:val="20"/>
                <w:color w:val="auto"/>
              </w:rPr>
            </w:pPr>
            <w:r>
              <w:rPr>
                <w:rFonts w:ascii="Arial" w:cs="Arial" w:eastAsia="Arial" w:hAnsi="Arial"/>
                <w:sz w:val="20"/>
                <w:szCs w:val="20"/>
                <w:color w:val="auto"/>
              </w:rPr>
              <w:t>Section 9.03</w:t>
            </w:r>
          </w:p>
        </w:tc>
        <w:tc>
          <w:tcPr>
            <w:tcW w:w="9460" w:type="dxa"/>
            <w:vAlign w:val="bottom"/>
            <w:gridSpan w:val="7"/>
          </w:tcPr>
          <w:p>
            <w:pPr>
              <w:ind w:left="320"/>
              <w:spacing w:after="0"/>
              <w:rPr>
                <w:sz w:val="20"/>
                <w:szCs w:val="20"/>
                <w:color w:val="auto"/>
              </w:rPr>
            </w:pPr>
            <w:r>
              <w:rPr>
                <w:rFonts w:ascii="Arial" w:cs="Arial" w:eastAsia="Arial" w:hAnsi="Arial"/>
                <w:sz w:val="20"/>
                <w:szCs w:val="20"/>
                <w:color w:val="auto"/>
              </w:rPr>
              <w:t>Expenses; Indemnity; Damage Waiver  81</w:t>
            </w:r>
          </w:p>
        </w:tc>
      </w:tr>
    </w:tbl>
    <w:p>
      <w:pPr>
        <w:sectPr>
          <w:pgSz w:w="11900" w:h="16838" w:orient="portrait"/>
          <w:cols w:equalWidth="0" w:num="1">
            <w:col w:w="11420"/>
          </w:cols>
          <w:pgMar w:left="240" w:top="548" w:right="2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256"/>
        </w:trPr>
        <w:tc>
          <w:tcPr>
            <w:tcW w:w="2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646"/>
        </w:trPr>
        <w:tc>
          <w:tcPr>
            <w:tcW w:w="2020" w:type="dxa"/>
            <w:vAlign w:val="bottom"/>
          </w:tcPr>
          <w:p>
            <w:pPr>
              <w:ind w:left="660"/>
              <w:spacing w:after="0"/>
              <w:rPr>
                <w:sz w:val="20"/>
                <w:szCs w:val="20"/>
                <w:color w:val="auto"/>
              </w:rPr>
            </w:pPr>
            <w:r>
              <w:rPr>
                <w:rFonts w:ascii="Arial" w:cs="Arial" w:eastAsia="Arial" w:hAnsi="Arial"/>
                <w:sz w:val="20"/>
                <w:szCs w:val="20"/>
                <w:color w:val="auto"/>
              </w:rPr>
              <w:t>Section 9.04</w:t>
            </w:r>
          </w:p>
        </w:tc>
        <w:tc>
          <w:tcPr>
            <w:tcW w:w="2140" w:type="dxa"/>
            <w:vAlign w:val="bottom"/>
            <w:gridSpan w:val="3"/>
          </w:tcPr>
          <w:p>
            <w:pPr>
              <w:ind w:left="260"/>
              <w:spacing w:after="0"/>
              <w:rPr>
                <w:sz w:val="20"/>
                <w:szCs w:val="20"/>
                <w:color w:val="auto"/>
              </w:rPr>
            </w:pPr>
            <w:r>
              <w:rPr>
                <w:rFonts w:ascii="Arial" w:cs="Arial" w:eastAsia="Arial" w:hAnsi="Arial"/>
                <w:sz w:val="20"/>
                <w:szCs w:val="20"/>
                <w:color w:val="auto"/>
                <w:w w:val="85"/>
              </w:rPr>
              <w:t>Successors and Assigns</w:t>
            </w:r>
          </w:p>
        </w:tc>
        <w:tc>
          <w:tcPr>
            <w:tcW w:w="460" w:type="dxa"/>
            <w:vAlign w:val="bottom"/>
          </w:tcPr>
          <w:p>
            <w:pPr>
              <w:jc w:val="right"/>
              <w:spacing w:after="0"/>
              <w:rPr>
                <w:sz w:val="20"/>
                <w:szCs w:val="20"/>
                <w:color w:val="auto"/>
              </w:rPr>
            </w:pPr>
            <w:r>
              <w:rPr>
                <w:rFonts w:ascii="Arial" w:cs="Arial" w:eastAsia="Arial" w:hAnsi="Arial"/>
                <w:sz w:val="20"/>
                <w:szCs w:val="20"/>
                <w:color w:val="auto"/>
              </w:rPr>
              <w:t>83</w:t>
            </w: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9.05</w:t>
            </w:r>
          </w:p>
        </w:tc>
        <w:tc>
          <w:tcPr>
            <w:tcW w:w="1120" w:type="dxa"/>
            <w:vAlign w:val="bottom"/>
          </w:tcPr>
          <w:p>
            <w:pPr>
              <w:ind w:left="260"/>
              <w:spacing w:after="0"/>
              <w:rPr>
                <w:sz w:val="20"/>
                <w:szCs w:val="20"/>
                <w:color w:val="auto"/>
              </w:rPr>
            </w:pPr>
            <w:r>
              <w:rPr>
                <w:rFonts w:ascii="Arial" w:cs="Arial" w:eastAsia="Arial" w:hAnsi="Arial"/>
                <w:sz w:val="20"/>
                <w:szCs w:val="20"/>
                <w:color w:val="auto"/>
              </w:rPr>
              <w:t>Survival</w:t>
            </w:r>
          </w:p>
        </w:tc>
        <w:tc>
          <w:tcPr>
            <w:tcW w:w="520" w:type="dxa"/>
            <w:vAlign w:val="bottom"/>
          </w:tcPr>
          <w:p>
            <w:pPr>
              <w:jc w:val="right"/>
              <w:ind w:right="221"/>
              <w:spacing w:after="0"/>
              <w:rPr>
                <w:sz w:val="20"/>
                <w:szCs w:val="20"/>
                <w:color w:val="auto"/>
              </w:rPr>
            </w:pPr>
            <w:r>
              <w:rPr>
                <w:rFonts w:ascii="Arial" w:cs="Arial" w:eastAsia="Arial" w:hAnsi="Arial"/>
                <w:sz w:val="20"/>
                <w:szCs w:val="20"/>
                <w:color w:val="auto"/>
                <w:w w:val="80"/>
              </w:rPr>
              <w:t>86</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9.06</w:t>
            </w:r>
          </w:p>
        </w:tc>
        <w:tc>
          <w:tcPr>
            <w:tcW w:w="5200" w:type="dxa"/>
            <w:vAlign w:val="bottom"/>
            <w:gridSpan w:val="6"/>
          </w:tcPr>
          <w:p>
            <w:pPr>
              <w:ind w:left="260"/>
              <w:spacing w:after="0"/>
              <w:rPr>
                <w:sz w:val="20"/>
                <w:szCs w:val="20"/>
                <w:color w:val="auto"/>
              </w:rPr>
            </w:pPr>
            <w:r>
              <w:rPr>
                <w:rFonts w:ascii="Arial" w:cs="Arial" w:eastAsia="Arial" w:hAnsi="Arial"/>
                <w:sz w:val="20"/>
                <w:szCs w:val="20"/>
                <w:color w:val="auto"/>
                <w:w w:val="90"/>
              </w:rPr>
              <w:t>Counterparts; Integration; Effectiveness; Electronic Execution</w:t>
            </w:r>
          </w:p>
        </w:tc>
        <w:tc>
          <w:tcPr>
            <w:tcW w:w="4200" w:type="dxa"/>
            <w:vAlign w:val="bottom"/>
          </w:tcPr>
          <w:p>
            <w:pPr>
              <w:jc w:val="right"/>
              <w:ind w:right="3721"/>
              <w:spacing w:after="0"/>
              <w:rPr>
                <w:sz w:val="20"/>
                <w:szCs w:val="20"/>
                <w:color w:val="auto"/>
              </w:rPr>
            </w:pPr>
            <w:r>
              <w:rPr>
                <w:rFonts w:ascii="Arial" w:cs="Arial" w:eastAsia="Arial" w:hAnsi="Arial"/>
                <w:sz w:val="20"/>
                <w:szCs w:val="20"/>
                <w:color w:val="auto"/>
              </w:rPr>
              <w:t>86</w:t>
            </w: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9.07</w:t>
            </w:r>
          </w:p>
        </w:tc>
        <w:tc>
          <w:tcPr>
            <w:tcW w:w="1640" w:type="dxa"/>
            <w:vAlign w:val="bottom"/>
            <w:gridSpan w:val="2"/>
          </w:tcPr>
          <w:p>
            <w:pPr>
              <w:ind w:left="260"/>
              <w:spacing w:after="0"/>
              <w:rPr>
                <w:sz w:val="20"/>
                <w:szCs w:val="20"/>
                <w:color w:val="auto"/>
              </w:rPr>
            </w:pPr>
            <w:r>
              <w:rPr>
                <w:rFonts w:ascii="Arial" w:cs="Arial" w:eastAsia="Arial" w:hAnsi="Arial"/>
                <w:sz w:val="20"/>
                <w:szCs w:val="20"/>
                <w:color w:val="auto"/>
                <w:w w:val="99"/>
              </w:rPr>
              <w:t>Severability  87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9.08</w:t>
            </w:r>
          </w:p>
        </w:tc>
        <w:tc>
          <w:tcPr>
            <w:tcW w:w="1640" w:type="dxa"/>
            <w:vAlign w:val="bottom"/>
            <w:gridSpan w:val="2"/>
          </w:tcPr>
          <w:p>
            <w:pPr>
              <w:ind w:left="260"/>
              <w:spacing w:after="0"/>
              <w:rPr>
                <w:sz w:val="20"/>
                <w:szCs w:val="20"/>
                <w:color w:val="auto"/>
              </w:rPr>
            </w:pPr>
            <w:r>
              <w:rPr>
                <w:rFonts w:ascii="Arial" w:cs="Arial" w:eastAsia="Arial" w:hAnsi="Arial"/>
                <w:sz w:val="20"/>
                <w:szCs w:val="20"/>
                <w:color w:val="auto"/>
              </w:rPr>
              <w:t>Right of Setoff</w:t>
            </w:r>
          </w:p>
        </w:tc>
        <w:tc>
          <w:tcPr>
            <w:tcW w:w="500" w:type="dxa"/>
            <w:vAlign w:val="bottom"/>
          </w:tcPr>
          <w:p>
            <w:pPr>
              <w:jc w:val="right"/>
              <w:ind w:right="201"/>
              <w:spacing w:after="0"/>
              <w:rPr>
                <w:sz w:val="20"/>
                <w:szCs w:val="20"/>
                <w:color w:val="auto"/>
              </w:rPr>
            </w:pPr>
            <w:r>
              <w:rPr>
                <w:rFonts w:ascii="Arial" w:cs="Arial" w:eastAsia="Arial" w:hAnsi="Arial"/>
                <w:sz w:val="20"/>
                <w:szCs w:val="20"/>
                <w:color w:val="auto"/>
                <w:w w:val="80"/>
              </w:rPr>
              <w:t>87</w:t>
            </w: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9.09</w:t>
            </w:r>
          </w:p>
        </w:tc>
        <w:tc>
          <w:tcPr>
            <w:tcW w:w="5200" w:type="dxa"/>
            <w:vAlign w:val="bottom"/>
            <w:gridSpan w:val="6"/>
          </w:tcPr>
          <w:p>
            <w:pPr>
              <w:ind w:left="260"/>
              <w:spacing w:after="0"/>
              <w:rPr>
                <w:sz w:val="20"/>
                <w:szCs w:val="20"/>
                <w:color w:val="auto"/>
              </w:rPr>
            </w:pPr>
            <w:r>
              <w:rPr>
                <w:rFonts w:ascii="Arial" w:cs="Arial" w:eastAsia="Arial" w:hAnsi="Arial"/>
                <w:sz w:val="20"/>
                <w:szCs w:val="20"/>
                <w:color w:val="auto"/>
                <w:w w:val="93"/>
              </w:rPr>
              <w:t>Governing Law; Jurisdiction; Consent to Service of Process</w:t>
            </w:r>
          </w:p>
        </w:tc>
        <w:tc>
          <w:tcPr>
            <w:tcW w:w="4200" w:type="dxa"/>
            <w:vAlign w:val="bottom"/>
          </w:tcPr>
          <w:p>
            <w:pPr>
              <w:jc w:val="right"/>
              <w:ind w:right="3901"/>
              <w:spacing w:after="0"/>
              <w:rPr>
                <w:sz w:val="20"/>
                <w:szCs w:val="20"/>
                <w:color w:val="auto"/>
              </w:rPr>
            </w:pPr>
            <w:r>
              <w:rPr>
                <w:rFonts w:ascii="Arial" w:cs="Arial" w:eastAsia="Arial" w:hAnsi="Arial"/>
                <w:sz w:val="20"/>
                <w:szCs w:val="20"/>
                <w:color w:val="auto"/>
                <w:w w:val="80"/>
              </w:rPr>
              <w:t>87</w:t>
            </w: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9.10</w:t>
            </w:r>
          </w:p>
        </w:tc>
        <w:tc>
          <w:tcPr>
            <w:tcW w:w="2600" w:type="dxa"/>
            <w:vAlign w:val="bottom"/>
            <w:gridSpan w:val="4"/>
          </w:tcPr>
          <w:p>
            <w:pPr>
              <w:ind w:left="260"/>
              <w:spacing w:after="0"/>
              <w:rPr>
                <w:sz w:val="20"/>
                <w:szCs w:val="20"/>
                <w:color w:val="auto"/>
              </w:rPr>
            </w:pPr>
            <w:r>
              <w:rPr>
                <w:rFonts w:ascii="Arial" w:cs="Arial" w:eastAsia="Arial" w:hAnsi="Arial"/>
                <w:sz w:val="20"/>
                <w:szCs w:val="20"/>
                <w:color w:val="auto"/>
                <w:w w:val="99"/>
              </w:rPr>
              <w:t>WAIVER OF JURY TRIAL</w:t>
            </w:r>
          </w:p>
        </w:tc>
        <w:tc>
          <w:tcPr>
            <w:tcW w:w="1780" w:type="dxa"/>
            <w:vAlign w:val="bottom"/>
          </w:tcPr>
          <w:p>
            <w:pPr>
              <w:jc w:val="right"/>
              <w:ind w:right="1401"/>
              <w:spacing w:after="0"/>
              <w:rPr>
                <w:sz w:val="20"/>
                <w:szCs w:val="20"/>
                <w:color w:val="auto"/>
              </w:rPr>
            </w:pPr>
            <w:r>
              <w:rPr>
                <w:rFonts w:ascii="Arial" w:cs="Arial" w:eastAsia="Arial" w:hAnsi="Arial"/>
                <w:sz w:val="20"/>
                <w:szCs w:val="20"/>
                <w:color w:val="auto"/>
              </w:rPr>
              <w:t>88</w:t>
            </w: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9.11</w:t>
            </w:r>
          </w:p>
        </w:tc>
        <w:tc>
          <w:tcPr>
            <w:tcW w:w="1120" w:type="dxa"/>
            <w:vAlign w:val="bottom"/>
          </w:tcPr>
          <w:p>
            <w:pPr>
              <w:ind w:left="260"/>
              <w:spacing w:after="0"/>
              <w:rPr>
                <w:sz w:val="20"/>
                <w:szCs w:val="20"/>
                <w:color w:val="auto"/>
              </w:rPr>
            </w:pPr>
            <w:r>
              <w:rPr>
                <w:rFonts w:ascii="Arial" w:cs="Arial" w:eastAsia="Arial" w:hAnsi="Arial"/>
                <w:sz w:val="20"/>
                <w:szCs w:val="20"/>
                <w:color w:val="auto"/>
                <w:w w:val="99"/>
              </w:rPr>
              <w:t>Headings</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88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9.12</w:t>
            </w:r>
          </w:p>
        </w:tc>
        <w:tc>
          <w:tcPr>
            <w:tcW w:w="1640" w:type="dxa"/>
            <w:vAlign w:val="bottom"/>
            <w:gridSpan w:val="2"/>
          </w:tcPr>
          <w:p>
            <w:pPr>
              <w:ind w:left="260"/>
              <w:spacing w:after="0"/>
              <w:rPr>
                <w:sz w:val="20"/>
                <w:szCs w:val="20"/>
                <w:color w:val="auto"/>
              </w:rPr>
            </w:pPr>
            <w:r>
              <w:rPr>
                <w:rFonts w:ascii="Arial" w:cs="Arial" w:eastAsia="Arial" w:hAnsi="Arial"/>
                <w:sz w:val="20"/>
                <w:szCs w:val="20"/>
                <w:color w:val="auto"/>
              </w:rPr>
              <w:t>Confidentiality</w:t>
            </w:r>
          </w:p>
        </w:tc>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88</w:t>
            </w: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9.13</w:t>
            </w:r>
          </w:p>
        </w:tc>
        <w:tc>
          <w:tcPr>
            <w:tcW w:w="4380" w:type="dxa"/>
            <w:vAlign w:val="bottom"/>
            <w:gridSpan w:val="5"/>
          </w:tcPr>
          <w:p>
            <w:pPr>
              <w:ind w:left="260"/>
              <w:spacing w:after="0"/>
              <w:rPr>
                <w:sz w:val="20"/>
                <w:szCs w:val="20"/>
                <w:color w:val="auto"/>
              </w:rPr>
            </w:pPr>
            <w:r>
              <w:rPr>
                <w:rFonts w:ascii="Arial" w:cs="Arial" w:eastAsia="Arial" w:hAnsi="Arial"/>
                <w:sz w:val="20"/>
                <w:szCs w:val="20"/>
                <w:color w:val="auto"/>
                <w:w w:val="92"/>
              </w:rPr>
              <w:t>Several Obligations; Nonreliance; Violation of Law</w:t>
            </w:r>
          </w:p>
        </w:tc>
        <w:tc>
          <w:tcPr>
            <w:tcW w:w="820" w:type="dxa"/>
            <w:vAlign w:val="bottom"/>
          </w:tcPr>
          <w:p>
            <w:pPr>
              <w:jc w:val="right"/>
              <w:ind w:right="361"/>
              <w:spacing w:after="0"/>
              <w:rPr>
                <w:sz w:val="20"/>
                <w:szCs w:val="20"/>
                <w:color w:val="auto"/>
              </w:rPr>
            </w:pPr>
            <w:r>
              <w:rPr>
                <w:rFonts w:ascii="Arial" w:cs="Arial" w:eastAsia="Arial" w:hAnsi="Arial"/>
                <w:sz w:val="20"/>
                <w:szCs w:val="20"/>
                <w:color w:val="auto"/>
              </w:rPr>
              <w:t>89</w:t>
            </w: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9.14</w:t>
            </w:r>
          </w:p>
        </w:tc>
        <w:tc>
          <w:tcPr>
            <w:tcW w:w="2600" w:type="dxa"/>
            <w:vAlign w:val="bottom"/>
            <w:gridSpan w:val="4"/>
          </w:tcPr>
          <w:p>
            <w:pPr>
              <w:ind w:left="260"/>
              <w:spacing w:after="0"/>
              <w:rPr>
                <w:sz w:val="20"/>
                <w:szCs w:val="20"/>
                <w:color w:val="auto"/>
              </w:rPr>
            </w:pPr>
            <w:r>
              <w:rPr>
                <w:rFonts w:ascii="Arial" w:cs="Arial" w:eastAsia="Arial" w:hAnsi="Arial"/>
                <w:sz w:val="20"/>
                <w:szCs w:val="20"/>
                <w:color w:val="auto"/>
              </w:rPr>
              <w:t>USA PATRIOT Act  90</w:t>
            </w: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9.15</w:t>
            </w:r>
          </w:p>
        </w:tc>
        <w:tc>
          <w:tcPr>
            <w:tcW w:w="1120" w:type="dxa"/>
            <w:vAlign w:val="bottom"/>
          </w:tcPr>
          <w:p>
            <w:pPr>
              <w:ind w:left="260"/>
              <w:spacing w:after="0"/>
              <w:rPr>
                <w:sz w:val="20"/>
                <w:szCs w:val="20"/>
                <w:color w:val="auto"/>
              </w:rPr>
            </w:pPr>
            <w:r>
              <w:rPr>
                <w:rFonts w:ascii="Arial" w:cs="Arial" w:eastAsia="Arial" w:hAnsi="Arial"/>
                <w:sz w:val="20"/>
                <w:szCs w:val="20"/>
                <w:color w:val="auto"/>
                <w:w w:val="89"/>
              </w:rPr>
              <w:t>Disclosure</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90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9.16</w:t>
            </w:r>
          </w:p>
        </w:tc>
        <w:tc>
          <w:tcPr>
            <w:tcW w:w="2600" w:type="dxa"/>
            <w:vAlign w:val="bottom"/>
            <w:gridSpan w:val="4"/>
          </w:tcPr>
          <w:p>
            <w:pPr>
              <w:ind w:left="260"/>
              <w:spacing w:after="0"/>
              <w:rPr>
                <w:sz w:val="20"/>
                <w:szCs w:val="20"/>
                <w:color w:val="auto"/>
              </w:rPr>
            </w:pPr>
            <w:r>
              <w:rPr>
                <w:rFonts w:ascii="Arial" w:cs="Arial" w:eastAsia="Arial" w:hAnsi="Arial"/>
                <w:sz w:val="20"/>
                <w:szCs w:val="20"/>
                <w:color w:val="auto"/>
                <w:w w:val="97"/>
              </w:rPr>
              <w:t>Appointment for Perfection</w:t>
            </w:r>
          </w:p>
        </w:tc>
        <w:tc>
          <w:tcPr>
            <w:tcW w:w="1780" w:type="dxa"/>
            <w:vAlign w:val="bottom"/>
          </w:tcPr>
          <w:p>
            <w:pPr>
              <w:jc w:val="right"/>
              <w:ind w:right="1441"/>
              <w:spacing w:after="0"/>
              <w:rPr>
                <w:sz w:val="20"/>
                <w:szCs w:val="20"/>
                <w:color w:val="auto"/>
              </w:rPr>
            </w:pPr>
            <w:r>
              <w:rPr>
                <w:rFonts w:ascii="Arial" w:cs="Arial" w:eastAsia="Arial" w:hAnsi="Arial"/>
                <w:sz w:val="20"/>
                <w:szCs w:val="20"/>
                <w:color w:val="auto"/>
                <w:w w:val="98"/>
              </w:rPr>
              <w:t>90</w:t>
            </w: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9.17</w:t>
            </w:r>
          </w:p>
        </w:tc>
        <w:tc>
          <w:tcPr>
            <w:tcW w:w="2140" w:type="dxa"/>
            <w:vAlign w:val="bottom"/>
            <w:gridSpan w:val="3"/>
          </w:tcPr>
          <w:p>
            <w:pPr>
              <w:ind w:left="260"/>
              <w:spacing w:after="0"/>
              <w:rPr>
                <w:sz w:val="20"/>
                <w:szCs w:val="20"/>
                <w:color w:val="auto"/>
              </w:rPr>
            </w:pPr>
            <w:r>
              <w:rPr>
                <w:rFonts w:ascii="Arial" w:cs="Arial" w:eastAsia="Arial" w:hAnsi="Arial"/>
                <w:sz w:val="20"/>
                <w:szCs w:val="20"/>
                <w:color w:val="auto"/>
                <w:w w:val="90"/>
              </w:rPr>
              <w:t>Interest Rate Limitation</w:t>
            </w:r>
          </w:p>
        </w:tc>
        <w:tc>
          <w:tcPr>
            <w:tcW w:w="460" w:type="dxa"/>
            <w:vAlign w:val="bottom"/>
          </w:tcPr>
          <w:p>
            <w:pPr>
              <w:jc w:val="right"/>
              <w:spacing w:after="0"/>
              <w:rPr>
                <w:sz w:val="20"/>
                <w:szCs w:val="20"/>
                <w:color w:val="auto"/>
              </w:rPr>
            </w:pPr>
            <w:r>
              <w:rPr>
                <w:rFonts w:ascii="Arial" w:cs="Arial" w:eastAsia="Arial" w:hAnsi="Arial"/>
                <w:sz w:val="20"/>
                <w:szCs w:val="20"/>
                <w:color w:val="auto"/>
              </w:rPr>
              <w:t>90</w:t>
            </w: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9.18</w:t>
            </w:r>
          </w:p>
        </w:tc>
        <w:tc>
          <w:tcPr>
            <w:tcW w:w="4380" w:type="dxa"/>
            <w:vAlign w:val="bottom"/>
            <w:gridSpan w:val="5"/>
          </w:tcPr>
          <w:p>
            <w:pPr>
              <w:ind w:left="260"/>
              <w:spacing w:after="0"/>
              <w:rPr>
                <w:sz w:val="20"/>
                <w:szCs w:val="20"/>
                <w:color w:val="auto"/>
              </w:rPr>
            </w:pPr>
            <w:r>
              <w:rPr>
                <w:rFonts w:ascii="Arial" w:cs="Arial" w:eastAsia="Arial" w:hAnsi="Arial"/>
                <w:sz w:val="20"/>
                <w:szCs w:val="20"/>
                <w:color w:val="auto"/>
              </w:rPr>
              <w:t>No Advisory or Fiduciary Responsibility  90</w:t>
            </w: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50"/>
        </w:trPr>
        <w:tc>
          <w:tcPr>
            <w:tcW w:w="2020" w:type="dxa"/>
            <w:vAlign w:val="bottom"/>
          </w:tcPr>
          <w:p>
            <w:pPr>
              <w:ind w:left="660"/>
              <w:spacing w:after="0"/>
              <w:rPr>
                <w:sz w:val="20"/>
                <w:szCs w:val="20"/>
                <w:color w:val="auto"/>
              </w:rPr>
            </w:pPr>
            <w:r>
              <w:rPr>
                <w:rFonts w:ascii="Arial" w:cs="Arial" w:eastAsia="Arial" w:hAnsi="Arial"/>
                <w:sz w:val="20"/>
                <w:szCs w:val="20"/>
                <w:color w:val="auto"/>
              </w:rPr>
              <w:t>Section 9.19</w:t>
            </w:r>
          </w:p>
        </w:tc>
        <w:tc>
          <w:tcPr>
            <w:tcW w:w="9400" w:type="dxa"/>
            <w:vAlign w:val="bottom"/>
            <w:gridSpan w:val="7"/>
          </w:tcPr>
          <w:p>
            <w:pPr>
              <w:ind w:left="260"/>
              <w:spacing w:after="0"/>
              <w:rPr>
                <w:sz w:val="20"/>
                <w:szCs w:val="20"/>
                <w:color w:val="auto"/>
              </w:rPr>
            </w:pPr>
            <w:r>
              <w:rPr>
                <w:rFonts w:ascii="Arial" w:cs="Arial" w:eastAsia="Arial" w:hAnsi="Arial"/>
                <w:sz w:val="20"/>
                <w:szCs w:val="20"/>
                <w:color w:val="auto"/>
              </w:rPr>
              <w:t>Acknowledgement and Consent to Bail-In of EEA Financial Institutions  91</w:t>
            </w:r>
          </w:p>
        </w:tc>
      </w:tr>
      <w:tr>
        <w:trPr>
          <w:trHeight w:val="446"/>
        </w:trPr>
        <w:tc>
          <w:tcPr>
            <w:tcW w:w="2020" w:type="dxa"/>
            <w:vAlign w:val="bottom"/>
          </w:tcPr>
          <w:p>
            <w:pPr>
              <w:spacing w:after="0"/>
              <w:rPr>
                <w:sz w:val="20"/>
                <w:szCs w:val="20"/>
                <w:color w:val="auto"/>
              </w:rPr>
            </w:pPr>
            <w:r>
              <w:rPr>
                <w:rFonts w:ascii="Arial" w:cs="Arial" w:eastAsia="Arial" w:hAnsi="Arial"/>
                <w:sz w:val="20"/>
                <w:szCs w:val="20"/>
                <w:color w:val="auto"/>
              </w:rPr>
              <w:t>ARTICLE X</w:t>
            </w:r>
          </w:p>
        </w:tc>
        <w:tc>
          <w:tcPr>
            <w:tcW w:w="2140" w:type="dxa"/>
            <w:vAlign w:val="bottom"/>
            <w:gridSpan w:val="3"/>
          </w:tcPr>
          <w:p>
            <w:pPr>
              <w:ind w:left="260"/>
              <w:spacing w:after="0"/>
              <w:rPr>
                <w:sz w:val="20"/>
                <w:szCs w:val="20"/>
                <w:color w:val="auto"/>
              </w:rPr>
            </w:pPr>
            <w:r>
              <w:rPr>
                <w:rFonts w:ascii="Arial" w:cs="Arial" w:eastAsia="Arial" w:hAnsi="Arial"/>
                <w:sz w:val="20"/>
                <w:szCs w:val="20"/>
                <w:color w:val="auto"/>
              </w:rPr>
              <w:t>LOAN GUARANTY</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91</w:t>
            </w: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17"/>
        </w:trPr>
        <w:tc>
          <w:tcPr>
            <w:tcW w:w="2020" w:type="dxa"/>
            <w:vAlign w:val="bottom"/>
          </w:tcPr>
          <w:p>
            <w:pPr>
              <w:ind w:left="660"/>
              <w:spacing w:after="0"/>
              <w:rPr>
                <w:sz w:val="20"/>
                <w:szCs w:val="20"/>
                <w:color w:val="auto"/>
              </w:rPr>
            </w:pPr>
            <w:r>
              <w:rPr>
                <w:rFonts w:ascii="Arial" w:cs="Arial" w:eastAsia="Arial" w:hAnsi="Arial"/>
                <w:sz w:val="20"/>
                <w:szCs w:val="20"/>
                <w:color w:val="auto"/>
              </w:rPr>
              <w:t>Section 10.01</w:t>
            </w:r>
          </w:p>
        </w:tc>
        <w:tc>
          <w:tcPr>
            <w:tcW w:w="1120" w:type="dxa"/>
            <w:vAlign w:val="bottom"/>
          </w:tcPr>
          <w:p>
            <w:pPr>
              <w:ind w:left="260"/>
              <w:spacing w:after="0"/>
              <w:rPr>
                <w:sz w:val="20"/>
                <w:szCs w:val="20"/>
                <w:color w:val="auto"/>
              </w:rPr>
            </w:pPr>
            <w:r>
              <w:rPr>
                <w:rFonts w:ascii="Arial" w:cs="Arial" w:eastAsia="Arial" w:hAnsi="Arial"/>
                <w:sz w:val="20"/>
                <w:szCs w:val="20"/>
                <w:color w:val="auto"/>
              </w:rPr>
              <w:t>Guaranty</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91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10.02</w:t>
            </w:r>
          </w:p>
        </w:tc>
        <w:tc>
          <w:tcPr>
            <w:tcW w:w="2140" w:type="dxa"/>
            <w:vAlign w:val="bottom"/>
            <w:gridSpan w:val="3"/>
          </w:tcPr>
          <w:p>
            <w:pPr>
              <w:ind w:left="260"/>
              <w:spacing w:after="0"/>
              <w:rPr>
                <w:sz w:val="20"/>
                <w:szCs w:val="20"/>
                <w:color w:val="auto"/>
              </w:rPr>
            </w:pPr>
            <w:r>
              <w:rPr>
                <w:rFonts w:ascii="Arial" w:cs="Arial" w:eastAsia="Arial" w:hAnsi="Arial"/>
                <w:sz w:val="20"/>
                <w:szCs w:val="20"/>
                <w:color w:val="auto"/>
                <w:w w:val="98"/>
              </w:rPr>
              <w:t>Guaranty of Payment</w:t>
            </w:r>
          </w:p>
        </w:tc>
        <w:tc>
          <w:tcPr>
            <w:tcW w:w="460" w:type="dxa"/>
            <w:vAlign w:val="bottom"/>
          </w:tcPr>
          <w:p>
            <w:pPr>
              <w:jc w:val="right"/>
              <w:ind w:right="161"/>
              <w:spacing w:after="0"/>
              <w:rPr>
                <w:sz w:val="20"/>
                <w:szCs w:val="20"/>
                <w:color w:val="auto"/>
              </w:rPr>
            </w:pPr>
            <w:r>
              <w:rPr>
                <w:rFonts w:ascii="Arial" w:cs="Arial" w:eastAsia="Arial" w:hAnsi="Arial"/>
                <w:sz w:val="20"/>
                <w:szCs w:val="20"/>
                <w:color w:val="auto"/>
                <w:w w:val="80"/>
              </w:rPr>
              <w:t>92</w:t>
            </w: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10.03</w:t>
            </w:r>
          </w:p>
        </w:tc>
        <w:tc>
          <w:tcPr>
            <w:tcW w:w="4380" w:type="dxa"/>
            <w:vAlign w:val="bottom"/>
            <w:gridSpan w:val="5"/>
          </w:tcPr>
          <w:p>
            <w:pPr>
              <w:ind w:left="260"/>
              <w:spacing w:after="0"/>
              <w:rPr>
                <w:sz w:val="20"/>
                <w:szCs w:val="20"/>
                <w:color w:val="auto"/>
              </w:rPr>
            </w:pPr>
            <w:r>
              <w:rPr>
                <w:rFonts w:ascii="Arial" w:cs="Arial" w:eastAsia="Arial" w:hAnsi="Arial"/>
                <w:sz w:val="20"/>
                <w:szCs w:val="20"/>
                <w:color w:val="auto"/>
                <w:w w:val="95"/>
              </w:rPr>
              <w:t>No Discharge or Diminishment of Loan Guaranty</w:t>
            </w:r>
          </w:p>
        </w:tc>
        <w:tc>
          <w:tcPr>
            <w:tcW w:w="820" w:type="dxa"/>
            <w:vAlign w:val="bottom"/>
          </w:tcPr>
          <w:p>
            <w:pPr>
              <w:jc w:val="right"/>
              <w:ind w:right="501"/>
              <w:spacing w:after="0"/>
              <w:rPr>
                <w:sz w:val="20"/>
                <w:szCs w:val="20"/>
                <w:color w:val="auto"/>
              </w:rPr>
            </w:pPr>
            <w:r>
              <w:rPr>
                <w:rFonts w:ascii="Arial" w:cs="Arial" w:eastAsia="Arial" w:hAnsi="Arial"/>
                <w:sz w:val="20"/>
                <w:szCs w:val="20"/>
                <w:color w:val="auto"/>
                <w:w w:val="89"/>
              </w:rPr>
              <w:t>92</w:t>
            </w: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10.04</w:t>
            </w:r>
          </w:p>
        </w:tc>
        <w:tc>
          <w:tcPr>
            <w:tcW w:w="1640" w:type="dxa"/>
            <w:vAlign w:val="bottom"/>
            <w:gridSpan w:val="2"/>
          </w:tcPr>
          <w:p>
            <w:pPr>
              <w:ind w:left="260"/>
              <w:spacing w:after="0"/>
              <w:rPr>
                <w:sz w:val="20"/>
                <w:szCs w:val="20"/>
                <w:color w:val="auto"/>
              </w:rPr>
            </w:pPr>
            <w:r>
              <w:rPr>
                <w:rFonts w:ascii="Arial" w:cs="Arial" w:eastAsia="Arial" w:hAnsi="Arial"/>
                <w:sz w:val="20"/>
                <w:szCs w:val="20"/>
                <w:color w:val="auto"/>
                <w:w w:val="86"/>
              </w:rPr>
              <w:t>Defenses Waived</w:t>
            </w:r>
          </w:p>
        </w:tc>
        <w:tc>
          <w:tcPr>
            <w:tcW w:w="500" w:type="dxa"/>
            <w:vAlign w:val="bottom"/>
          </w:tcPr>
          <w:p>
            <w:pPr>
              <w:jc w:val="right"/>
              <w:ind w:right="21"/>
              <w:spacing w:after="0"/>
              <w:rPr>
                <w:sz w:val="20"/>
                <w:szCs w:val="20"/>
                <w:color w:val="auto"/>
              </w:rPr>
            </w:pPr>
            <w:r>
              <w:rPr>
                <w:rFonts w:ascii="Arial" w:cs="Arial" w:eastAsia="Arial" w:hAnsi="Arial"/>
                <w:sz w:val="20"/>
                <w:szCs w:val="20"/>
                <w:color w:val="auto"/>
              </w:rPr>
              <w:t>93</w:t>
            </w: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30"/>
        </w:trPr>
        <w:tc>
          <w:tcPr>
            <w:tcW w:w="2020" w:type="dxa"/>
            <w:vAlign w:val="bottom"/>
          </w:tcPr>
          <w:p>
            <w:pPr>
              <w:ind w:left="660"/>
              <w:spacing w:after="0"/>
              <w:rPr>
                <w:sz w:val="20"/>
                <w:szCs w:val="20"/>
                <w:color w:val="auto"/>
              </w:rPr>
            </w:pPr>
            <w:r>
              <w:rPr>
                <w:rFonts w:ascii="Arial" w:cs="Arial" w:eastAsia="Arial" w:hAnsi="Arial"/>
                <w:sz w:val="20"/>
                <w:szCs w:val="20"/>
                <w:color w:val="auto"/>
              </w:rPr>
              <w:t>Section 10.05</w:t>
            </w:r>
          </w:p>
        </w:tc>
        <w:tc>
          <w:tcPr>
            <w:tcW w:w="2140" w:type="dxa"/>
            <w:vAlign w:val="bottom"/>
            <w:gridSpan w:val="3"/>
          </w:tcPr>
          <w:p>
            <w:pPr>
              <w:ind w:left="260"/>
              <w:spacing w:after="0"/>
              <w:rPr>
                <w:sz w:val="20"/>
                <w:szCs w:val="20"/>
                <w:color w:val="auto"/>
              </w:rPr>
            </w:pPr>
            <w:r>
              <w:rPr>
                <w:rFonts w:ascii="Arial" w:cs="Arial" w:eastAsia="Arial" w:hAnsi="Arial"/>
                <w:sz w:val="20"/>
                <w:szCs w:val="20"/>
                <w:color w:val="auto"/>
                <w:w w:val="96"/>
              </w:rPr>
              <w:t>Rights of Subrogation</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93</w:t>
            </w: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250"/>
        </w:trPr>
        <w:tc>
          <w:tcPr>
            <w:tcW w:w="2020" w:type="dxa"/>
            <w:vAlign w:val="bottom"/>
          </w:tcPr>
          <w:p>
            <w:pPr>
              <w:ind w:left="660"/>
              <w:spacing w:after="0"/>
              <w:rPr>
                <w:sz w:val="20"/>
                <w:szCs w:val="20"/>
                <w:color w:val="auto"/>
              </w:rPr>
            </w:pPr>
            <w:r>
              <w:rPr>
                <w:rFonts w:ascii="Arial" w:cs="Arial" w:eastAsia="Arial" w:hAnsi="Arial"/>
                <w:sz w:val="20"/>
                <w:szCs w:val="20"/>
                <w:color w:val="auto"/>
              </w:rPr>
              <w:t>Section 10.06</w:t>
            </w:r>
          </w:p>
        </w:tc>
        <w:tc>
          <w:tcPr>
            <w:tcW w:w="4380" w:type="dxa"/>
            <w:vAlign w:val="bottom"/>
            <w:gridSpan w:val="5"/>
          </w:tcPr>
          <w:p>
            <w:pPr>
              <w:ind w:left="260"/>
              <w:spacing w:after="0"/>
              <w:rPr>
                <w:sz w:val="20"/>
                <w:szCs w:val="20"/>
                <w:color w:val="auto"/>
              </w:rPr>
            </w:pPr>
            <w:r>
              <w:rPr>
                <w:rFonts w:ascii="Arial" w:cs="Arial" w:eastAsia="Arial" w:hAnsi="Arial"/>
                <w:sz w:val="20"/>
                <w:szCs w:val="20"/>
                <w:color w:val="auto"/>
              </w:rPr>
              <w:t>Reinstatement; Stay of Acceleration  93</w:t>
            </w:r>
          </w:p>
        </w:tc>
        <w:tc>
          <w:tcPr>
            <w:tcW w:w="820" w:type="dxa"/>
            <w:vAlign w:val="bottom"/>
          </w:tcPr>
          <w:p>
            <w:pPr>
              <w:spacing w:after="0"/>
              <w:rPr>
                <w:sz w:val="21"/>
                <w:szCs w:val="21"/>
                <w:color w:val="auto"/>
              </w:rPr>
            </w:pPr>
          </w:p>
        </w:tc>
        <w:tc>
          <w:tcPr>
            <w:tcW w:w="4200" w:type="dxa"/>
            <w:vAlign w:val="bottom"/>
          </w:tcPr>
          <w:p>
            <w:pPr>
              <w:spacing w:after="0"/>
              <w:rPr>
                <w:sz w:val="21"/>
                <w:szCs w:val="21"/>
                <w:color w:val="auto"/>
              </w:rPr>
            </w:pPr>
          </w:p>
        </w:tc>
      </w:tr>
    </w:tbl>
    <w:p>
      <w:pPr>
        <w:sectPr>
          <w:pgSz w:w="11900" w:h="16838" w:orient="portrait"/>
          <w:cols w:equalWidth="0" w:num="1">
            <w:col w:w="11420"/>
          </w:cols>
          <w:pgMar w:left="240" w:top="549" w:right="239" w:bottom="1440" w:gutter="0" w:footer="0" w:header="0"/>
        </w:sectPr>
      </w:pPr>
    </w:p>
    <w:bookmarkStart w:id="119" w:name="page120"/>
    <w:bookmarkEnd w:id="119"/>
    <w:p>
      <w:pPr>
        <w:jc w:val="center"/>
        <w:ind w:right="70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20"/>
          <w:szCs w:val="20"/>
          <w:b w:val="1"/>
          <w:bCs w:val="1"/>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10.07</w:t>
            </w:r>
          </w:p>
        </w:tc>
        <w:tc>
          <w:tcPr>
            <w:tcW w:w="1340" w:type="dxa"/>
            <w:vAlign w:val="bottom"/>
          </w:tcPr>
          <w:p>
            <w:pPr>
              <w:ind w:left="260"/>
              <w:spacing w:after="0"/>
              <w:rPr>
                <w:sz w:val="20"/>
                <w:szCs w:val="20"/>
                <w:color w:val="auto"/>
              </w:rPr>
            </w:pPr>
            <w:r>
              <w:rPr>
                <w:rFonts w:ascii="Arial" w:cs="Arial" w:eastAsia="Arial" w:hAnsi="Arial"/>
                <w:sz w:val="20"/>
                <w:szCs w:val="20"/>
                <w:color w:val="auto"/>
              </w:rPr>
              <w:t>Information</w:t>
            </w:r>
          </w:p>
        </w:tc>
        <w:tc>
          <w:tcPr>
            <w:tcW w:w="620" w:type="dxa"/>
            <w:vAlign w:val="bottom"/>
          </w:tcPr>
          <w:p>
            <w:pPr>
              <w:jc w:val="right"/>
              <w:ind w:right="261"/>
              <w:spacing w:after="0"/>
              <w:rPr>
                <w:sz w:val="20"/>
                <w:szCs w:val="20"/>
                <w:color w:val="auto"/>
              </w:rPr>
            </w:pPr>
            <w:r>
              <w:rPr>
                <w:rFonts w:ascii="Arial" w:cs="Arial" w:eastAsia="Arial" w:hAnsi="Arial"/>
                <w:sz w:val="20"/>
                <w:szCs w:val="20"/>
                <w:color w:val="auto"/>
              </w:rPr>
              <w:t>93</w:t>
            </w:r>
          </w:p>
        </w:tc>
        <w:tc>
          <w:tcPr>
            <w:tcW w:w="3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10.08</w:t>
            </w:r>
          </w:p>
        </w:tc>
        <w:tc>
          <w:tcPr>
            <w:tcW w:w="1340" w:type="dxa"/>
            <w:vAlign w:val="bottom"/>
          </w:tcPr>
          <w:p>
            <w:pPr>
              <w:ind w:left="260"/>
              <w:spacing w:after="0"/>
              <w:rPr>
                <w:sz w:val="20"/>
                <w:szCs w:val="20"/>
                <w:color w:val="auto"/>
              </w:rPr>
            </w:pPr>
            <w:r>
              <w:rPr>
                <w:rFonts w:ascii="Arial" w:cs="Arial" w:eastAsia="Arial" w:hAnsi="Arial"/>
                <w:sz w:val="20"/>
                <w:szCs w:val="20"/>
                <w:color w:val="auto"/>
              </w:rPr>
              <w:t>Termination</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93</w:t>
            </w:r>
          </w:p>
        </w:tc>
        <w:tc>
          <w:tcPr>
            <w:tcW w:w="3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10.09</w:t>
            </w:r>
          </w:p>
        </w:tc>
        <w:tc>
          <w:tcPr>
            <w:tcW w:w="1340" w:type="dxa"/>
            <w:vAlign w:val="bottom"/>
          </w:tcPr>
          <w:p>
            <w:pPr>
              <w:ind w:left="260"/>
              <w:spacing w:after="0"/>
              <w:rPr>
                <w:sz w:val="20"/>
                <w:szCs w:val="20"/>
                <w:color w:val="auto"/>
              </w:rPr>
            </w:pPr>
            <w:r>
              <w:rPr>
                <w:rFonts w:ascii="Arial" w:cs="Arial" w:eastAsia="Arial" w:hAnsi="Arial"/>
                <w:sz w:val="20"/>
                <w:szCs w:val="20"/>
                <w:color w:val="auto"/>
              </w:rPr>
              <w:t>Taxes  94</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10.10</w:t>
            </w:r>
          </w:p>
        </w:tc>
        <w:tc>
          <w:tcPr>
            <w:tcW w:w="1960" w:type="dxa"/>
            <w:vAlign w:val="bottom"/>
            <w:gridSpan w:val="2"/>
          </w:tcPr>
          <w:p>
            <w:pPr>
              <w:ind w:left="260"/>
              <w:spacing w:after="0"/>
              <w:rPr>
                <w:sz w:val="20"/>
                <w:szCs w:val="20"/>
                <w:color w:val="auto"/>
              </w:rPr>
            </w:pPr>
            <w:r>
              <w:rPr>
                <w:rFonts w:ascii="Arial" w:cs="Arial" w:eastAsia="Arial" w:hAnsi="Arial"/>
                <w:sz w:val="20"/>
                <w:szCs w:val="20"/>
                <w:color w:val="auto"/>
              </w:rPr>
              <w:t>Maximum Liability</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94</w:t>
            </w:r>
          </w:p>
        </w:tc>
      </w:t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10.11</w:t>
            </w:r>
          </w:p>
        </w:tc>
        <w:tc>
          <w:tcPr>
            <w:tcW w:w="1340" w:type="dxa"/>
            <w:vAlign w:val="bottom"/>
          </w:tcPr>
          <w:p>
            <w:pPr>
              <w:ind w:left="260"/>
              <w:spacing w:after="0"/>
              <w:rPr>
                <w:sz w:val="20"/>
                <w:szCs w:val="20"/>
                <w:color w:val="auto"/>
              </w:rPr>
            </w:pPr>
            <w:r>
              <w:rPr>
                <w:rFonts w:ascii="Arial" w:cs="Arial" w:eastAsia="Arial" w:hAnsi="Arial"/>
                <w:sz w:val="20"/>
                <w:szCs w:val="20"/>
                <w:color w:val="auto"/>
                <w:w w:val="98"/>
              </w:rPr>
              <w:t>Contribution</w:t>
            </w:r>
          </w:p>
        </w:tc>
        <w:tc>
          <w:tcPr>
            <w:tcW w:w="620" w:type="dxa"/>
            <w:vAlign w:val="bottom"/>
          </w:tcPr>
          <w:p>
            <w:pPr>
              <w:jc w:val="right"/>
              <w:ind w:right="201"/>
              <w:spacing w:after="0"/>
              <w:rPr>
                <w:sz w:val="20"/>
                <w:szCs w:val="20"/>
                <w:color w:val="auto"/>
              </w:rPr>
            </w:pPr>
            <w:r>
              <w:rPr>
                <w:rFonts w:ascii="Arial" w:cs="Arial" w:eastAsia="Arial" w:hAnsi="Arial"/>
                <w:sz w:val="20"/>
                <w:szCs w:val="20"/>
                <w:color w:val="auto"/>
              </w:rPr>
              <w:t>94</w:t>
            </w:r>
          </w:p>
        </w:tc>
        <w:tc>
          <w:tcPr>
            <w:tcW w:w="3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20"/>
                <w:szCs w:val="20"/>
                <w:color w:val="auto"/>
              </w:rPr>
              <w:t>Section 10.12</w:t>
            </w:r>
          </w:p>
        </w:tc>
        <w:tc>
          <w:tcPr>
            <w:tcW w:w="1960" w:type="dxa"/>
            <w:vAlign w:val="bottom"/>
            <w:gridSpan w:val="2"/>
          </w:tcPr>
          <w:p>
            <w:pPr>
              <w:ind w:left="260"/>
              <w:spacing w:after="0"/>
              <w:rPr>
                <w:sz w:val="20"/>
                <w:szCs w:val="20"/>
                <w:color w:val="auto"/>
              </w:rPr>
            </w:pPr>
            <w:r>
              <w:rPr>
                <w:rFonts w:ascii="Arial" w:cs="Arial" w:eastAsia="Arial" w:hAnsi="Arial"/>
                <w:sz w:val="20"/>
                <w:szCs w:val="20"/>
                <w:color w:val="auto"/>
                <w:w w:val="97"/>
              </w:rPr>
              <w:t>Liability Cumulative</w:t>
            </w:r>
          </w:p>
        </w:tc>
        <w:tc>
          <w:tcPr>
            <w:tcW w:w="34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50"/>
        </w:trPr>
        <w:tc>
          <w:tcPr>
            <w:tcW w:w="1360" w:type="dxa"/>
            <w:vAlign w:val="bottom"/>
          </w:tcPr>
          <w:p>
            <w:pPr>
              <w:spacing w:after="0"/>
              <w:rPr>
                <w:sz w:val="20"/>
                <w:szCs w:val="20"/>
                <w:color w:val="auto"/>
              </w:rPr>
            </w:pPr>
            <w:r>
              <w:rPr>
                <w:rFonts w:ascii="Arial" w:cs="Arial" w:eastAsia="Arial" w:hAnsi="Arial"/>
                <w:sz w:val="20"/>
                <w:szCs w:val="20"/>
                <w:color w:val="auto"/>
              </w:rPr>
              <w:t>Section 10.13</w:t>
            </w:r>
          </w:p>
        </w:tc>
        <w:tc>
          <w:tcPr>
            <w:tcW w:w="1960" w:type="dxa"/>
            <w:vAlign w:val="bottom"/>
            <w:gridSpan w:val="2"/>
          </w:tcPr>
          <w:p>
            <w:pPr>
              <w:ind w:left="260"/>
              <w:spacing w:after="0"/>
              <w:rPr>
                <w:sz w:val="20"/>
                <w:szCs w:val="20"/>
                <w:color w:val="auto"/>
              </w:rPr>
            </w:pPr>
            <w:r>
              <w:rPr>
                <w:rFonts w:ascii="Arial" w:cs="Arial" w:eastAsia="Arial" w:hAnsi="Arial"/>
                <w:sz w:val="20"/>
                <w:szCs w:val="20"/>
                <w:color w:val="auto"/>
              </w:rPr>
              <w:t>Keepwell  95</w:t>
            </w:r>
          </w:p>
        </w:tc>
        <w:tc>
          <w:tcPr>
            <w:tcW w:w="340" w:type="dxa"/>
            <w:vAlign w:val="bottom"/>
          </w:tcPr>
          <w:p>
            <w:pPr>
              <w:spacing w:after="0"/>
              <w:rPr>
                <w:sz w:val="21"/>
                <w:szCs w:val="21"/>
                <w:color w:val="auto"/>
              </w:rPr>
            </w:pPr>
          </w:p>
        </w:tc>
      </w:tr>
    </w:tbl>
    <w:p>
      <w:pPr>
        <w:sectPr>
          <w:pgSz w:w="11900" w:h="16838" w:orient="portrait"/>
          <w:cols w:equalWidth="0" w:num="1">
            <w:col w:w="10760"/>
          </w:cols>
          <w:pgMar w:left="900" w:top="549"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SCHEDULES:</w:t>
            </w:r>
          </w:p>
        </w:tc>
        <w:tc>
          <w:tcPr>
            <w:tcW w:w="580" w:type="dxa"/>
            <w:vAlign w:val="bottom"/>
          </w:tcPr>
          <w:p>
            <w:pPr>
              <w:spacing w:after="0"/>
              <w:rPr>
                <w:sz w:val="19"/>
                <w:szCs w:val="19"/>
                <w:color w:val="auto"/>
              </w:rPr>
            </w:pPr>
          </w:p>
        </w:tc>
        <w:tc>
          <w:tcPr>
            <w:tcW w:w="878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470"/>
        </w:trPr>
        <w:tc>
          <w:tcPr>
            <w:tcW w:w="1880" w:type="dxa"/>
            <w:vAlign w:val="bottom"/>
            <w:gridSpan w:val="4"/>
          </w:tcPr>
          <w:p>
            <w:pPr>
              <w:spacing w:after="0"/>
              <w:rPr>
                <w:sz w:val="20"/>
                <w:szCs w:val="20"/>
                <w:color w:val="auto"/>
              </w:rPr>
            </w:pPr>
            <w:r>
              <w:rPr>
                <w:rFonts w:ascii="Arial" w:cs="Arial" w:eastAsia="Arial" w:hAnsi="Arial"/>
                <w:sz w:val="20"/>
                <w:szCs w:val="20"/>
                <w:color w:val="auto"/>
                <w:w w:val="91"/>
              </w:rPr>
              <w:t>Commitment Schedule</w:t>
            </w:r>
          </w:p>
        </w:tc>
        <w:tc>
          <w:tcPr>
            <w:tcW w:w="8780" w:type="dxa"/>
            <w:vAlign w:val="bottom"/>
          </w:tcPr>
          <w:p>
            <w:pPr>
              <w:spacing w:after="0"/>
              <w:rPr>
                <w:sz w:val="24"/>
                <w:szCs w:val="24"/>
                <w:color w:val="auto"/>
              </w:rPr>
            </w:pPr>
          </w:p>
        </w:tc>
      </w:tr>
      <w:tr>
        <w:trPr>
          <w:trHeight w:val="425"/>
        </w:trPr>
        <w:tc>
          <w:tcPr>
            <w:tcW w:w="1300" w:type="dxa"/>
            <w:vAlign w:val="bottom"/>
            <w:gridSpan w:val="3"/>
          </w:tcPr>
          <w:p>
            <w:pPr>
              <w:spacing w:after="0"/>
              <w:rPr>
                <w:sz w:val="20"/>
                <w:szCs w:val="20"/>
                <w:color w:val="auto"/>
              </w:rPr>
            </w:pPr>
            <w:r>
              <w:rPr>
                <w:rFonts w:ascii="Arial" w:cs="Arial" w:eastAsia="Arial" w:hAnsi="Arial"/>
                <w:sz w:val="20"/>
                <w:szCs w:val="20"/>
                <w:color w:val="auto"/>
              </w:rPr>
              <w:t>Schedule 1.01</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Subordination Terms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3.12</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Capitalization and Subsidiaries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6.01</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Existing Indebtedness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6.02</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Existing Liens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6.04</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Existing Investments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6.08</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40"/>
              <w:spacing w:after="0"/>
              <w:rPr>
                <w:sz w:val="20"/>
                <w:szCs w:val="20"/>
                <w:color w:val="auto"/>
              </w:rPr>
            </w:pPr>
            <w:r>
              <w:rPr>
                <w:rFonts w:ascii="Arial" w:cs="Arial" w:eastAsia="Arial" w:hAnsi="Arial"/>
                <w:sz w:val="20"/>
                <w:szCs w:val="20"/>
                <w:color w:val="auto"/>
              </w:rPr>
              <w:t>Transactions with Affiliates</w:t>
            </w:r>
          </w:p>
        </w:tc>
      </w:tr>
      <w:tr>
        <w:trPr>
          <w:trHeight w:val="250"/>
        </w:trPr>
        <w:tc>
          <w:tcPr>
            <w:tcW w:w="1300" w:type="dxa"/>
            <w:vAlign w:val="bottom"/>
            <w:gridSpan w:val="3"/>
          </w:tcPr>
          <w:p>
            <w:pPr>
              <w:spacing w:after="0"/>
              <w:rPr>
                <w:sz w:val="20"/>
                <w:szCs w:val="20"/>
                <w:color w:val="auto"/>
              </w:rPr>
            </w:pPr>
            <w:r>
              <w:rPr>
                <w:rFonts w:ascii="Arial" w:cs="Arial" w:eastAsia="Arial" w:hAnsi="Arial"/>
                <w:sz w:val="20"/>
                <w:szCs w:val="20"/>
                <w:color w:val="auto"/>
              </w:rPr>
              <w:t>Schedule 6.09</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Restrictive Agreements</w:t>
            </w:r>
          </w:p>
        </w:tc>
      </w:tr>
      <w:tr>
        <w:trPr>
          <w:trHeight w:val="401"/>
        </w:trPr>
        <w:tc>
          <w:tcPr>
            <w:tcW w:w="130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58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449"/>
        </w:trPr>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400" w:type="dxa"/>
            <w:vAlign w:val="bottom"/>
            <w:gridSpan w:val="2"/>
          </w:tcPr>
          <w:p>
            <w:pPr>
              <w:spacing w:after="0"/>
              <w:rPr>
                <w:sz w:val="24"/>
                <w:szCs w:val="24"/>
                <w:color w:val="auto"/>
              </w:rPr>
            </w:pP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rPr>
              <w:t>—  Form of Assignment and Assumption</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rPr>
              <w:t>—  Form of Compliance Certificate</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580" w:type="dxa"/>
            <w:vAlign w:val="bottom"/>
          </w:tcPr>
          <w:p>
            <w:pPr>
              <w:ind w:left="240"/>
              <w:spacing w:after="0"/>
              <w:rPr>
                <w:sz w:val="20"/>
                <w:szCs w:val="20"/>
                <w:color w:val="auto"/>
              </w:rPr>
            </w:pPr>
            <w:r>
              <w:rPr>
                <w:rFonts w:ascii="Arial" w:cs="Arial" w:eastAsia="Arial" w:hAnsi="Arial"/>
                <w:sz w:val="20"/>
                <w:szCs w:val="20"/>
                <w:color w:val="auto"/>
              </w:rPr>
              <w:t>—</w:t>
            </w:r>
          </w:p>
        </w:tc>
        <w:tc>
          <w:tcPr>
            <w:tcW w:w="8780" w:type="dxa"/>
            <w:vAlign w:val="bottom"/>
          </w:tcPr>
          <w:p>
            <w:pPr>
              <w:ind w:left="60"/>
              <w:spacing w:after="0"/>
              <w:rPr>
                <w:sz w:val="20"/>
                <w:szCs w:val="20"/>
                <w:color w:val="auto"/>
              </w:rPr>
            </w:pPr>
            <w:r>
              <w:rPr>
                <w:rFonts w:ascii="Arial" w:cs="Arial" w:eastAsia="Arial" w:hAnsi="Arial"/>
                <w:sz w:val="20"/>
                <w:szCs w:val="20"/>
                <w:color w:val="auto"/>
              </w:rPr>
              <w:t>Joinder Agreement</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rPr>
              <w:t>—  Form of Solvency Certificate</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E - 1</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w w:val="93"/>
              </w:rPr>
              <w:t>—  U.S. Tax Certificate (For Foreign Lenders that are not Partnerships for U.S. Federal Income Tax Purposes)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E - 2</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w w:val="90"/>
              </w:rPr>
              <w:t>—  U.S. Tax Certificate (For Foreign Participants that are not Partnerships for U.S. Federal Income Tax Purposes)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E - 3</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w w:val="93"/>
              </w:rPr>
              <w:t>—  U.S. Tax Certificate (For Foreign Participants that are Partnerships for U.S. Federal Income Tax Purposes)</w:t>
            </w:r>
          </w:p>
        </w:tc>
      </w:tr>
      <w:tr>
        <w:trPr>
          <w:trHeight w:val="230"/>
        </w:trPr>
        <w:tc>
          <w:tcPr>
            <w:tcW w:w="1300" w:type="dxa"/>
            <w:vAlign w:val="bottom"/>
            <w:gridSpan w:val="3"/>
          </w:tcPr>
          <w:p>
            <w:pPr>
              <w:spacing w:after="0"/>
              <w:rPr>
                <w:sz w:val="20"/>
                <w:szCs w:val="20"/>
                <w:color w:val="auto"/>
              </w:rPr>
            </w:pPr>
            <w:r>
              <w:rPr>
                <w:rFonts w:ascii="Arial" w:cs="Arial" w:eastAsia="Arial" w:hAnsi="Arial"/>
                <w:sz w:val="20"/>
                <w:szCs w:val="20"/>
                <w:color w:val="auto"/>
              </w:rPr>
              <w:t>Exhibit E - 4</w:t>
            </w:r>
          </w:p>
        </w:tc>
        <w:tc>
          <w:tcPr>
            <w:tcW w:w="9360" w:type="dxa"/>
            <w:vAlign w:val="bottom"/>
            <w:gridSpan w:val="2"/>
          </w:tcPr>
          <w:p>
            <w:pPr>
              <w:ind w:left="240"/>
              <w:spacing w:after="0"/>
              <w:rPr>
                <w:sz w:val="20"/>
                <w:szCs w:val="20"/>
                <w:color w:val="auto"/>
              </w:rPr>
            </w:pPr>
            <w:r>
              <w:rPr>
                <w:rFonts w:ascii="Arial" w:cs="Arial" w:eastAsia="Arial" w:hAnsi="Arial"/>
                <w:sz w:val="20"/>
                <w:szCs w:val="20"/>
                <w:color w:val="auto"/>
                <w:w w:val="96"/>
              </w:rPr>
              <w:t>—  U.S. Tax Certificate (For Foreign Lenders that are Partnerships for U.S. Federal Income Tax Purposes)</w:t>
            </w:r>
          </w:p>
        </w:tc>
      </w:tr>
      <w:tr>
        <w:trPr>
          <w:trHeight w:val="230"/>
        </w:trPr>
        <w:tc>
          <w:tcPr>
            <w:tcW w:w="10660" w:type="dxa"/>
            <w:vAlign w:val="bottom"/>
            <w:gridSpan w:val="5"/>
          </w:tcPr>
          <w:p>
            <w:pPr>
              <w:spacing w:after="0"/>
              <w:rPr>
                <w:sz w:val="20"/>
                <w:szCs w:val="20"/>
                <w:color w:val="auto"/>
              </w:rPr>
            </w:pPr>
            <w:r>
              <w:rPr>
                <w:rFonts w:ascii="Arial" w:cs="Arial" w:eastAsia="Arial" w:hAnsi="Arial"/>
                <w:sz w:val="20"/>
                <w:szCs w:val="20"/>
                <w:color w:val="auto"/>
              </w:rPr>
              <w:t>Exhibit F  —  Form of Borrowing Request</w:t>
            </w:r>
          </w:p>
        </w:tc>
      </w:tr>
      <w:tr>
        <w:trPr>
          <w:trHeight w:val="250"/>
        </w:trPr>
        <w:tc>
          <w:tcPr>
            <w:tcW w:w="1300" w:type="dxa"/>
            <w:vAlign w:val="bottom"/>
            <w:gridSpan w:val="3"/>
          </w:tcPr>
          <w:p>
            <w:pPr>
              <w:spacing w:after="0"/>
              <w:rPr>
                <w:sz w:val="20"/>
                <w:szCs w:val="20"/>
                <w:color w:val="auto"/>
              </w:rPr>
            </w:pPr>
            <w:r>
              <w:rPr>
                <w:rFonts w:ascii="Arial" w:cs="Arial" w:eastAsia="Arial" w:hAnsi="Arial"/>
                <w:sz w:val="20"/>
                <w:szCs w:val="20"/>
                <w:color w:val="auto"/>
              </w:rPr>
              <w:t>Exhibit G  —</w:t>
            </w:r>
          </w:p>
        </w:tc>
        <w:tc>
          <w:tcPr>
            <w:tcW w:w="9360" w:type="dxa"/>
            <w:vAlign w:val="bottom"/>
            <w:gridSpan w:val="2"/>
          </w:tcPr>
          <w:p>
            <w:pPr>
              <w:ind w:left="80"/>
              <w:spacing w:after="0"/>
              <w:rPr>
                <w:sz w:val="20"/>
                <w:szCs w:val="20"/>
                <w:color w:val="auto"/>
              </w:rPr>
            </w:pPr>
            <w:r>
              <w:rPr>
                <w:rFonts w:ascii="Arial" w:cs="Arial" w:eastAsia="Arial" w:hAnsi="Arial"/>
                <w:sz w:val="20"/>
                <w:szCs w:val="20"/>
                <w:color w:val="auto"/>
              </w:rPr>
              <w:t>Form of Notice of Continuation/Conversion</w:t>
            </w:r>
          </w:p>
        </w:tc>
      </w:tr>
    </w:tbl>
    <w:p>
      <w:pPr>
        <w:sectPr>
          <w:pgSz w:w="11900" w:h="16838" w:orient="portrait"/>
          <w:cols w:equalWidth="0" w:num="1">
            <w:col w:w="10660"/>
          </w:cols>
          <w:pgMar w:left="240" w:top="571" w:right="999" w:bottom="1440" w:gutter="0" w:footer="0" w:header="0"/>
        </w:sectPr>
      </w:pPr>
    </w:p>
    <w:bookmarkStart w:id="121" w:name="page122"/>
    <w:bookmarkEnd w:id="121"/>
    <w:p>
      <w:pPr>
        <w:jc w:val="both"/>
        <w:ind w:firstLine="648"/>
        <w:spacing w:after="0" w:line="246" w:lineRule="auto"/>
        <w:rPr>
          <w:sz w:val="20"/>
          <w:szCs w:val="20"/>
          <w:color w:val="auto"/>
        </w:rPr>
      </w:pPr>
      <w:r>
        <w:rPr>
          <w:rFonts w:ascii="Arial" w:cs="Arial" w:eastAsia="Arial" w:hAnsi="Arial"/>
          <w:sz w:val="20"/>
          <w:szCs w:val="20"/>
          <w:color w:val="auto"/>
        </w:rPr>
        <w:t>THIS CREDIT AGREEMENT, dated as of November 21, 2017 (as it may be amended, restated, amended and restated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EXLSERVICE HOLDINGS, INC., as the Borrower, the other Loan Parties party hereto from time to time, the Lenders party hereto from time to time, the Issuing Banks party hereto from time to time, and CITIBANK, N.A., as the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2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Article 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that the applicable Loan Party is the surviving entity.</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for any Interest Period or for any ABR Borrowing, an interest rate per annum (rounded upwards, if necessary, to the next 1/16 of 1%) equal to (a) the LIBO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Adjusted LIBO Rate is less than zero, it shall be deemed to be zero for purposes of this Agreement.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Citibank, N.A., in its capacity as administrative agent for the Lenders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Credit Exposure</w:t>
      </w:r>
      <w:r>
        <w:rPr>
          <w:rFonts w:ascii="Arial" w:cs="Arial" w:eastAsia="Arial" w:hAnsi="Arial"/>
          <w:sz w:val="20"/>
          <w:szCs w:val="20"/>
          <w:color w:val="auto"/>
        </w:rPr>
        <w:t>” means, at any time, the aggregate Credit Exposure of all the Lenders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introductory paragraph.</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Federal Funds Effective Rate in effect on such day plus ½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avoidance of doubt, the Adjusted LIBO Rate for any day shall be based on the rate appearing on the Reuters Screen LIBOR01 Page (or on</w:t>
      </w:r>
    </w:p>
    <w:p>
      <w:pPr>
        <w:sectPr>
          <w:pgSz w:w="11900" w:h="16838" w:orient="portrait"/>
          <w:cols w:equalWidth="0" w:num="1">
            <w:col w:w="11420"/>
          </w:cols>
          <w:pgMar w:left="240" w:top="595" w:right="239" w:bottom="1440" w:gutter="0" w:footer="0" w:header="0"/>
        </w:sectPr>
      </w:pPr>
    </w:p>
    <w:bookmarkStart w:id="122" w:name="page123"/>
    <w:bookmarkEnd w:id="122"/>
    <w:p>
      <w:pPr>
        <w:jc w:val="both"/>
        <w:spacing w:after="0" w:line="259" w:lineRule="auto"/>
        <w:rPr>
          <w:sz w:val="20"/>
          <w:szCs w:val="20"/>
          <w:color w:val="auto"/>
        </w:rPr>
      </w:pPr>
      <w:r>
        <w:rPr>
          <w:rFonts w:ascii="Arial" w:cs="Arial" w:eastAsia="Arial" w:hAnsi="Arial"/>
          <w:sz w:val="19"/>
          <w:szCs w:val="19"/>
          <w:color w:val="auto"/>
        </w:rPr>
        <w:t xml:space="preserve">any successor or substitute page) at approximately 11:00 a.m. London time on such day (without any rounding).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hereof, then the Alternate Base Rate shall be the greater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In the event that that the Alternate Base Rate is less than zero, it shall be deemed to be zero for purposes of this Agreement.</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Subsidiaries from time to time concerning or relating to bribery or corruption.</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Percentages shall be determined based upon such Lender’s share of the Aggregate Credit Exposure at that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when a Defaulting Lender shall exist, any such Defaulting Lender’s Commitment shall be disregarded in the calculation, and (b) with respect to the Aggregate Credit Exposure, a percentage based upon its share of the Aggregate Credit Exposure and the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when a Defaulting Lender shall exist, any such Defaulting Lender’s Commitment shall be disregarded in the calculation.</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for any day, with respect to any ABR Loan or Eurodollar Loan, or with respect to the commitment fees payable hereunder, as the case may be, the applicable rate per annum set forth below under the caption “ABR Spread”, “Eurodollar Spread” or “Commitment Fee Rate”, as the case may be, based upon the Borrower’s Total Net Leverage Ratio as of the most recent determination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until the delivery to the Administrative Agent, pursuant to </w:t>
      </w:r>
      <w:r>
        <w:rPr>
          <w:rFonts w:ascii="Arial" w:cs="Arial" w:eastAsia="Arial" w:hAnsi="Arial"/>
          <w:sz w:val="20"/>
          <w:szCs w:val="20"/>
          <w:u w:val="single" w:color="auto"/>
          <w:color w:val="auto"/>
        </w:rPr>
        <w:t>Section 5.01</w:t>
      </w:r>
      <w:r>
        <w:rPr>
          <w:rFonts w:ascii="Arial" w:cs="Arial" w:eastAsia="Arial" w:hAnsi="Arial"/>
          <w:sz w:val="20"/>
          <w:szCs w:val="20"/>
          <w:color w:val="auto"/>
        </w:rPr>
        <w:t>, of the Borrower’s consolidated financial information for the Borrower’s first fiscal quarter ending after the Effective Date, the “Applicable Rate” shall be the applicable rate per annum set forth below in Category I:</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1400" w:type="dxa"/>
            <w:vAlign w:val="bottom"/>
            <w:tcBorders>
              <w:top w:val="single" w:sz="8" w:color="00000A"/>
              <w:left w:val="single" w:sz="8" w:color="00000A"/>
              <w:bottom w:val="single" w:sz="8" w:color="00000A"/>
              <w:right w:val="single" w:sz="8" w:color="00000A"/>
            </w:tcBorders>
            <w:gridSpan w:val="3"/>
            <w:vMerge w:val="restart"/>
            <w:shd w:val="clear" w:color="auto" w:fill="D9D9D9"/>
          </w:tcPr>
          <w:p>
            <w:pPr>
              <w:jc w:val="center"/>
              <w:spacing w:after="0"/>
              <w:rPr>
                <w:sz w:val="20"/>
                <w:szCs w:val="20"/>
                <w:color w:val="auto"/>
              </w:rPr>
            </w:pPr>
            <w:r>
              <w:rPr>
                <w:rFonts w:ascii="Arial" w:cs="Arial" w:eastAsia="Arial" w:hAnsi="Arial"/>
                <w:sz w:val="20"/>
                <w:szCs w:val="20"/>
                <w:color w:val="auto"/>
                <w:w w:val="88"/>
              </w:rPr>
              <w:t>Category</w:t>
            </w:r>
          </w:p>
        </w:tc>
        <w:tc>
          <w:tcPr>
            <w:tcW w:w="220" w:type="dxa"/>
            <w:vAlign w:val="bottom"/>
            <w:tcBorders>
              <w:top w:val="single" w:sz="8" w:color="00000A"/>
              <w:bottom w:val="single" w:sz="8" w:color="D9D9D9"/>
            </w:tcBorders>
            <w:shd w:val="clear" w:color="auto" w:fill="D9D9D9"/>
          </w:tcPr>
          <w:p>
            <w:pPr>
              <w:spacing w:after="0"/>
              <w:rPr>
                <w:sz w:val="24"/>
                <w:szCs w:val="24"/>
                <w:color w:val="auto"/>
              </w:rPr>
            </w:pPr>
          </w:p>
        </w:tc>
        <w:tc>
          <w:tcPr>
            <w:tcW w:w="2280" w:type="dxa"/>
            <w:vAlign w:val="bottom"/>
            <w:tcBorders>
              <w:top w:val="single" w:sz="8" w:color="00000A"/>
              <w:bottom w:val="single" w:sz="8" w:color="00000A"/>
              <w:right w:val="single" w:sz="8" w:color="00000A"/>
            </w:tcBorders>
            <w:gridSpan w:val="2"/>
            <w:vMerge w:val="restart"/>
            <w:shd w:val="clear" w:color="auto" w:fill="D9D9D9"/>
          </w:tcPr>
          <w:p>
            <w:pPr>
              <w:jc w:val="center"/>
              <w:ind w:right="280"/>
              <w:spacing w:after="0"/>
              <w:rPr>
                <w:sz w:val="20"/>
                <w:szCs w:val="20"/>
                <w:color w:val="auto"/>
              </w:rPr>
            </w:pPr>
            <w:r>
              <w:rPr>
                <w:rFonts w:ascii="Arial" w:cs="Arial" w:eastAsia="Arial" w:hAnsi="Arial"/>
                <w:sz w:val="20"/>
                <w:szCs w:val="20"/>
                <w:color w:val="auto"/>
                <w:w w:val="89"/>
              </w:rPr>
              <w:t>Total Net Leverage Ratio</w:t>
            </w:r>
          </w:p>
        </w:tc>
        <w:tc>
          <w:tcPr>
            <w:tcW w:w="700" w:type="dxa"/>
            <w:vAlign w:val="bottom"/>
            <w:tcBorders>
              <w:top w:val="single" w:sz="8" w:color="00000A"/>
              <w:bottom w:val="single" w:sz="8" w:color="00000A"/>
            </w:tcBorders>
            <w:vMerge w:val="restart"/>
            <w:shd w:val="clear" w:color="auto" w:fill="D9D9D9"/>
          </w:tcPr>
          <w:p>
            <w:pPr>
              <w:spacing w:after="0"/>
              <w:rPr>
                <w:sz w:val="24"/>
                <w:szCs w:val="24"/>
                <w:color w:val="auto"/>
              </w:rPr>
            </w:pPr>
          </w:p>
        </w:tc>
        <w:tc>
          <w:tcPr>
            <w:tcW w:w="1000" w:type="dxa"/>
            <w:vAlign w:val="bottom"/>
            <w:tcBorders>
              <w:top w:val="single" w:sz="8" w:color="00000A"/>
              <w:bottom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ABR Spread</w:t>
            </w:r>
          </w:p>
        </w:tc>
        <w:tc>
          <w:tcPr>
            <w:tcW w:w="780" w:type="dxa"/>
            <w:vAlign w:val="bottom"/>
            <w:tcBorders>
              <w:top w:val="single" w:sz="8" w:color="00000A"/>
              <w:bottom w:val="single" w:sz="8" w:color="00000A"/>
              <w:right w:val="single" w:sz="8" w:color="00000A"/>
            </w:tcBorders>
            <w:shd w:val="clear" w:color="auto" w:fill="D9D9D9"/>
          </w:tcPr>
          <w:p>
            <w:pPr>
              <w:spacing w:after="0"/>
              <w:rPr>
                <w:sz w:val="24"/>
                <w:szCs w:val="24"/>
                <w:color w:val="auto"/>
              </w:rPr>
            </w:pPr>
          </w:p>
        </w:tc>
        <w:tc>
          <w:tcPr>
            <w:tcW w:w="500" w:type="dxa"/>
            <w:vAlign w:val="bottom"/>
            <w:tcBorders>
              <w:top w:val="single" w:sz="8" w:color="00000A"/>
              <w:bottom w:val="single" w:sz="8" w:color="00000A"/>
            </w:tcBorders>
            <w:vMerge w:val="restart"/>
            <w:shd w:val="clear" w:color="auto" w:fill="D9D9D9"/>
          </w:tcPr>
          <w:p>
            <w:pPr>
              <w:spacing w:after="0"/>
              <w:rPr>
                <w:sz w:val="24"/>
                <w:szCs w:val="24"/>
                <w:color w:val="auto"/>
              </w:rPr>
            </w:pPr>
          </w:p>
        </w:tc>
        <w:tc>
          <w:tcPr>
            <w:tcW w:w="1440" w:type="dxa"/>
            <w:vAlign w:val="bottom"/>
            <w:tcBorders>
              <w:top w:val="single" w:sz="8" w:color="00000A"/>
              <w:bottom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Eurodollar Spread</w:t>
            </w:r>
          </w:p>
        </w:tc>
        <w:tc>
          <w:tcPr>
            <w:tcW w:w="560" w:type="dxa"/>
            <w:vAlign w:val="bottom"/>
            <w:tcBorders>
              <w:top w:val="single" w:sz="8" w:color="00000A"/>
              <w:bottom w:val="single" w:sz="8" w:color="00000A"/>
              <w:right w:val="single" w:sz="8" w:color="00000A"/>
            </w:tcBorders>
            <w:shd w:val="clear" w:color="auto" w:fill="D9D9D9"/>
          </w:tcPr>
          <w:p>
            <w:pPr>
              <w:spacing w:after="0"/>
              <w:rPr>
                <w:sz w:val="24"/>
                <w:szCs w:val="24"/>
                <w:color w:val="auto"/>
              </w:rPr>
            </w:pPr>
          </w:p>
        </w:tc>
        <w:tc>
          <w:tcPr>
            <w:tcW w:w="760" w:type="dxa"/>
            <w:vAlign w:val="bottom"/>
            <w:tcBorders>
              <w:top w:val="single" w:sz="8" w:color="00000A"/>
              <w:bottom w:val="single" w:sz="8" w:color="00000A"/>
            </w:tcBorders>
            <w:shd w:val="clear" w:color="auto" w:fill="D9D9D9"/>
          </w:tcPr>
          <w:p>
            <w:pPr>
              <w:spacing w:after="0"/>
              <w:rPr>
                <w:sz w:val="24"/>
                <w:szCs w:val="24"/>
                <w:color w:val="auto"/>
              </w:rPr>
            </w:pPr>
          </w:p>
        </w:tc>
        <w:tc>
          <w:tcPr>
            <w:tcW w:w="940" w:type="dxa"/>
            <w:vAlign w:val="bottom"/>
            <w:tcBorders>
              <w:top w:val="single" w:sz="8" w:color="00000A"/>
              <w:bottom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6"/>
              </w:rPr>
              <w:t>Unused Fee</w:t>
            </w:r>
          </w:p>
        </w:tc>
        <w:tc>
          <w:tcPr>
            <w:tcW w:w="800" w:type="dxa"/>
            <w:vAlign w:val="bottom"/>
            <w:tcBorders>
              <w:top w:val="single" w:sz="8" w:color="00000A"/>
              <w:bottom w:val="single" w:sz="8" w:color="00000A"/>
              <w:right w:val="single" w:sz="8" w:color="00000A"/>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400" w:type="dxa"/>
            <w:vAlign w:val="bottom"/>
            <w:tcBorders>
              <w:left w:val="single" w:sz="8" w:color="00000A"/>
              <w:right w:val="single" w:sz="8" w:color="00000A"/>
            </w:tcBorders>
            <w:gridSpan w:val="3"/>
            <w:vMerge w:val="continue"/>
            <w:shd w:val="clear" w:color="auto" w:fill="D9D9D9"/>
          </w:tcPr>
          <w:p>
            <w:pPr>
              <w:spacing w:after="0"/>
              <w:rPr>
                <w:sz w:val="2"/>
                <w:szCs w:val="2"/>
                <w:color w:val="auto"/>
              </w:rPr>
            </w:pPr>
          </w:p>
        </w:tc>
        <w:tc>
          <w:tcPr>
            <w:tcW w:w="220" w:type="dxa"/>
            <w:vAlign w:val="bottom"/>
            <w:shd w:val="clear" w:color="auto" w:fill="D9D9D9"/>
          </w:tcPr>
          <w:p>
            <w:pPr>
              <w:spacing w:after="0"/>
              <w:rPr>
                <w:sz w:val="2"/>
                <w:szCs w:val="2"/>
                <w:color w:val="auto"/>
              </w:rPr>
            </w:pPr>
          </w:p>
        </w:tc>
        <w:tc>
          <w:tcPr>
            <w:tcW w:w="2280" w:type="dxa"/>
            <w:vAlign w:val="bottom"/>
            <w:tcBorders>
              <w:right w:val="single" w:sz="8" w:color="00000A"/>
            </w:tcBorders>
            <w:gridSpan w:val="2"/>
            <w:vMerge w:val="continue"/>
            <w:shd w:val="clear" w:color="auto" w:fill="D9D9D9"/>
          </w:tcPr>
          <w:p>
            <w:pPr>
              <w:spacing w:after="0"/>
              <w:rPr>
                <w:sz w:val="2"/>
                <w:szCs w:val="2"/>
                <w:color w:val="auto"/>
              </w:rPr>
            </w:pPr>
          </w:p>
        </w:tc>
        <w:tc>
          <w:tcPr>
            <w:tcW w:w="700" w:type="dxa"/>
            <w:vAlign w:val="bottom"/>
            <w:vMerge w:val="continue"/>
            <w:shd w:val="clear" w:color="auto" w:fill="D9D9D9"/>
          </w:tcPr>
          <w:p>
            <w:pPr>
              <w:spacing w:after="0"/>
              <w:rPr>
                <w:sz w:val="2"/>
                <w:szCs w:val="2"/>
                <w:color w:val="auto"/>
              </w:rPr>
            </w:pPr>
          </w:p>
        </w:tc>
        <w:tc>
          <w:tcPr>
            <w:tcW w:w="1780" w:type="dxa"/>
            <w:vAlign w:val="bottom"/>
            <w:tcBorders>
              <w:right w:val="single" w:sz="8" w:color="00000A"/>
            </w:tcBorders>
            <w:gridSpan w:val="2"/>
            <w:vMerge w:val="restart"/>
            <w:shd w:val="clear" w:color="auto" w:fill="D9D9D9"/>
          </w:tcPr>
          <w:p>
            <w:pPr>
              <w:jc w:val="center"/>
              <w:ind w:right="740"/>
              <w:spacing w:after="0"/>
              <w:rPr>
                <w:sz w:val="20"/>
                <w:szCs w:val="20"/>
                <w:color w:val="auto"/>
              </w:rPr>
            </w:pPr>
            <w:r>
              <w:rPr>
                <w:rFonts w:ascii="Arial" w:cs="Arial" w:eastAsia="Arial" w:hAnsi="Arial"/>
                <w:sz w:val="20"/>
                <w:szCs w:val="20"/>
                <w:color w:val="auto"/>
                <w:w w:val="91"/>
              </w:rPr>
              <w:t>(Per Annum)</w:t>
            </w:r>
          </w:p>
        </w:tc>
        <w:tc>
          <w:tcPr>
            <w:tcW w:w="500" w:type="dxa"/>
            <w:vAlign w:val="bottom"/>
            <w:vMerge w:val="continue"/>
            <w:shd w:val="clear" w:color="auto" w:fill="D9D9D9"/>
          </w:tcPr>
          <w:p>
            <w:pPr>
              <w:spacing w:after="0"/>
              <w:rPr>
                <w:sz w:val="2"/>
                <w:szCs w:val="2"/>
                <w:color w:val="auto"/>
              </w:rPr>
            </w:pPr>
          </w:p>
        </w:tc>
        <w:tc>
          <w:tcPr>
            <w:tcW w:w="2000" w:type="dxa"/>
            <w:vAlign w:val="bottom"/>
            <w:tcBorders>
              <w:right w:val="single" w:sz="8" w:color="00000A"/>
            </w:tcBorders>
            <w:gridSpan w:val="2"/>
            <w:vMerge w:val="restart"/>
            <w:shd w:val="clear" w:color="auto" w:fill="D9D9D9"/>
          </w:tcPr>
          <w:p>
            <w:pPr>
              <w:jc w:val="center"/>
              <w:ind w:right="520"/>
              <w:spacing w:after="0"/>
              <w:rPr>
                <w:sz w:val="20"/>
                <w:szCs w:val="20"/>
                <w:color w:val="auto"/>
              </w:rPr>
            </w:pPr>
            <w:r>
              <w:rPr>
                <w:rFonts w:ascii="Arial" w:cs="Arial" w:eastAsia="Arial" w:hAnsi="Arial"/>
                <w:sz w:val="20"/>
                <w:szCs w:val="20"/>
                <w:color w:val="auto"/>
                <w:w w:val="91"/>
              </w:rPr>
              <w:t>(Per Annum)</w:t>
            </w:r>
          </w:p>
        </w:tc>
        <w:tc>
          <w:tcPr>
            <w:tcW w:w="2500" w:type="dxa"/>
            <w:vAlign w:val="bottom"/>
            <w:tcBorders>
              <w:right w:val="single" w:sz="8" w:color="00000A"/>
            </w:tcBorders>
            <w:gridSpan w:val="3"/>
            <w:vMerge w:val="restart"/>
            <w:shd w:val="clear" w:color="auto" w:fill="D9D9D9"/>
          </w:tcPr>
          <w:p>
            <w:pPr>
              <w:jc w:val="center"/>
              <w:ind w:right="20"/>
              <w:spacing w:after="0"/>
              <w:rPr>
                <w:sz w:val="20"/>
                <w:szCs w:val="20"/>
                <w:color w:val="auto"/>
              </w:rPr>
            </w:pPr>
            <w:r>
              <w:rPr>
                <w:rFonts w:ascii="Arial" w:cs="Arial" w:eastAsia="Arial" w:hAnsi="Arial"/>
                <w:sz w:val="20"/>
                <w:szCs w:val="20"/>
                <w:color w:val="auto"/>
                <w:w w:val="91"/>
              </w:rPr>
              <w:t>(Per Annum)</w:t>
            </w:r>
          </w:p>
        </w:tc>
        <w:tc>
          <w:tcPr>
            <w:tcW w:w="0" w:type="dxa"/>
            <w:vAlign w:val="bottom"/>
          </w:tcPr>
          <w:p>
            <w:pPr>
              <w:spacing w:after="0"/>
              <w:rPr>
                <w:sz w:val="1"/>
                <w:szCs w:val="1"/>
                <w:color w:val="auto"/>
              </w:rPr>
            </w:pPr>
          </w:p>
        </w:tc>
      </w:tr>
      <w:tr>
        <w:trPr>
          <w:trHeight w:val="200"/>
        </w:trPr>
        <w:tc>
          <w:tcPr>
            <w:tcW w:w="340" w:type="dxa"/>
            <w:vAlign w:val="bottom"/>
            <w:tcBorders>
              <w:top w:val="single" w:sz="8" w:color="D9D9D9"/>
              <w:left w:val="single" w:sz="8" w:color="00000A"/>
            </w:tcBorders>
            <w:shd w:val="clear" w:color="auto" w:fill="D9D9D9"/>
          </w:tcPr>
          <w:p>
            <w:pPr>
              <w:spacing w:after="0"/>
              <w:rPr>
                <w:sz w:val="17"/>
                <w:szCs w:val="17"/>
                <w:color w:val="auto"/>
              </w:rPr>
            </w:pPr>
          </w:p>
        </w:tc>
        <w:tc>
          <w:tcPr>
            <w:tcW w:w="720" w:type="dxa"/>
            <w:vAlign w:val="bottom"/>
            <w:tcBorders>
              <w:top w:val="single" w:sz="8" w:color="auto"/>
            </w:tcBorders>
            <w:shd w:val="clear" w:color="auto" w:fill="D9D9D9"/>
          </w:tcPr>
          <w:p>
            <w:pPr>
              <w:spacing w:after="0"/>
              <w:rPr>
                <w:sz w:val="17"/>
                <w:szCs w:val="17"/>
                <w:color w:val="auto"/>
              </w:rPr>
            </w:pPr>
          </w:p>
        </w:tc>
        <w:tc>
          <w:tcPr>
            <w:tcW w:w="340" w:type="dxa"/>
            <w:vAlign w:val="bottom"/>
            <w:tcBorders>
              <w:top w:val="single" w:sz="8" w:color="D9D9D9"/>
              <w:right w:val="single" w:sz="8" w:color="00000A"/>
            </w:tcBorders>
            <w:shd w:val="clear" w:color="auto" w:fill="D9D9D9"/>
          </w:tcPr>
          <w:p>
            <w:pPr>
              <w:spacing w:after="0"/>
              <w:rPr>
                <w:sz w:val="17"/>
                <w:szCs w:val="17"/>
                <w:color w:val="auto"/>
              </w:rPr>
            </w:pPr>
          </w:p>
        </w:tc>
        <w:tc>
          <w:tcPr>
            <w:tcW w:w="220" w:type="dxa"/>
            <w:vAlign w:val="bottom"/>
            <w:tcBorders>
              <w:top w:val="single" w:sz="8" w:color="D9D9D9"/>
            </w:tcBorders>
            <w:shd w:val="clear" w:color="auto" w:fill="D9D9D9"/>
          </w:tcPr>
          <w:p>
            <w:pPr>
              <w:spacing w:after="0"/>
              <w:rPr>
                <w:sz w:val="17"/>
                <w:szCs w:val="17"/>
                <w:color w:val="auto"/>
              </w:rPr>
            </w:pPr>
          </w:p>
        </w:tc>
        <w:tc>
          <w:tcPr>
            <w:tcW w:w="200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D9D9D9"/>
              <w:right w:val="single" w:sz="8" w:color="00000A"/>
            </w:tcBorders>
            <w:shd w:val="clear" w:color="auto" w:fill="D9D9D9"/>
          </w:tcPr>
          <w:p>
            <w:pPr>
              <w:spacing w:after="0"/>
              <w:rPr>
                <w:sz w:val="17"/>
                <w:szCs w:val="17"/>
                <w:color w:val="auto"/>
              </w:rPr>
            </w:pPr>
          </w:p>
        </w:tc>
        <w:tc>
          <w:tcPr>
            <w:tcW w:w="700" w:type="dxa"/>
            <w:vAlign w:val="bottom"/>
            <w:tcBorders>
              <w:top w:val="single" w:sz="8" w:color="D9D9D9"/>
            </w:tcBorders>
            <w:shd w:val="clear" w:color="auto" w:fill="D9D9D9"/>
          </w:tcPr>
          <w:p>
            <w:pPr>
              <w:spacing w:after="0"/>
              <w:rPr>
                <w:sz w:val="17"/>
                <w:szCs w:val="17"/>
                <w:color w:val="auto"/>
              </w:rPr>
            </w:pPr>
          </w:p>
        </w:tc>
        <w:tc>
          <w:tcPr>
            <w:tcW w:w="1780" w:type="dxa"/>
            <w:vAlign w:val="bottom"/>
            <w:tcBorders>
              <w:top w:val="single" w:sz="8" w:color="D9D9D9"/>
              <w:right w:val="single" w:sz="8" w:color="00000A"/>
            </w:tcBorders>
            <w:gridSpan w:val="2"/>
            <w:vMerge w:val="continue"/>
            <w:shd w:val="clear" w:color="auto" w:fill="D9D9D9"/>
          </w:tcPr>
          <w:p>
            <w:pPr>
              <w:spacing w:after="0"/>
              <w:rPr>
                <w:sz w:val="17"/>
                <w:szCs w:val="17"/>
                <w:color w:val="auto"/>
              </w:rPr>
            </w:pPr>
          </w:p>
        </w:tc>
        <w:tc>
          <w:tcPr>
            <w:tcW w:w="500" w:type="dxa"/>
            <w:vAlign w:val="bottom"/>
            <w:tcBorders>
              <w:top w:val="single" w:sz="8" w:color="D9D9D9"/>
            </w:tcBorders>
            <w:shd w:val="clear" w:color="auto" w:fill="D9D9D9"/>
          </w:tcPr>
          <w:p>
            <w:pPr>
              <w:spacing w:after="0"/>
              <w:rPr>
                <w:sz w:val="17"/>
                <w:szCs w:val="17"/>
                <w:color w:val="auto"/>
              </w:rPr>
            </w:pPr>
          </w:p>
        </w:tc>
        <w:tc>
          <w:tcPr>
            <w:tcW w:w="2000" w:type="dxa"/>
            <w:vAlign w:val="bottom"/>
            <w:tcBorders>
              <w:top w:val="single" w:sz="8" w:color="D9D9D9"/>
              <w:right w:val="single" w:sz="8" w:color="00000A"/>
            </w:tcBorders>
            <w:gridSpan w:val="2"/>
            <w:vMerge w:val="continue"/>
            <w:shd w:val="clear" w:color="auto" w:fill="D9D9D9"/>
          </w:tcPr>
          <w:p>
            <w:pPr>
              <w:spacing w:after="0"/>
              <w:rPr>
                <w:sz w:val="17"/>
                <w:szCs w:val="17"/>
                <w:color w:val="auto"/>
              </w:rPr>
            </w:pPr>
          </w:p>
        </w:tc>
        <w:tc>
          <w:tcPr>
            <w:tcW w:w="2500" w:type="dxa"/>
            <w:vAlign w:val="bottom"/>
            <w:tcBorders>
              <w:top w:val="single" w:sz="8" w:color="D9D9D9"/>
              <w:right w:val="single" w:sz="8" w:color="00000A"/>
            </w:tcBorders>
            <w:gridSpan w:val="3"/>
            <w:vMerge w:val="continue"/>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shd w:val="clear" w:color="auto" w:fill="D9D9D9"/>
          </w:tcPr>
          <w:p>
            <w:pPr>
              <w:spacing w:after="0"/>
              <w:rPr>
                <w:sz w:val="11"/>
                <w:szCs w:val="11"/>
                <w:color w:val="auto"/>
              </w:rPr>
            </w:pPr>
          </w:p>
        </w:tc>
        <w:tc>
          <w:tcPr>
            <w:tcW w:w="720" w:type="dxa"/>
            <w:vAlign w:val="bottom"/>
            <w:tcBorders>
              <w:bottom w:val="single" w:sz="8" w:color="00000A"/>
            </w:tcBorders>
            <w:shd w:val="clear" w:color="auto" w:fill="D9D9D9"/>
          </w:tcPr>
          <w:p>
            <w:pPr>
              <w:spacing w:after="0"/>
              <w:rPr>
                <w:sz w:val="11"/>
                <w:szCs w:val="11"/>
                <w:color w:val="auto"/>
              </w:rPr>
            </w:pPr>
          </w:p>
        </w:tc>
        <w:tc>
          <w:tcPr>
            <w:tcW w:w="340" w:type="dxa"/>
            <w:vAlign w:val="bottom"/>
            <w:tcBorders>
              <w:bottom w:val="single" w:sz="8" w:color="00000A"/>
              <w:right w:val="single" w:sz="8" w:color="00000A"/>
            </w:tcBorders>
            <w:shd w:val="clear" w:color="auto" w:fill="D9D9D9"/>
          </w:tcPr>
          <w:p>
            <w:pPr>
              <w:spacing w:after="0"/>
              <w:rPr>
                <w:sz w:val="11"/>
                <w:szCs w:val="11"/>
                <w:color w:val="auto"/>
              </w:rPr>
            </w:pPr>
          </w:p>
        </w:tc>
        <w:tc>
          <w:tcPr>
            <w:tcW w:w="220" w:type="dxa"/>
            <w:vAlign w:val="bottom"/>
            <w:tcBorders>
              <w:bottom w:val="single" w:sz="8" w:color="00000A"/>
            </w:tcBorders>
            <w:shd w:val="clear" w:color="auto" w:fill="D9D9D9"/>
          </w:tcPr>
          <w:p>
            <w:pPr>
              <w:spacing w:after="0"/>
              <w:rPr>
                <w:sz w:val="11"/>
                <w:szCs w:val="11"/>
                <w:color w:val="auto"/>
              </w:rPr>
            </w:pPr>
          </w:p>
        </w:tc>
        <w:tc>
          <w:tcPr>
            <w:tcW w:w="2000" w:type="dxa"/>
            <w:vAlign w:val="bottom"/>
            <w:tcBorders>
              <w:bottom w:val="single" w:sz="8" w:color="00000A"/>
            </w:tcBorders>
            <w:shd w:val="clear" w:color="auto" w:fill="D9D9D9"/>
          </w:tcPr>
          <w:p>
            <w:pPr>
              <w:spacing w:after="0"/>
              <w:rPr>
                <w:sz w:val="11"/>
                <w:szCs w:val="11"/>
                <w:color w:val="auto"/>
              </w:rPr>
            </w:pPr>
          </w:p>
        </w:tc>
        <w:tc>
          <w:tcPr>
            <w:tcW w:w="280" w:type="dxa"/>
            <w:vAlign w:val="bottom"/>
            <w:tcBorders>
              <w:bottom w:val="single" w:sz="8" w:color="00000A"/>
              <w:right w:val="single" w:sz="8" w:color="00000A"/>
            </w:tcBorders>
            <w:shd w:val="clear" w:color="auto" w:fill="D9D9D9"/>
          </w:tcPr>
          <w:p>
            <w:pPr>
              <w:spacing w:after="0"/>
              <w:rPr>
                <w:sz w:val="11"/>
                <w:szCs w:val="11"/>
                <w:color w:val="auto"/>
              </w:rPr>
            </w:pPr>
          </w:p>
        </w:tc>
        <w:tc>
          <w:tcPr>
            <w:tcW w:w="700" w:type="dxa"/>
            <w:vAlign w:val="bottom"/>
            <w:tcBorders>
              <w:bottom w:val="single" w:sz="8" w:color="00000A"/>
            </w:tcBorders>
            <w:shd w:val="clear" w:color="auto" w:fill="D9D9D9"/>
          </w:tcPr>
          <w:p>
            <w:pPr>
              <w:spacing w:after="0"/>
              <w:rPr>
                <w:sz w:val="11"/>
                <w:szCs w:val="11"/>
                <w:color w:val="auto"/>
              </w:rPr>
            </w:pPr>
          </w:p>
        </w:tc>
        <w:tc>
          <w:tcPr>
            <w:tcW w:w="1000" w:type="dxa"/>
            <w:vAlign w:val="bottom"/>
            <w:tcBorders>
              <w:bottom w:val="single" w:sz="8" w:color="00000A"/>
            </w:tcBorders>
            <w:shd w:val="clear" w:color="auto" w:fill="D9D9D9"/>
          </w:tcPr>
          <w:p>
            <w:pPr>
              <w:spacing w:after="0"/>
              <w:rPr>
                <w:sz w:val="11"/>
                <w:szCs w:val="11"/>
                <w:color w:val="auto"/>
              </w:rPr>
            </w:pPr>
          </w:p>
        </w:tc>
        <w:tc>
          <w:tcPr>
            <w:tcW w:w="780" w:type="dxa"/>
            <w:vAlign w:val="bottom"/>
            <w:tcBorders>
              <w:bottom w:val="single" w:sz="8" w:color="00000A"/>
              <w:right w:val="single" w:sz="8" w:color="00000A"/>
            </w:tcBorders>
            <w:shd w:val="clear" w:color="auto" w:fill="D9D9D9"/>
          </w:tcPr>
          <w:p>
            <w:pPr>
              <w:spacing w:after="0"/>
              <w:rPr>
                <w:sz w:val="11"/>
                <w:szCs w:val="11"/>
                <w:color w:val="auto"/>
              </w:rPr>
            </w:pPr>
          </w:p>
        </w:tc>
        <w:tc>
          <w:tcPr>
            <w:tcW w:w="500" w:type="dxa"/>
            <w:vAlign w:val="bottom"/>
            <w:tcBorders>
              <w:bottom w:val="single" w:sz="8" w:color="00000A"/>
            </w:tcBorders>
            <w:shd w:val="clear" w:color="auto" w:fill="D9D9D9"/>
          </w:tcPr>
          <w:p>
            <w:pPr>
              <w:spacing w:after="0"/>
              <w:rPr>
                <w:sz w:val="11"/>
                <w:szCs w:val="11"/>
                <w:color w:val="auto"/>
              </w:rPr>
            </w:pPr>
          </w:p>
        </w:tc>
        <w:tc>
          <w:tcPr>
            <w:tcW w:w="1440" w:type="dxa"/>
            <w:vAlign w:val="bottom"/>
            <w:tcBorders>
              <w:bottom w:val="single" w:sz="8" w:color="00000A"/>
            </w:tcBorders>
            <w:shd w:val="clear" w:color="auto" w:fill="D9D9D9"/>
          </w:tcPr>
          <w:p>
            <w:pPr>
              <w:spacing w:after="0"/>
              <w:rPr>
                <w:sz w:val="11"/>
                <w:szCs w:val="11"/>
                <w:color w:val="auto"/>
              </w:rPr>
            </w:pPr>
          </w:p>
        </w:tc>
        <w:tc>
          <w:tcPr>
            <w:tcW w:w="560" w:type="dxa"/>
            <w:vAlign w:val="bottom"/>
            <w:tcBorders>
              <w:bottom w:val="single" w:sz="8" w:color="00000A"/>
              <w:right w:val="single" w:sz="8" w:color="00000A"/>
            </w:tcBorders>
            <w:shd w:val="clear" w:color="auto" w:fill="D9D9D9"/>
          </w:tcPr>
          <w:p>
            <w:pPr>
              <w:spacing w:after="0"/>
              <w:rPr>
                <w:sz w:val="11"/>
                <w:szCs w:val="11"/>
                <w:color w:val="auto"/>
              </w:rPr>
            </w:pPr>
          </w:p>
        </w:tc>
        <w:tc>
          <w:tcPr>
            <w:tcW w:w="760" w:type="dxa"/>
            <w:vAlign w:val="bottom"/>
            <w:tcBorders>
              <w:bottom w:val="single" w:sz="8" w:color="00000A"/>
            </w:tcBorders>
            <w:shd w:val="clear" w:color="auto" w:fill="D9D9D9"/>
          </w:tcPr>
          <w:p>
            <w:pPr>
              <w:spacing w:after="0"/>
              <w:rPr>
                <w:sz w:val="11"/>
                <w:szCs w:val="11"/>
                <w:color w:val="auto"/>
              </w:rPr>
            </w:pPr>
          </w:p>
        </w:tc>
        <w:tc>
          <w:tcPr>
            <w:tcW w:w="940" w:type="dxa"/>
            <w:vAlign w:val="bottom"/>
            <w:tcBorders>
              <w:bottom w:val="single" w:sz="8" w:color="00000A"/>
            </w:tcBorders>
            <w:shd w:val="clear" w:color="auto" w:fill="D9D9D9"/>
          </w:tcPr>
          <w:p>
            <w:pPr>
              <w:spacing w:after="0"/>
              <w:rPr>
                <w:sz w:val="11"/>
                <w:szCs w:val="11"/>
                <w:color w:val="auto"/>
              </w:rPr>
            </w:pPr>
          </w:p>
        </w:tc>
        <w:tc>
          <w:tcPr>
            <w:tcW w:w="800" w:type="dxa"/>
            <w:vAlign w:val="bottom"/>
            <w:tcBorders>
              <w:bottom w:val="single" w:sz="8" w:color="00000A"/>
              <w:right w:val="single" w:sz="8" w:color="00000A"/>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Borders>
              <w:left w:val="single" w:sz="8" w:color="00000A"/>
            </w:tcBorders>
          </w:tcPr>
          <w:p>
            <w:pPr>
              <w:spacing w:after="0"/>
              <w:rPr>
                <w:sz w:val="22"/>
                <w:szCs w:val="22"/>
                <w:color w:val="auto"/>
              </w:rPr>
            </w:pPr>
          </w:p>
        </w:tc>
        <w:tc>
          <w:tcPr>
            <w:tcW w:w="1060" w:type="dxa"/>
            <w:vAlign w:val="bottom"/>
            <w:tcBorders>
              <w:right w:val="single" w:sz="8" w:color="00000A"/>
            </w:tcBorders>
            <w:gridSpan w:val="2"/>
          </w:tcPr>
          <w:p>
            <w:pPr>
              <w:jc w:val="center"/>
              <w:ind w:right="360"/>
              <w:spacing w:after="0"/>
              <w:rPr>
                <w:sz w:val="20"/>
                <w:szCs w:val="20"/>
                <w:color w:val="auto"/>
              </w:rPr>
            </w:pPr>
            <w:r>
              <w:rPr>
                <w:rFonts w:ascii="Arial" w:cs="Arial" w:eastAsia="Arial" w:hAnsi="Arial"/>
                <w:sz w:val="20"/>
                <w:szCs w:val="20"/>
                <w:color w:val="auto"/>
              </w:rPr>
              <w:t>I</w:t>
            </w:r>
          </w:p>
        </w:tc>
        <w:tc>
          <w:tcPr>
            <w:tcW w:w="220" w:type="dxa"/>
            <w:vAlign w:val="bottom"/>
          </w:tcPr>
          <w:p>
            <w:pPr>
              <w:spacing w:after="0"/>
              <w:rPr>
                <w:sz w:val="22"/>
                <w:szCs w:val="22"/>
                <w:color w:val="auto"/>
              </w:rPr>
            </w:pPr>
          </w:p>
        </w:tc>
        <w:tc>
          <w:tcPr>
            <w:tcW w:w="2280" w:type="dxa"/>
            <w:vAlign w:val="bottom"/>
            <w:tcBorders>
              <w:right w:val="single" w:sz="8" w:color="00000A"/>
            </w:tcBorders>
            <w:gridSpan w:val="2"/>
          </w:tcPr>
          <w:p>
            <w:pPr>
              <w:jc w:val="center"/>
              <w:ind w:right="280"/>
              <w:spacing w:after="0"/>
              <w:rPr>
                <w:sz w:val="20"/>
                <w:szCs w:val="20"/>
                <w:color w:val="auto"/>
              </w:rPr>
            </w:pPr>
            <w:r>
              <w:rPr>
                <w:rFonts w:ascii="Arial" w:cs="Arial" w:eastAsia="Arial" w:hAnsi="Arial"/>
                <w:sz w:val="20"/>
                <w:szCs w:val="20"/>
                <w:color w:val="auto"/>
                <w:w w:val="91"/>
              </w:rPr>
              <w:t>≤ 1.00x</w:t>
            </w:r>
          </w:p>
        </w:tc>
        <w:tc>
          <w:tcPr>
            <w:tcW w:w="70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0"/>
                <w:szCs w:val="20"/>
                <w:color w:val="auto"/>
                <w:w w:val="88"/>
              </w:rPr>
              <w:t>0.0 bps</w:t>
            </w:r>
          </w:p>
        </w:tc>
        <w:tc>
          <w:tcPr>
            <w:tcW w:w="500" w:type="dxa"/>
            <w:vAlign w:val="bottom"/>
          </w:tcPr>
          <w:p>
            <w:pPr>
              <w:spacing w:after="0"/>
              <w:rPr>
                <w:sz w:val="22"/>
                <w:szCs w:val="22"/>
                <w:color w:val="auto"/>
              </w:rPr>
            </w:pPr>
          </w:p>
        </w:tc>
        <w:tc>
          <w:tcPr>
            <w:tcW w:w="20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20"/>
                <w:szCs w:val="20"/>
                <w:color w:val="auto"/>
                <w:w w:val="86"/>
              </w:rPr>
              <w:t>100.0 bps</w:t>
            </w:r>
          </w:p>
        </w:tc>
        <w:tc>
          <w:tcPr>
            <w:tcW w:w="760" w:type="dxa"/>
            <w:vAlign w:val="bottom"/>
          </w:tcPr>
          <w:p>
            <w:pPr>
              <w:spacing w:after="0"/>
              <w:rPr>
                <w:sz w:val="22"/>
                <w:szCs w:val="22"/>
                <w:color w:val="auto"/>
              </w:rPr>
            </w:pPr>
          </w:p>
        </w:tc>
        <w:tc>
          <w:tcPr>
            <w:tcW w:w="1740" w:type="dxa"/>
            <w:vAlign w:val="bottom"/>
            <w:tcBorders>
              <w:right w:val="single" w:sz="8" w:color="00000A"/>
            </w:tcBorders>
            <w:gridSpan w:val="2"/>
          </w:tcPr>
          <w:p>
            <w:pPr>
              <w:jc w:val="center"/>
              <w:ind w:right="780"/>
              <w:spacing w:after="0"/>
              <w:rPr>
                <w:sz w:val="20"/>
                <w:szCs w:val="20"/>
                <w:color w:val="auto"/>
              </w:rPr>
            </w:pPr>
            <w:r>
              <w:rPr>
                <w:rFonts w:ascii="Arial" w:cs="Arial" w:eastAsia="Arial" w:hAnsi="Arial"/>
                <w:sz w:val="20"/>
                <w:szCs w:val="20"/>
                <w:color w:val="auto"/>
                <w:w w:val="88"/>
              </w:rPr>
              <w:t>15.0 bps</w:t>
            </w: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tcPr>
          <w:p>
            <w:pPr>
              <w:spacing w:after="0"/>
              <w:rPr>
                <w:sz w:val="11"/>
                <w:szCs w:val="11"/>
                <w:color w:val="auto"/>
              </w:rPr>
            </w:pPr>
          </w:p>
        </w:tc>
        <w:tc>
          <w:tcPr>
            <w:tcW w:w="72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right w:val="single" w:sz="8" w:color="00000A"/>
            </w:tcBorders>
          </w:tcPr>
          <w:p>
            <w:pPr>
              <w:spacing w:after="0"/>
              <w:rPr>
                <w:sz w:val="11"/>
                <w:szCs w:val="11"/>
                <w:color w:val="auto"/>
              </w:rPr>
            </w:pPr>
          </w:p>
        </w:tc>
        <w:tc>
          <w:tcPr>
            <w:tcW w:w="220" w:type="dxa"/>
            <w:vAlign w:val="bottom"/>
            <w:tcBorders>
              <w:bottom w:val="single" w:sz="8" w:color="00000A"/>
            </w:tcBorders>
          </w:tcPr>
          <w:p>
            <w:pPr>
              <w:spacing w:after="0"/>
              <w:rPr>
                <w:sz w:val="11"/>
                <w:szCs w:val="11"/>
                <w:color w:val="auto"/>
              </w:rPr>
            </w:pPr>
          </w:p>
        </w:tc>
        <w:tc>
          <w:tcPr>
            <w:tcW w:w="200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right w:val="single" w:sz="8" w:color="00000A"/>
            </w:tcBorders>
          </w:tcPr>
          <w:p>
            <w:pPr>
              <w:spacing w:after="0"/>
              <w:rPr>
                <w:sz w:val="11"/>
                <w:szCs w:val="11"/>
                <w:color w:val="auto"/>
              </w:rPr>
            </w:pPr>
          </w:p>
        </w:tc>
        <w:tc>
          <w:tcPr>
            <w:tcW w:w="700" w:type="dxa"/>
            <w:vAlign w:val="bottom"/>
            <w:tcBorders>
              <w:bottom w:val="single" w:sz="8" w:color="00000A"/>
            </w:tcBorders>
          </w:tcPr>
          <w:p>
            <w:pPr>
              <w:spacing w:after="0"/>
              <w:rPr>
                <w:sz w:val="11"/>
                <w:szCs w:val="11"/>
                <w:color w:val="auto"/>
              </w:rPr>
            </w:pPr>
          </w:p>
        </w:tc>
        <w:tc>
          <w:tcPr>
            <w:tcW w:w="1000" w:type="dxa"/>
            <w:vAlign w:val="bottom"/>
            <w:tcBorders>
              <w:bottom w:val="single" w:sz="8" w:color="00000A"/>
            </w:tcBorders>
          </w:tcPr>
          <w:p>
            <w:pPr>
              <w:spacing w:after="0"/>
              <w:rPr>
                <w:sz w:val="11"/>
                <w:szCs w:val="11"/>
                <w:color w:val="auto"/>
              </w:rPr>
            </w:pPr>
          </w:p>
        </w:tc>
        <w:tc>
          <w:tcPr>
            <w:tcW w:w="780" w:type="dxa"/>
            <w:vAlign w:val="bottom"/>
            <w:tcBorders>
              <w:bottom w:val="single" w:sz="8" w:color="00000A"/>
              <w:right w:val="single" w:sz="8" w:color="00000A"/>
            </w:tcBorders>
          </w:tcPr>
          <w:p>
            <w:pPr>
              <w:spacing w:after="0"/>
              <w:rPr>
                <w:sz w:val="11"/>
                <w:szCs w:val="11"/>
                <w:color w:val="auto"/>
              </w:rPr>
            </w:pPr>
          </w:p>
        </w:tc>
        <w:tc>
          <w:tcPr>
            <w:tcW w:w="500" w:type="dxa"/>
            <w:vAlign w:val="bottom"/>
            <w:tcBorders>
              <w:bottom w:val="single" w:sz="8" w:color="00000A"/>
            </w:tcBorders>
          </w:tcPr>
          <w:p>
            <w:pPr>
              <w:spacing w:after="0"/>
              <w:rPr>
                <w:sz w:val="11"/>
                <w:szCs w:val="11"/>
                <w:color w:val="auto"/>
              </w:rPr>
            </w:pPr>
          </w:p>
        </w:tc>
        <w:tc>
          <w:tcPr>
            <w:tcW w:w="1440" w:type="dxa"/>
            <w:vAlign w:val="bottom"/>
            <w:tcBorders>
              <w:bottom w:val="single" w:sz="8" w:color="00000A"/>
            </w:tcBorders>
          </w:tcPr>
          <w:p>
            <w:pPr>
              <w:spacing w:after="0"/>
              <w:rPr>
                <w:sz w:val="11"/>
                <w:szCs w:val="11"/>
                <w:color w:val="auto"/>
              </w:rPr>
            </w:pPr>
          </w:p>
        </w:tc>
        <w:tc>
          <w:tcPr>
            <w:tcW w:w="560" w:type="dxa"/>
            <w:vAlign w:val="bottom"/>
            <w:tcBorders>
              <w:bottom w:val="single" w:sz="8" w:color="00000A"/>
              <w:right w:val="single" w:sz="8" w:color="00000A"/>
            </w:tcBorders>
          </w:tcPr>
          <w:p>
            <w:pPr>
              <w:spacing w:after="0"/>
              <w:rPr>
                <w:sz w:val="11"/>
                <w:szCs w:val="11"/>
                <w:color w:val="auto"/>
              </w:rPr>
            </w:pPr>
          </w:p>
        </w:tc>
        <w:tc>
          <w:tcPr>
            <w:tcW w:w="760" w:type="dxa"/>
            <w:vAlign w:val="bottom"/>
            <w:tcBorders>
              <w:bottom w:val="single" w:sz="8" w:color="00000A"/>
            </w:tcBorders>
          </w:tcPr>
          <w:p>
            <w:pPr>
              <w:spacing w:after="0"/>
              <w:rPr>
                <w:sz w:val="11"/>
                <w:szCs w:val="11"/>
                <w:color w:val="auto"/>
              </w:rPr>
            </w:pPr>
          </w:p>
        </w:tc>
        <w:tc>
          <w:tcPr>
            <w:tcW w:w="940" w:type="dxa"/>
            <w:vAlign w:val="bottom"/>
            <w:tcBorders>
              <w:bottom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Borders>
              <w:left w:val="single" w:sz="8" w:color="00000A"/>
            </w:tcBorders>
          </w:tcPr>
          <w:p>
            <w:pPr>
              <w:spacing w:after="0"/>
              <w:rPr>
                <w:sz w:val="22"/>
                <w:szCs w:val="22"/>
                <w:color w:val="auto"/>
              </w:rPr>
            </w:pPr>
          </w:p>
        </w:tc>
        <w:tc>
          <w:tcPr>
            <w:tcW w:w="1060" w:type="dxa"/>
            <w:vAlign w:val="bottom"/>
            <w:tcBorders>
              <w:right w:val="single" w:sz="8" w:color="00000A"/>
            </w:tcBorders>
            <w:gridSpan w:val="2"/>
          </w:tcPr>
          <w:p>
            <w:pPr>
              <w:jc w:val="center"/>
              <w:ind w:right="340"/>
              <w:spacing w:after="0"/>
              <w:rPr>
                <w:sz w:val="20"/>
                <w:szCs w:val="20"/>
                <w:color w:val="auto"/>
              </w:rPr>
            </w:pPr>
            <w:r>
              <w:rPr>
                <w:rFonts w:ascii="Arial" w:cs="Arial" w:eastAsia="Arial" w:hAnsi="Arial"/>
                <w:sz w:val="20"/>
                <w:szCs w:val="20"/>
                <w:color w:val="auto"/>
              </w:rPr>
              <w:t>II</w:t>
            </w:r>
          </w:p>
        </w:tc>
        <w:tc>
          <w:tcPr>
            <w:tcW w:w="220" w:type="dxa"/>
            <w:vAlign w:val="bottom"/>
          </w:tcPr>
          <w:p>
            <w:pPr>
              <w:spacing w:after="0"/>
              <w:rPr>
                <w:sz w:val="22"/>
                <w:szCs w:val="22"/>
                <w:color w:val="auto"/>
              </w:rPr>
            </w:pPr>
          </w:p>
        </w:tc>
        <w:tc>
          <w:tcPr>
            <w:tcW w:w="2280" w:type="dxa"/>
            <w:vAlign w:val="bottom"/>
            <w:tcBorders>
              <w:right w:val="single" w:sz="8" w:color="00000A"/>
            </w:tcBorders>
            <w:gridSpan w:val="2"/>
          </w:tcPr>
          <w:p>
            <w:pPr>
              <w:jc w:val="center"/>
              <w:ind w:right="280"/>
              <w:spacing w:after="0"/>
              <w:rPr>
                <w:sz w:val="20"/>
                <w:szCs w:val="20"/>
                <w:color w:val="auto"/>
              </w:rPr>
            </w:pPr>
            <w:r>
              <w:rPr>
                <w:rFonts w:ascii="Arial" w:cs="Arial" w:eastAsia="Arial" w:hAnsi="Arial"/>
                <w:sz w:val="20"/>
                <w:szCs w:val="20"/>
                <w:color w:val="auto"/>
                <w:w w:val="91"/>
              </w:rPr>
              <w:t>&gt; 1.00x but ≤ 1.50x</w:t>
            </w:r>
          </w:p>
        </w:tc>
        <w:tc>
          <w:tcPr>
            <w:tcW w:w="70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0"/>
                <w:szCs w:val="20"/>
                <w:color w:val="auto"/>
                <w:w w:val="85"/>
              </w:rPr>
              <w:t>12.5 bps</w:t>
            </w:r>
          </w:p>
        </w:tc>
        <w:tc>
          <w:tcPr>
            <w:tcW w:w="500" w:type="dxa"/>
            <w:vAlign w:val="bottom"/>
          </w:tcPr>
          <w:p>
            <w:pPr>
              <w:spacing w:after="0"/>
              <w:rPr>
                <w:sz w:val="22"/>
                <w:szCs w:val="22"/>
                <w:color w:val="auto"/>
              </w:rPr>
            </w:pPr>
          </w:p>
        </w:tc>
        <w:tc>
          <w:tcPr>
            <w:tcW w:w="20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20"/>
                <w:szCs w:val="20"/>
                <w:color w:val="auto"/>
                <w:w w:val="86"/>
              </w:rPr>
              <w:t>112.5 bps</w:t>
            </w:r>
          </w:p>
        </w:tc>
        <w:tc>
          <w:tcPr>
            <w:tcW w:w="760" w:type="dxa"/>
            <w:vAlign w:val="bottom"/>
          </w:tcPr>
          <w:p>
            <w:pPr>
              <w:spacing w:after="0"/>
              <w:rPr>
                <w:sz w:val="22"/>
                <w:szCs w:val="22"/>
                <w:color w:val="auto"/>
              </w:rPr>
            </w:pPr>
          </w:p>
        </w:tc>
        <w:tc>
          <w:tcPr>
            <w:tcW w:w="1740" w:type="dxa"/>
            <w:vAlign w:val="bottom"/>
            <w:tcBorders>
              <w:right w:val="single" w:sz="8" w:color="00000A"/>
            </w:tcBorders>
            <w:gridSpan w:val="2"/>
          </w:tcPr>
          <w:p>
            <w:pPr>
              <w:jc w:val="center"/>
              <w:ind w:right="780"/>
              <w:spacing w:after="0"/>
              <w:rPr>
                <w:sz w:val="20"/>
                <w:szCs w:val="20"/>
                <w:color w:val="auto"/>
              </w:rPr>
            </w:pPr>
            <w:r>
              <w:rPr>
                <w:rFonts w:ascii="Arial" w:cs="Arial" w:eastAsia="Arial" w:hAnsi="Arial"/>
                <w:sz w:val="20"/>
                <w:szCs w:val="20"/>
                <w:color w:val="auto"/>
                <w:w w:val="88"/>
              </w:rPr>
              <w:t>17.5 bps</w:t>
            </w: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tcPr>
          <w:p>
            <w:pPr>
              <w:spacing w:after="0"/>
              <w:rPr>
                <w:sz w:val="11"/>
                <w:szCs w:val="11"/>
                <w:color w:val="auto"/>
              </w:rPr>
            </w:pPr>
          </w:p>
        </w:tc>
        <w:tc>
          <w:tcPr>
            <w:tcW w:w="72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right w:val="single" w:sz="8" w:color="00000A"/>
            </w:tcBorders>
          </w:tcPr>
          <w:p>
            <w:pPr>
              <w:spacing w:after="0"/>
              <w:rPr>
                <w:sz w:val="11"/>
                <w:szCs w:val="11"/>
                <w:color w:val="auto"/>
              </w:rPr>
            </w:pPr>
          </w:p>
        </w:tc>
        <w:tc>
          <w:tcPr>
            <w:tcW w:w="220" w:type="dxa"/>
            <w:vAlign w:val="bottom"/>
            <w:tcBorders>
              <w:bottom w:val="single" w:sz="8" w:color="00000A"/>
            </w:tcBorders>
          </w:tcPr>
          <w:p>
            <w:pPr>
              <w:spacing w:after="0"/>
              <w:rPr>
                <w:sz w:val="11"/>
                <w:szCs w:val="11"/>
                <w:color w:val="auto"/>
              </w:rPr>
            </w:pPr>
          </w:p>
        </w:tc>
        <w:tc>
          <w:tcPr>
            <w:tcW w:w="200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right w:val="single" w:sz="8" w:color="00000A"/>
            </w:tcBorders>
          </w:tcPr>
          <w:p>
            <w:pPr>
              <w:spacing w:after="0"/>
              <w:rPr>
                <w:sz w:val="11"/>
                <w:szCs w:val="11"/>
                <w:color w:val="auto"/>
              </w:rPr>
            </w:pPr>
          </w:p>
        </w:tc>
        <w:tc>
          <w:tcPr>
            <w:tcW w:w="700" w:type="dxa"/>
            <w:vAlign w:val="bottom"/>
            <w:tcBorders>
              <w:bottom w:val="single" w:sz="8" w:color="00000A"/>
            </w:tcBorders>
          </w:tcPr>
          <w:p>
            <w:pPr>
              <w:spacing w:after="0"/>
              <w:rPr>
                <w:sz w:val="11"/>
                <w:szCs w:val="11"/>
                <w:color w:val="auto"/>
              </w:rPr>
            </w:pPr>
          </w:p>
        </w:tc>
        <w:tc>
          <w:tcPr>
            <w:tcW w:w="1000" w:type="dxa"/>
            <w:vAlign w:val="bottom"/>
            <w:tcBorders>
              <w:bottom w:val="single" w:sz="8" w:color="00000A"/>
            </w:tcBorders>
          </w:tcPr>
          <w:p>
            <w:pPr>
              <w:spacing w:after="0"/>
              <w:rPr>
                <w:sz w:val="11"/>
                <w:szCs w:val="11"/>
                <w:color w:val="auto"/>
              </w:rPr>
            </w:pPr>
          </w:p>
        </w:tc>
        <w:tc>
          <w:tcPr>
            <w:tcW w:w="780" w:type="dxa"/>
            <w:vAlign w:val="bottom"/>
            <w:tcBorders>
              <w:bottom w:val="single" w:sz="8" w:color="00000A"/>
              <w:right w:val="single" w:sz="8" w:color="00000A"/>
            </w:tcBorders>
          </w:tcPr>
          <w:p>
            <w:pPr>
              <w:spacing w:after="0"/>
              <w:rPr>
                <w:sz w:val="11"/>
                <w:szCs w:val="11"/>
                <w:color w:val="auto"/>
              </w:rPr>
            </w:pPr>
          </w:p>
        </w:tc>
        <w:tc>
          <w:tcPr>
            <w:tcW w:w="500" w:type="dxa"/>
            <w:vAlign w:val="bottom"/>
            <w:tcBorders>
              <w:bottom w:val="single" w:sz="8" w:color="00000A"/>
            </w:tcBorders>
          </w:tcPr>
          <w:p>
            <w:pPr>
              <w:spacing w:after="0"/>
              <w:rPr>
                <w:sz w:val="11"/>
                <w:szCs w:val="11"/>
                <w:color w:val="auto"/>
              </w:rPr>
            </w:pPr>
          </w:p>
        </w:tc>
        <w:tc>
          <w:tcPr>
            <w:tcW w:w="1440" w:type="dxa"/>
            <w:vAlign w:val="bottom"/>
            <w:tcBorders>
              <w:bottom w:val="single" w:sz="8" w:color="00000A"/>
            </w:tcBorders>
          </w:tcPr>
          <w:p>
            <w:pPr>
              <w:spacing w:after="0"/>
              <w:rPr>
                <w:sz w:val="11"/>
                <w:szCs w:val="11"/>
                <w:color w:val="auto"/>
              </w:rPr>
            </w:pPr>
          </w:p>
        </w:tc>
        <w:tc>
          <w:tcPr>
            <w:tcW w:w="560" w:type="dxa"/>
            <w:vAlign w:val="bottom"/>
            <w:tcBorders>
              <w:bottom w:val="single" w:sz="8" w:color="00000A"/>
              <w:right w:val="single" w:sz="8" w:color="00000A"/>
            </w:tcBorders>
          </w:tcPr>
          <w:p>
            <w:pPr>
              <w:spacing w:after="0"/>
              <w:rPr>
                <w:sz w:val="11"/>
                <w:szCs w:val="11"/>
                <w:color w:val="auto"/>
              </w:rPr>
            </w:pPr>
          </w:p>
        </w:tc>
        <w:tc>
          <w:tcPr>
            <w:tcW w:w="760" w:type="dxa"/>
            <w:vAlign w:val="bottom"/>
            <w:tcBorders>
              <w:bottom w:val="single" w:sz="8" w:color="00000A"/>
            </w:tcBorders>
          </w:tcPr>
          <w:p>
            <w:pPr>
              <w:spacing w:after="0"/>
              <w:rPr>
                <w:sz w:val="11"/>
                <w:szCs w:val="11"/>
                <w:color w:val="auto"/>
              </w:rPr>
            </w:pPr>
          </w:p>
        </w:tc>
        <w:tc>
          <w:tcPr>
            <w:tcW w:w="940" w:type="dxa"/>
            <w:vAlign w:val="bottom"/>
            <w:tcBorders>
              <w:bottom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Borders>
              <w:left w:val="single" w:sz="8" w:color="00000A"/>
            </w:tcBorders>
          </w:tcPr>
          <w:p>
            <w:pPr>
              <w:spacing w:after="0"/>
              <w:rPr>
                <w:sz w:val="22"/>
                <w:szCs w:val="22"/>
                <w:color w:val="auto"/>
              </w:rPr>
            </w:pPr>
          </w:p>
        </w:tc>
        <w:tc>
          <w:tcPr>
            <w:tcW w:w="1060" w:type="dxa"/>
            <w:vAlign w:val="bottom"/>
            <w:tcBorders>
              <w:right w:val="single" w:sz="8" w:color="00000A"/>
            </w:tcBorders>
            <w:gridSpan w:val="2"/>
          </w:tcPr>
          <w:p>
            <w:pPr>
              <w:jc w:val="center"/>
              <w:ind w:right="340"/>
              <w:spacing w:after="0"/>
              <w:rPr>
                <w:sz w:val="20"/>
                <w:szCs w:val="20"/>
                <w:color w:val="auto"/>
              </w:rPr>
            </w:pPr>
            <w:r>
              <w:rPr>
                <w:rFonts w:ascii="Arial" w:cs="Arial" w:eastAsia="Arial" w:hAnsi="Arial"/>
                <w:sz w:val="20"/>
                <w:szCs w:val="20"/>
                <w:color w:val="auto"/>
              </w:rPr>
              <w:t>III</w:t>
            </w:r>
          </w:p>
        </w:tc>
        <w:tc>
          <w:tcPr>
            <w:tcW w:w="220" w:type="dxa"/>
            <w:vAlign w:val="bottom"/>
          </w:tcPr>
          <w:p>
            <w:pPr>
              <w:spacing w:after="0"/>
              <w:rPr>
                <w:sz w:val="22"/>
                <w:szCs w:val="22"/>
                <w:color w:val="auto"/>
              </w:rPr>
            </w:pPr>
          </w:p>
        </w:tc>
        <w:tc>
          <w:tcPr>
            <w:tcW w:w="2280" w:type="dxa"/>
            <w:vAlign w:val="bottom"/>
            <w:tcBorders>
              <w:right w:val="single" w:sz="8" w:color="00000A"/>
            </w:tcBorders>
            <w:gridSpan w:val="2"/>
          </w:tcPr>
          <w:p>
            <w:pPr>
              <w:jc w:val="center"/>
              <w:ind w:right="280"/>
              <w:spacing w:after="0"/>
              <w:rPr>
                <w:sz w:val="20"/>
                <w:szCs w:val="20"/>
                <w:color w:val="auto"/>
              </w:rPr>
            </w:pPr>
            <w:r>
              <w:rPr>
                <w:rFonts w:ascii="Arial" w:cs="Arial" w:eastAsia="Arial" w:hAnsi="Arial"/>
                <w:sz w:val="20"/>
                <w:szCs w:val="20"/>
                <w:color w:val="auto"/>
                <w:w w:val="91"/>
              </w:rPr>
              <w:t>&gt; 1.50x but ≤ 2.00x</w:t>
            </w:r>
          </w:p>
        </w:tc>
        <w:tc>
          <w:tcPr>
            <w:tcW w:w="70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0"/>
                <w:szCs w:val="20"/>
                <w:color w:val="auto"/>
                <w:w w:val="85"/>
              </w:rPr>
              <w:t>50.0 bps</w:t>
            </w:r>
          </w:p>
        </w:tc>
        <w:tc>
          <w:tcPr>
            <w:tcW w:w="500" w:type="dxa"/>
            <w:vAlign w:val="bottom"/>
          </w:tcPr>
          <w:p>
            <w:pPr>
              <w:spacing w:after="0"/>
              <w:rPr>
                <w:sz w:val="22"/>
                <w:szCs w:val="22"/>
                <w:color w:val="auto"/>
              </w:rPr>
            </w:pPr>
          </w:p>
        </w:tc>
        <w:tc>
          <w:tcPr>
            <w:tcW w:w="20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20"/>
                <w:szCs w:val="20"/>
                <w:color w:val="auto"/>
                <w:w w:val="86"/>
              </w:rPr>
              <w:t>150.0 bps</w:t>
            </w:r>
          </w:p>
        </w:tc>
        <w:tc>
          <w:tcPr>
            <w:tcW w:w="760" w:type="dxa"/>
            <w:vAlign w:val="bottom"/>
          </w:tcPr>
          <w:p>
            <w:pPr>
              <w:spacing w:after="0"/>
              <w:rPr>
                <w:sz w:val="22"/>
                <w:szCs w:val="22"/>
                <w:color w:val="auto"/>
              </w:rPr>
            </w:pPr>
          </w:p>
        </w:tc>
        <w:tc>
          <w:tcPr>
            <w:tcW w:w="1740" w:type="dxa"/>
            <w:vAlign w:val="bottom"/>
            <w:tcBorders>
              <w:right w:val="single" w:sz="8" w:color="00000A"/>
            </w:tcBorders>
            <w:gridSpan w:val="2"/>
          </w:tcPr>
          <w:p>
            <w:pPr>
              <w:jc w:val="center"/>
              <w:ind w:right="780"/>
              <w:spacing w:after="0"/>
              <w:rPr>
                <w:sz w:val="20"/>
                <w:szCs w:val="20"/>
                <w:color w:val="auto"/>
              </w:rPr>
            </w:pPr>
            <w:r>
              <w:rPr>
                <w:rFonts w:ascii="Arial" w:cs="Arial" w:eastAsia="Arial" w:hAnsi="Arial"/>
                <w:sz w:val="20"/>
                <w:szCs w:val="20"/>
                <w:color w:val="auto"/>
                <w:w w:val="88"/>
              </w:rPr>
              <w:t>20.0 bps</w:t>
            </w: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tcPr>
          <w:p>
            <w:pPr>
              <w:spacing w:after="0"/>
              <w:rPr>
                <w:sz w:val="11"/>
                <w:szCs w:val="11"/>
                <w:color w:val="auto"/>
              </w:rPr>
            </w:pPr>
          </w:p>
        </w:tc>
        <w:tc>
          <w:tcPr>
            <w:tcW w:w="72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right w:val="single" w:sz="8" w:color="00000A"/>
            </w:tcBorders>
          </w:tcPr>
          <w:p>
            <w:pPr>
              <w:spacing w:after="0"/>
              <w:rPr>
                <w:sz w:val="11"/>
                <w:szCs w:val="11"/>
                <w:color w:val="auto"/>
              </w:rPr>
            </w:pPr>
          </w:p>
        </w:tc>
        <w:tc>
          <w:tcPr>
            <w:tcW w:w="220" w:type="dxa"/>
            <w:vAlign w:val="bottom"/>
            <w:tcBorders>
              <w:bottom w:val="single" w:sz="8" w:color="00000A"/>
            </w:tcBorders>
          </w:tcPr>
          <w:p>
            <w:pPr>
              <w:spacing w:after="0"/>
              <w:rPr>
                <w:sz w:val="11"/>
                <w:szCs w:val="11"/>
                <w:color w:val="auto"/>
              </w:rPr>
            </w:pPr>
          </w:p>
        </w:tc>
        <w:tc>
          <w:tcPr>
            <w:tcW w:w="200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right w:val="single" w:sz="8" w:color="00000A"/>
            </w:tcBorders>
          </w:tcPr>
          <w:p>
            <w:pPr>
              <w:spacing w:after="0"/>
              <w:rPr>
                <w:sz w:val="11"/>
                <w:szCs w:val="11"/>
                <w:color w:val="auto"/>
              </w:rPr>
            </w:pPr>
          </w:p>
        </w:tc>
        <w:tc>
          <w:tcPr>
            <w:tcW w:w="700" w:type="dxa"/>
            <w:vAlign w:val="bottom"/>
            <w:tcBorders>
              <w:bottom w:val="single" w:sz="8" w:color="00000A"/>
            </w:tcBorders>
          </w:tcPr>
          <w:p>
            <w:pPr>
              <w:spacing w:after="0"/>
              <w:rPr>
                <w:sz w:val="11"/>
                <w:szCs w:val="11"/>
                <w:color w:val="auto"/>
              </w:rPr>
            </w:pPr>
          </w:p>
        </w:tc>
        <w:tc>
          <w:tcPr>
            <w:tcW w:w="1000" w:type="dxa"/>
            <w:vAlign w:val="bottom"/>
            <w:tcBorders>
              <w:bottom w:val="single" w:sz="8" w:color="00000A"/>
            </w:tcBorders>
          </w:tcPr>
          <w:p>
            <w:pPr>
              <w:spacing w:after="0"/>
              <w:rPr>
                <w:sz w:val="11"/>
                <w:szCs w:val="11"/>
                <w:color w:val="auto"/>
              </w:rPr>
            </w:pPr>
          </w:p>
        </w:tc>
        <w:tc>
          <w:tcPr>
            <w:tcW w:w="780" w:type="dxa"/>
            <w:vAlign w:val="bottom"/>
            <w:tcBorders>
              <w:bottom w:val="single" w:sz="8" w:color="00000A"/>
              <w:right w:val="single" w:sz="8" w:color="00000A"/>
            </w:tcBorders>
          </w:tcPr>
          <w:p>
            <w:pPr>
              <w:spacing w:after="0"/>
              <w:rPr>
                <w:sz w:val="11"/>
                <w:szCs w:val="11"/>
                <w:color w:val="auto"/>
              </w:rPr>
            </w:pPr>
          </w:p>
        </w:tc>
        <w:tc>
          <w:tcPr>
            <w:tcW w:w="500" w:type="dxa"/>
            <w:vAlign w:val="bottom"/>
            <w:tcBorders>
              <w:bottom w:val="single" w:sz="8" w:color="00000A"/>
            </w:tcBorders>
          </w:tcPr>
          <w:p>
            <w:pPr>
              <w:spacing w:after="0"/>
              <w:rPr>
                <w:sz w:val="11"/>
                <w:szCs w:val="11"/>
                <w:color w:val="auto"/>
              </w:rPr>
            </w:pPr>
          </w:p>
        </w:tc>
        <w:tc>
          <w:tcPr>
            <w:tcW w:w="1440" w:type="dxa"/>
            <w:vAlign w:val="bottom"/>
            <w:tcBorders>
              <w:bottom w:val="single" w:sz="8" w:color="00000A"/>
            </w:tcBorders>
          </w:tcPr>
          <w:p>
            <w:pPr>
              <w:spacing w:after="0"/>
              <w:rPr>
                <w:sz w:val="11"/>
                <w:szCs w:val="11"/>
                <w:color w:val="auto"/>
              </w:rPr>
            </w:pPr>
          </w:p>
        </w:tc>
        <w:tc>
          <w:tcPr>
            <w:tcW w:w="560" w:type="dxa"/>
            <w:vAlign w:val="bottom"/>
            <w:tcBorders>
              <w:bottom w:val="single" w:sz="8" w:color="00000A"/>
              <w:right w:val="single" w:sz="8" w:color="00000A"/>
            </w:tcBorders>
          </w:tcPr>
          <w:p>
            <w:pPr>
              <w:spacing w:after="0"/>
              <w:rPr>
                <w:sz w:val="11"/>
                <w:szCs w:val="11"/>
                <w:color w:val="auto"/>
              </w:rPr>
            </w:pPr>
          </w:p>
        </w:tc>
        <w:tc>
          <w:tcPr>
            <w:tcW w:w="760" w:type="dxa"/>
            <w:vAlign w:val="bottom"/>
            <w:tcBorders>
              <w:bottom w:val="single" w:sz="8" w:color="00000A"/>
            </w:tcBorders>
          </w:tcPr>
          <w:p>
            <w:pPr>
              <w:spacing w:after="0"/>
              <w:rPr>
                <w:sz w:val="11"/>
                <w:szCs w:val="11"/>
                <w:color w:val="auto"/>
              </w:rPr>
            </w:pPr>
          </w:p>
        </w:tc>
        <w:tc>
          <w:tcPr>
            <w:tcW w:w="940" w:type="dxa"/>
            <w:vAlign w:val="bottom"/>
            <w:tcBorders>
              <w:bottom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Borders>
              <w:left w:val="single" w:sz="8" w:color="00000A"/>
            </w:tcBorders>
          </w:tcPr>
          <w:p>
            <w:pPr>
              <w:spacing w:after="0"/>
              <w:rPr>
                <w:sz w:val="22"/>
                <w:szCs w:val="22"/>
                <w:color w:val="auto"/>
              </w:rPr>
            </w:pPr>
          </w:p>
        </w:tc>
        <w:tc>
          <w:tcPr>
            <w:tcW w:w="1060" w:type="dxa"/>
            <w:vAlign w:val="bottom"/>
            <w:tcBorders>
              <w:right w:val="single" w:sz="8" w:color="00000A"/>
            </w:tcBorders>
            <w:gridSpan w:val="2"/>
          </w:tcPr>
          <w:p>
            <w:pPr>
              <w:jc w:val="center"/>
              <w:ind w:right="340"/>
              <w:spacing w:after="0"/>
              <w:rPr>
                <w:sz w:val="20"/>
                <w:szCs w:val="20"/>
                <w:color w:val="auto"/>
              </w:rPr>
            </w:pPr>
            <w:r>
              <w:rPr>
                <w:rFonts w:ascii="Arial" w:cs="Arial" w:eastAsia="Arial" w:hAnsi="Arial"/>
                <w:sz w:val="20"/>
                <w:szCs w:val="20"/>
                <w:color w:val="auto"/>
              </w:rPr>
              <w:t>IV</w:t>
            </w:r>
          </w:p>
        </w:tc>
        <w:tc>
          <w:tcPr>
            <w:tcW w:w="220" w:type="dxa"/>
            <w:vAlign w:val="bottom"/>
          </w:tcPr>
          <w:p>
            <w:pPr>
              <w:spacing w:after="0"/>
              <w:rPr>
                <w:sz w:val="22"/>
                <w:szCs w:val="22"/>
                <w:color w:val="auto"/>
              </w:rPr>
            </w:pPr>
          </w:p>
        </w:tc>
        <w:tc>
          <w:tcPr>
            <w:tcW w:w="2280" w:type="dxa"/>
            <w:vAlign w:val="bottom"/>
            <w:tcBorders>
              <w:right w:val="single" w:sz="8" w:color="00000A"/>
            </w:tcBorders>
            <w:gridSpan w:val="2"/>
          </w:tcPr>
          <w:p>
            <w:pPr>
              <w:jc w:val="center"/>
              <w:ind w:right="280"/>
              <w:spacing w:after="0"/>
              <w:rPr>
                <w:sz w:val="20"/>
                <w:szCs w:val="20"/>
                <w:color w:val="auto"/>
              </w:rPr>
            </w:pPr>
            <w:r>
              <w:rPr>
                <w:rFonts w:ascii="Arial" w:cs="Arial" w:eastAsia="Arial" w:hAnsi="Arial"/>
                <w:sz w:val="20"/>
                <w:szCs w:val="20"/>
                <w:color w:val="auto"/>
                <w:w w:val="91"/>
              </w:rPr>
              <w:t>&gt; 2.00x but ≤ 2.50x</w:t>
            </w:r>
          </w:p>
        </w:tc>
        <w:tc>
          <w:tcPr>
            <w:tcW w:w="70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0"/>
                <w:szCs w:val="20"/>
                <w:color w:val="auto"/>
                <w:w w:val="85"/>
              </w:rPr>
              <w:t>62.5 bps</w:t>
            </w:r>
          </w:p>
        </w:tc>
        <w:tc>
          <w:tcPr>
            <w:tcW w:w="500" w:type="dxa"/>
            <w:vAlign w:val="bottom"/>
          </w:tcPr>
          <w:p>
            <w:pPr>
              <w:spacing w:after="0"/>
              <w:rPr>
                <w:sz w:val="22"/>
                <w:szCs w:val="22"/>
                <w:color w:val="auto"/>
              </w:rPr>
            </w:pPr>
          </w:p>
        </w:tc>
        <w:tc>
          <w:tcPr>
            <w:tcW w:w="20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20"/>
                <w:szCs w:val="20"/>
                <w:color w:val="auto"/>
                <w:w w:val="86"/>
              </w:rPr>
              <w:t>162.5 bps</w:t>
            </w:r>
          </w:p>
        </w:tc>
        <w:tc>
          <w:tcPr>
            <w:tcW w:w="760" w:type="dxa"/>
            <w:vAlign w:val="bottom"/>
          </w:tcPr>
          <w:p>
            <w:pPr>
              <w:spacing w:after="0"/>
              <w:rPr>
                <w:sz w:val="22"/>
                <w:szCs w:val="22"/>
                <w:color w:val="auto"/>
              </w:rPr>
            </w:pPr>
          </w:p>
        </w:tc>
        <w:tc>
          <w:tcPr>
            <w:tcW w:w="1740" w:type="dxa"/>
            <w:vAlign w:val="bottom"/>
            <w:tcBorders>
              <w:right w:val="single" w:sz="8" w:color="00000A"/>
            </w:tcBorders>
            <w:gridSpan w:val="2"/>
          </w:tcPr>
          <w:p>
            <w:pPr>
              <w:jc w:val="center"/>
              <w:ind w:right="780"/>
              <w:spacing w:after="0"/>
              <w:rPr>
                <w:sz w:val="20"/>
                <w:szCs w:val="20"/>
                <w:color w:val="auto"/>
              </w:rPr>
            </w:pPr>
            <w:r>
              <w:rPr>
                <w:rFonts w:ascii="Arial" w:cs="Arial" w:eastAsia="Arial" w:hAnsi="Arial"/>
                <w:sz w:val="20"/>
                <w:szCs w:val="20"/>
                <w:color w:val="auto"/>
                <w:w w:val="88"/>
              </w:rPr>
              <w:t>25.0 bps</w:t>
            </w: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tcPr>
          <w:p>
            <w:pPr>
              <w:spacing w:after="0"/>
              <w:rPr>
                <w:sz w:val="11"/>
                <w:szCs w:val="11"/>
                <w:color w:val="auto"/>
              </w:rPr>
            </w:pPr>
          </w:p>
        </w:tc>
        <w:tc>
          <w:tcPr>
            <w:tcW w:w="72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right w:val="single" w:sz="8" w:color="00000A"/>
            </w:tcBorders>
          </w:tcPr>
          <w:p>
            <w:pPr>
              <w:spacing w:after="0"/>
              <w:rPr>
                <w:sz w:val="11"/>
                <w:szCs w:val="11"/>
                <w:color w:val="auto"/>
              </w:rPr>
            </w:pPr>
          </w:p>
        </w:tc>
        <w:tc>
          <w:tcPr>
            <w:tcW w:w="220" w:type="dxa"/>
            <w:vAlign w:val="bottom"/>
            <w:tcBorders>
              <w:bottom w:val="single" w:sz="8" w:color="00000A"/>
            </w:tcBorders>
          </w:tcPr>
          <w:p>
            <w:pPr>
              <w:spacing w:after="0"/>
              <w:rPr>
                <w:sz w:val="11"/>
                <w:szCs w:val="11"/>
                <w:color w:val="auto"/>
              </w:rPr>
            </w:pPr>
          </w:p>
        </w:tc>
        <w:tc>
          <w:tcPr>
            <w:tcW w:w="200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right w:val="single" w:sz="8" w:color="00000A"/>
            </w:tcBorders>
          </w:tcPr>
          <w:p>
            <w:pPr>
              <w:spacing w:after="0"/>
              <w:rPr>
                <w:sz w:val="11"/>
                <w:szCs w:val="11"/>
                <w:color w:val="auto"/>
              </w:rPr>
            </w:pPr>
          </w:p>
        </w:tc>
        <w:tc>
          <w:tcPr>
            <w:tcW w:w="700" w:type="dxa"/>
            <w:vAlign w:val="bottom"/>
            <w:tcBorders>
              <w:bottom w:val="single" w:sz="8" w:color="00000A"/>
            </w:tcBorders>
          </w:tcPr>
          <w:p>
            <w:pPr>
              <w:spacing w:after="0"/>
              <w:rPr>
                <w:sz w:val="11"/>
                <w:szCs w:val="11"/>
                <w:color w:val="auto"/>
              </w:rPr>
            </w:pPr>
          </w:p>
        </w:tc>
        <w:tc>
          <w:tcPr>
            <w:tcW w:w="1000" w:type="dxa"/>
            <w:vAlign w:val="bottom"/>
            <w:tcBorders>
              <w:bottom w:val="single" w:sz="8" w:color="00000A"/>
            </w:tcBorders>
          </w:tcPr>
          <w:p>
            <w:pPr>
              <w:spacing w:after="0"/>
              <w:rPr>
                <w:sz w:val="11"/>
                <w:szCs w:val="11"/>
                <w:color w:val="auto"/>
              </w:rPr>
            </w:pPr>
          </w:p>
        </w:tc>
        <w:tc>
          <w:tcPr>
            <w:tcW w:w="780" w:type="dxa"/>
            <w:vAlign w:val="bottom"/>
            <w:tcBorders>
              <w:bottom w:val="single" w:sz="8" w:color="00000A"/>
              <w:right w:val="single" w:sz="8" w:color="00000A"/>
            </w:tcBorders>
          </w:tcPr>
          <w:p>
            <w:pPr>
              <w:spacing w:after="0"/>
              <w:rPr>
                <w:sz w:val="11"/>
                <w:szCs w:val="11"/>
                <w:color w:val="auto"/>
              </w:rPr>
            </w:pPr>
          </w:p>
        </w:tc>
        <w:tc>
          <w:tcPr>
            <w:tcW w:w="500" w:type="dxa"/>
            <w:vAlign w:val="bottom"/>
            <w:tcBorders>
              <w:bottom w:val="single" w:sz="8" w:color="00000A"/>
            </w:tcBorders>
          </w:tcPr>
          <w:p>
            <w:pPr>
              <w:spacing w:after="0"/>
              <w:rPr>
                <w:sz w:val="11"/>
                <w:szCs w:val="11"/>
                <w:color w:val="auto"/>
              </w:rPr>
            </w:pPr>
          </w:p>
        </w:tc>
        <w:tc>
          <w:tcPr>
            <w:tcW w:w="1440" w:type="dxa"/>
            <w:vAlign w:val="bottom"/>
            <w:tcBorders>
              <w:bottom w:val="single" w:sz="8" w:color="00000A"/>
            </w:tcBorders>
          </w:tcPr>
          <w:p>
            <w:pPr>
              <w:spacing w:after="0"/>
              <w:rPr>
                <w:sz w:val="11"/>
                <w:szCs w:val="11"/>
                <w:color w:val="auto"/>
              </w:rPr>
            </w:pPr>
          </w:p>
        </w:tc>
        <w:tc>
          <w:tcPr>
            <w:tcW w:w="560" w:type="dxa"/>
            <w:vAlign w:val="bottom"/>
            <w:tcBorders>
              <w:bottom w:val="single" w:sz="8" w:color="00000A"/>
              <w:right w:val="single" w:sz="8" w:color="00000A"/>
            </w:tcBorders>
          </w:tcPr>
          <w:p>
            <w:pPr>
              <w:spacing w:after="0"/>
              <w:rPr>
                <w:sz w:val="11"/>
                <w:szCs w:val="11"/>
                <w:color w:val="auto"/>
              </w:rPr>
            </w:pPr>
          </w:p>
        </w:tc>
        <w:tc>
          <w:tcPr>
            <w:tcW w:w="760" w:type="dxa"/>
            <w:vAlign w:val="bottom"/>
            <w:tcBorders>
              <w:bottom w:val="single" w:sz="8" w:color="00000A"/>
            </w:tcBorders>
          </w:tcPr>
          <w:p>
            <w:pPr>
              <w:spacing w:after="0"/>
              <w:rPr>
                <w:sz w:val="11"/>
                <w:szCs w:val="11"/>
                <w:color w:val="auto"/>
              </w:rPr>
            </w:pPr>
          </w:p>
        </w:tc>
        <w:tc>
          <w:tcPr>
            <w:tcW w:w="940" w:type="dxa"/>
            <w:vAlign w:val="bottom"/>
            <w:tcBorders>
              <w:bottom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Borders>
              <w:left w:val="single" w:sz="8" w:color="00000A"/>
            </w:tcBorders>
          </w:tcPr>
          <w:p>
            <w:pPr>
              <w:spacing w:after="0"/>
              <w:rPr>
                <w:sz w:val="22"/>
                <w:szCs w:val="22"/>
                <w:color w:val="auto"/>
              </w:rPr>
            </w:pPr>
          </w:p>
        </w:tc>
        <w:tc>
          <w:tcPr>
            <w:tcW w:w="1060" w:type="dxa"/>
            <w:vAlign w:val="bottom"/>
            <w:tcBorders>
              <w:right w:val="single" w:sz="8" w:color="00000A"/>
            </w:tcBorders>
            <w:gridSpan w:val="2"/>
          </w:tcPr>
          <w:p>
            <w:pPr>
              <w:jc w:val="center"/>
              <w:ind w:right="360"/>
              <w:spacing w:after="0"/>
              <w:rPr>
                <w:sz w:val="20"/>
                <w:szCs w:val="20"/>
                <w:color w:val="auto"/>
              </w:rPr>
            </w:pPr>
            <w:r>
              <w:rPr>
                <w:rFonts w:ascii="Arial" w:cs="Arial" w:eastAsia="Arial" w:hAnsi="Arial"/>
                <w:sz w:val="20"/>
                <w:szCs w:val="20"/>
                <w:color w:val="auto"/>
              </w:rPr>
              <w:t>V</w:t>
            </w:r>
          </w:p>
        </w:tc>
        <w:tc>
          <w:tcPr>
            <w:tcW w:w="220" w:type="dxa"/>
            <w:vAlign w:val="bottom"/>
          </w:tcPr>
          <w:p>
            <w:pPr>
              <w:spacing w:after="0"/>
              <w:rPr>
                <w:sz w:val="22"/>
                <w:szCs w:val="22"/>
                <w:color w:val="auto"/>
              </w:rPr>
            </w:pPr>
          </w:p>
        </w:tc>
        <w:tc>
          <w:tcPr>
            <w:tcW w:w="2280" w:type="dxa"/>
            <w:vAlign w:val="bottom"/>
            <w:tcBorders>
              <w:right w:val="single" w:sz="8" w:color="00000A"/>
            </w:tcBorders>
            <w:gridSpan w:val="2"/>
          </w:tcPr>
          <w:p>
            <w:pPr>
              <w:jc w:val="center"/>
              <w:ind w:right="260"/>
              <w:spacing w:after="0"/>
              <w:rPr>
                <w:sz w:val="20"/>
                <w:szCs w:val="20"/>
                <w:color w:val="auto"/>
              </w:rPr>
            </w:pPr>
            <w:r>
              <w:rPr>
                <w:rFonts w:ascii="Arial" w:cs="Arial" w:eastAsia="Arial" w:hAnsi="Arial"/>
                <w:sz w:val="20"/>
                <w:szCs w:val="20"/>
                <w:color w:val="auto"/>
                <w:w w:val="93"/>
              </w:rPr>
              <w:t>&gt; 2.50x</w:t>
            </w:r>
          </w:p>
        </w:tc>
        <w:tc>
          <w:tcPr>
            <w:tcW w:w="70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0"/>
                <w:szCs w:val="20"/>
                <w:color w:val="auto"/>
                <w:w w:val="85"/>
              </w:rPr>
              <w:t>75.0 bps</w:t>
            </w:r>
          </w:p>
        </w:tc>
        <w:tc>
          <w:tcPr>
            <w:tcW w:w="500" w:type="dxa"/>
            <w:vAlign w:val="bottom"/>
          </w:tcPr>
          <w:p>
            <w:pPr>
              <w:spacing w:after="0"/>
              <w:rPr>
                <w:sz w:val="22"/>
                <w:szCs w:val="22"/>
                <w:color w:val="auto"/>
              </w:rPr>
            </w:pPr>
          </w:p>
        </w:tc>
        <w:tc>
          <w:tcPr>
            <w:tcW w:w="2000" w:type="dxa"/>
            <w:vAlign w:val="bottom"/>
            <w:tcBorders>
              <w:right w:val="single" w:sz="8" w:color="00000A"/>
            </w:tcBorders>
            <w:gridSpan w:val="2"/>
          </w:tcPr>
          <w:p>
            <w:pPr>
              <w:jc w:val="center"/>
              <w:ind w:right="520"/>
              <w:spacing w:after="0"/>
              <w:rPr>
                <w:sz w:val="20"/>
                <w:szCs w:val="20"/>
                <w:color w:val="auto"/>
              </w:rPr>
            </w:pPr>
            <w:r>
              <w:rPr>
                <w:rFonts w:ascii="Arial" w:cs="Arial" w:eastAsia="Arial" w:hAnsi="Arial"/>
                <w:sz w:val="20"/>
                <w:szCs w:val="20"/>
                <w:color w:val="auto"/>
                <w:w w:val="86"/>
              </w:rPr>
              <w:t>175.0 bps</w:t>
            </w:r>
          </w:p>
        </w:tc>
        <w:tc>
          <w:tcPr>
            <w:tcW w:w="760" w:type="dxa"/>
            <w:vAlign w:val="bottom"/>
          </w:tcPr>
          <w:p>
            <w:pPr>
              <w:spacing w:after="0"/>
              <w:rPr>
                <w:sz w:val="22"/>
                <w:szCs w:val="22"/>
                <w:color w:val="auto"/>
              </w:rPr>
            </w:pPr>
          </w:p>
        </w:tc>
        <w:tc>
          <w:tcPr>
            <w:tcW w:w="1740" w:type="dxa"/>
            <w:vAlign w:val="bottom"/>
            <w:tcBorders>
              <w:right w:val="single" w:sz="8" w:color="00000A"/>
            </w:tcBorders>
            <w:gridSpan w:val="2"/>
          </w:tcPr>
          <w:p>
            <w:pPr>
              <w:jc w:val="center"/>
              <w:ind w:right="780"/>
              <w:spacing w:after="0"/>
              <w:rPr>
                <w:sz w:val="20"/>
                <w:szCs w:val="20"/>
                <w:color w:val="auto"/>
              </w:rPr>
            </w:pPr>
            <w:r>
              <w:rPr>
                <w:rFonts w:ascii="Arial" w:cs="Arial" w:eastAsia="Arial" w:hAnsi="Arial"/>
                <w:sz w:val="20"/>
                <w:szCs w:val="20"/>
                <w:color w:val="auto"/>
                <w:w w:val="88"/>
              </w:rPr>
              <w:t>30.0 bps</w:t>
            </w:r>
          </w:p>
        </w:tc>
        <w:tc>
          <w:tcPr>
            <w:tcW w:w="0" w:type="dxa"/>
            <w:vAlign w:val="bottom"/>
          </w:tcPr>
          <w:p>
            <w:pPr>
              <w:spacing w:after="0"/>
              <w:rPr>
                <w:sz w:val="1"/>
                <w:szCs w:val="1"/>
                <w:color w:val="auto"/>
              </w:rPr>
            </w:pPr>
          </w:p>
        </w:tc>
      </w:tr>
      <w:tr>
        <w:trPr>
          <w:trHeight w:val="131"/>
        </w:trPr>
        <w:tc>
          <w:tcPr>
            <w:tcW w:w="340" w:type="dxa"/>
            <w:vAlign w:val="bottom"/>
            <w:tcBorders>
              <w:left w:val="single" w:sz="8" w:color="00000A"/>
              <w:bottom w:val="single" w:sz="8" w:color="00000A"/>
            </w:tcBorders>
          </w:tcPr>
          <w:p>
            <w:pPr>
              <w:spacing w:after="0"/>
              <w:rPr>
                <w:sz w:val="11"/>
                <w:szCs w:val="11"/>
                <w:color w:val="auto"/>
              </w:rPr>
            </w:pPr>
          </w:p>
        </w:tc>
        <w:tc>
          <w:tcPr>
            <w:tcW w:w="72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right w:val="single" w:sz="8" w:color="00000A"/>
            </w:tcBorders>
          </w:tcPr>
          <w:p>
            <w:pPr>
              <w:spacing w:after="0"/>
              <w:rPr>
                <w:sz w:val="11"/>
                <w:szCs w:val="11"/>
                <w:color w:val="auto"/>
              </w:rPr>
            </w:pPr>
          </w:p>
        </w:tc>
        <w:tc>
          <w:tcPr>
            <w:tcW w:w="220" w:type="dxa"/>
            <w:vAlign w:val="bottom"/>
            <w:tcBorders>
              <w:bottom w:val="single" w:sz="8" w:color="00000A"/>
            </w:tcBorders>
          </w:tcPr>
          <w:p>
            <w:pPr>
              <w:spacing w:after="0"/>
              <w:rPr>
                <w:sz w:val="11"/>
                <w:szCs w:val="11"/>
                <w:color w:val="auto"/>
              </w:rPr>
            </w:pPr>
          </w:p>
        </w:tc>
        <w:tc>
          <w:tcPr>
            <w:tcW w:w="200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right w:val="single" w:sz="8" w:color="00000A"/>
            </w:tcBorders>
          </w:tcPr>
          <w:p>
            <w:pPr>
              <w:spacing w:after="0"/>
              <w:rPr>
                <w:sz w:val="11"/>
                <w:szCs w:val="11"/>
                <w:color w:val="auto"/>
              </w:rPr>
            </w:pPr>
          </w:p>
        </w:tc>
        <w:tc>
          <w:tcPr>
            <w:tcW w:w="700" w:type="dxa"/>
            <w:vAlign w:val="bottom"/>
            <w:tcBorders>
              <w:bottom w:val="single" w:sz="8" w:color="00000A"/>
            </w:tcBorders>
          </w:tcPr>
          <w:p>
            <w:pPr>
              <w:spacing w:after="0"/>
              <w:rPr>
                <w:sz w:val="11"/>
                <w:szCs w:val="11"/>
                <w:color w:val="auto"/>
              </w:rPr>
            </w:pPr>
          </w:p>
        </w:tc>
        <w:tc>
          <w:tcPr>
            <w:tcW w:w="1000" w:type="dxa"/>
            <w:vAlign w:val="bottom"/>
            <w:tcBorders>
              <w:bottom w:val="single" w:sz="8" w:color="00000A"/>
            </w:tcBorders>
          </w:tcPr>
          <w:p>
            <w:pPr>
              <w:spacing w:after="0"/>
              <w:rPr>
                <w:sz w:val="11"/>
                <w:szCs w:val="11"/>
                <w:color w:val="auto"/>
              </w:rPr>
            </w:pPr>
          </w:p>
        </w:tc>
        <w:tc>
          <w:tcPr>
            <w:tcW w:w="780" w:type="dxa"/>
            <w:vAlign w:val="bottom"/>
            <w:tcBorders>
              <w:bottom w:val="single" w:sz="8" w:color="00000A"/>
              <w:right w:val="single" w:sz="8" w:color="00000A"/>
            </w:tcBorders>
          </w:tcPr>
          <w:p>
            <w:pPr>
              <w:spacing w:after="0"/>
              <w:rPr>
                <w:sz w:val="11"/>
                <w:szCs w:val="11"/>
                <w:color w:val="auto"/>
              </w:rPr>
            </w:pPr>
          </w:p>
        </w:tc>
        <w:tc>
          <w:tcPr>
            <w:tcW w:w="500" w:type="dxa"/>
            <w:vAlign w:val="bottom"/>
            <w:tcBorders>
              <w:bottom w:val="single" w:sz="8" w:color="00000A"/>
            </w:tcBorders>
          </w:tcPr>
          <w:p>
            <w:pPr>
              <w:spacing w:after="0"/>
              <w:rPr>
                <w:sz w:val="11"/>
                <w:szCs w:val="11"/>
                <w:color w:val="auto"/>
              </w:rPr>
            </w:pPr>
          </w:p>
        </w:tc>
        <w:tc>
          <w:tcPr>
            <w:tcW w:w="1440" w:type="dxa"/>
            <w:vAlign w:val="bottom"/>
            <w:tcBorders>
              <w:bottom w:val="single" w:sz="8" w:color="00000A"/>
            </w:tcBorders>
          </w:tcPr>
          <w:p>
            <w:pPr>
              <w:spacing w:after="0"/>
              <w:rPr>
                <w:sz w:val="11"/>
                <w:szCs w:val="11"/>
                <w:color w:val="auto"/>
              </w:rPr>
            </w:pPr>
          </w:p>
        </w:tc>
        <w:tc>
          <w:tcPr>
            <w:tcW w:w="560" w:type="dxa"/>
            <w:vAlign w:val="bottom"/>
            <w:tcBorders>
              <w:bottom w:val="single" w:sz="8" w:color="00000A"/>
              <w:right w:val="single" w:sz="8" w:color="00000A"/>
            </w:tcBorders>
          </w:tcPr>
          <w:p>
            <w:pPr>
              <w:spacing w:after="0"/>
              <w:rPr>
                <w:sz w:val="11"/>
                <w:szCs w:val="11"/>
                <w:color w:val="auto"/>
              </w:rPr>
            </w:pPr>
          </w:p>
        </w:tc>
        <w:tc>
          <w:tcPr>
            <w:tcW w:w="760" w:type="dxa"/>
            <w:vAlign w:val="bottom"/>
            <w:tcBorders>
              <w:bottom w:val="single" w:sz="8" w:color="00000A"/>
            </w:tcBorders>
          </w:tcPr>
          <w:p>
            <w:pPr>
              <w:spacing w:after="0"/>
              <w:rPr>
                <w:sz w:val="11"/>
                <w:szCs w:val="11"/>
                <w:color w:val="auto"/>
              </w:rPr>
            </w:pPr>
          </w:p>
        </w:tc>
        <w:tc>
          <w:tcPr>
            <w:tcW w:w="940" w:type="dxa"/>
            <w:vAlign w:val="bottom"/>
            <w:tcBorders>
              <w:bottom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For purposes of the foregoing, (a) the Applicable Rate shall be determined as of the end of each fiscal quarter of the Borrower based upon the Borrower’s annual or quarterly consolidated financial statements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(b) each change in the Applicable Rate resulting from a change in the Total Net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Net Leverage Ratio shall be deemed to be in Category V at the option of the Administrative Agent or at the request of the Required Lenders if the Borrower fails to deliver the annual or quarterly consolidated financial statements required to be delivered by it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during the period from the expiration of the time for delivery thereof until such consolidated financial statements are delivered.</w:t>
      </w:r>
    </w:p>
    <w:p>
      <w:pPr>
        <w:sectPr>
          <w:pgSz w:w="11900" w:h="16838" w:orient="portrait"/>
          <w:cols w:equalWidth="0" w:num="1">
            <w:col w:w="11420"/>
          </w:cols>
          <w:pgMar w:left="240" w:top="595" w:right="239" w:bottom="1440" w:gutter="0" w:footer="0" w:header="0"/>
        </w:sectPr>
      </w:pPr>
    </w:p>
    <w:bookmarkStart w:id="123" w:name="page124"/>
    <w:bookmarkEnd w:id="123"/>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and accepted 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Commitment</w:t>
      </w:r>
      <w:r>
        <w:rPr>
          <w:rFonts w:ascii="Arial" w:cs="Arial" w:eastAsia="Arial" w:hAnsi="Arial"/>
          <w:sz w:val="20"/>
          <w:szCs w:val="20"/>
          <w:color w:val="auto"/>
        </w:rPr>
        <w:t xml:space="preserve">” means, at any time, the aggregate Commitments of all Lenders then in effect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the Aggregate Credit Exposure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Maturity Date and the date of termination of the Commitments.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or any Subsidiary by any Lender or any of its Affiliates: (a) credit cards for commercial customers (including, without limitation, “commercial credit cards” and purchasing cards),</w:t>
      </w:r>
    </w:p>
    <w:p>
      <w:pPr>
        <w:spacing w:after="0" w:line="1" w:lineRule="exact"/>
        <w:rPr>
          <w:sz w:val="20"/>
          <w:szCs w:val="20"/>
          <w:color w:val="auto"/>
        </w:rPr>
      </w:pPr>
    </w:p>
    <w:p>
      <w:pPr>
        <w:jc w:val="both"/>
        <w:ind w:right="20" w:firstLine="8"/>
        <w:spacing w:after="0" w:line="241" w:lineRule="auto"/>
        <w:tabs>
          <w:tab w:leader="none" w:pos="314" w:val="left"/>
        </w:tabs>
        <w:numPr>
          <w:ilvl w:val="0"/>
          <w:numId w:val="29"/>
        </w:numPr>
        <w:rPr>
          <w:rFonts w:ascii="Arial" w:cs="Arial" w:eastAsia="Arial" w:hAnsi="Arial"/>
          <w:sz w:val="20"/>
          <w:szCs w:val="20"/>
          <w:color w:val="auto"/>
        </w:rPr>
      </w:pPr>
      <w:r>
        <w:rPr>
          <w:rFonts w:ascii="Arial" w:cs="Arial" w:eastAsia="Arial" w:hAnsi="Arial"/>
          <w:sz w:val="20"/>
          <w:szCs w:val="20"/>
          <w:color w:val="auto"/>
        </w:rPr>
        <w:t>stored value cards, (c) treasury management services (including, without limitation, controlled disbursement, automated clearinghouse transactions, return items, overdrafts and interstate depository network services) and (d) documentary services and foreign currency exchange services.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 Obligations</w:t>
      </w:r>
      <w:r>
        <w:rPr>
          <w:rFonts w:ascii="Arial" w:cs="Arial" w:eastAsia="Arial" w:hAnsi="Arial"/>
          <w:sz w:val="19"/>
          <w:szCs w:val="19"/>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means, with respect to any U.S. Federal withholding Tax, the beneficial owner, for U.S. Federal income tax purposes, to whom such Tax relates.</w:t>
      </w:r>
    </w:p>
    <w:p>
      <w:pPr>
        <w:sectPr>
          <w:pgSz w:w="11900" w:h="16838" w:orient="portrait"/>
          <w:cols w:equalWidth="0" w:num="1">
            <w:col w:w="11420"/>
          </w:cols>
          <w:pgMar w:left="240" w:top="595" w:right="239" w:bottom="1440" w:gutter="0" w:footer="0" w:header="0"/>
        </w:sectPr>
      </w:pPr>
    </w:p>
    <w:bookmarkStart w:id="124" w:name="page125"/>
    <w:bookmarkEnd w:id="12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Billing Statement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2.18(g)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ExlService Holdings, Inc., a Delaware corporation.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Loans of the same Type, made, converted or continued on the same date and, in the case of Eurodollar Loans, as to which a single Interest Period is in effect.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means a request by the Borrower for a Borrowing in accordance with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that, when used in connection with a Eurodollar Loan, the term “</w:t>
      </w:r>
      <w:r>
        <w:rPr>
          <w:rFonts w:ascii="Arial" w:cs="Arial" w:eastAsia="Arial" w:hAnsi="Arial"/>
          <w:sz w:val="19"/>
          <w:szCs w:val="19"/>
          <w:u w:val="single" w:color="auto"/>
          <w:color w:val="auto"/>
        </w:rPr>
        <w:t>Business Day</w:t>
      </w:r>
      <w:r>
        <w:rPr>
          <w:rFonts w:ascii="Arial" w:cs="Arial" w:eastAsia="Arial" w:hAnsi="Arial"/>
          <w:sz w:val="19"/>
          <w:szCs w:val="19"/>
          <w:color w:val="auto"/>
        </w:rPr>
        <w:t>” shall also exclude any day on which banks are not open for dealings in dollar deposits in the London interbank market.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ectPr>
          <w:pgSz w:w="11900" w:h="16838" w:orient="portrait"/>
          <w:cols w:equalWidth="0" w:num="1">
            <w:col w:w="11420"/>
          </w:cols>
          <w:pgMar w:left="240" w:top="595" w:right="239" w:bottom="1440" w:gutter="0" w:footer="0" w:header="0"/>
        </w:sectPr>
      </w:pPr>
    </w:p>
    <w:bookmarkStart w:id="125" w:name="page126"/>
    <w:bookmarkEnd w:id="125"/>
    <w:p>
      <w:pPr>
        <w:jc w:val="both"/>
        <w:ind w:firstLine="656"/>
        <w:spacing w:after="0" w:line="250" w:lineRule="auto"/>
        <w:tabs>
          <w:tab w:leader="none" w:pos="1075"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6" w:lineRule="exact"/>
        <w:rPr>
          <w:rFonts w:ascii="Arial" w:cs="Arial" w:eastAsia="Arial" w:hAnsi="Arial"/>
          <w:sz w:val="20"/>
          <w:szCs w:val="20"/>
          <w:color w:val="auto"/>
        </w:rPr>
      </w:pPr>
    </w:p>
    <w:p>
      <w:pPr>
        <w:ind w:firstLine="656"/>
        <w:spacing w:after="0" w:line="260" w:lineRule="auto"/>
        <w:tabs>
          <w:tab w:leader="none" w:pos="1113"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investments in commercial paper maturing within one (1) year from the date of acquisition thereof and having, at such date of acquisition, the highest credit rating obtainable from S&amp;P or from Moody’s;</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1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 million, or (ii) the State Bank of India (U.S. Branch) so long as the aggregate amount of such investments described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does not at any time exceed $30 million;</w:t>
      </w:r>
    </w:p>
    <w:p>
      <w:pPr>
        <w:spacing w:after="0" w:line="180" w:lineRule="exact"/>
        <w:rPr>
          <w:rFonts w:ascii="Arial" w:cs="Arial" w:eastAsia="Arial" w:hAnsi="Arial"/>
          <w:sz w:val="19"/>
          <w:szCs w:val="19"/>
          <w:color w:val="auto"/>
        </w:rPr>
      </w:pPr>
    </w:p>
    <w:p>
      <w:pPr>
        <w:ind w:firstLine="656"/>
        <w:spacing w:after="0" w:line="260" w:lineRule="auto"/>
        <w:tabs>
          <w:tab w:leader="none" w:pos="1099"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fully collateralized repurchase agreements with a term of not more than 30 days for securities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and entered into with a financial institution satisfying the criteria described in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w:t>
      </w:r>
    </w:p>
    <w:p>
      <w:pPr>
        <w:spacing w:after="0" w:line="176" w:lineRule="exact"/>
        <w:rPr>
          <w:rFonts w:ascii="Arial" w:cs="Arial" w:eastAsia="Arial" w:hAnsi="Arial"/>
          <w:sz w:val="20"/>
          <w:szCs w:val="20"/>
          <w:color w:val="auto"/>
        </w:rPr>
      </w:pPr>
    </w:p>
    <w:p>
      <w:pPr>
        <w:ind w:firstLine="656"/>
        <w:spacing w:after="0" w:line="287" w:lineRule="auto"/>
        <w:tabs>
          <w:tab w:leader="none" w:pos="11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money market funds that (i) comply with the criteria set forth in Securities and Exchange Commission Rule 2a-7 under the Investment Company Act of 1940, (ii) are rated AAA by S&amp;P and Aaa by Moody’s and (iii) have portfolio assets of at least $5 billion;</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053" w:val="left"/>
        </w:tabs>
        <w:numPr>
          <w:ilvl w:val="0"/>
          <w:numId w:val="30"/>
        </w:numPr>
        <w:rPr>
          <w:rFonts w:ascii="Arial" w:cs="Arial" w:eastAsia="Arial" w:hAnsi="Arial"/>
          <w:sz w:val="20"/>
          <w:szCs w:val="20"/>
          <w:color w:val="auto"/>
        </w:rPr>
      </w:pPr>
      <w:r>
        <w:rPr>
          <w:rFonts w:ascii="Arial" w:cs="Arial" w:eastAsia="Arial" w:hAnsi="Arial"/>
          <w:sz w:val="20"/>
          <w:szCs w:val="20"/>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86" w:lineRule="exact"/>
        <w:rPr>
          <w:rFonts w:ascii="Arial" w:cs="Arial" w:eastAsia="Arial" w:hAnsi="Arial"/>
          <w:sz w:val="20"/>
          <w:szCs w:val="20"/>
          <w:color w:val="auto"/>
        </w:rPr>
      </w:pPr>
    </w:p>
    <w:p>
      <w:pPr>
        <w:ind w:firstLine="656"/>
        <w:spacing w:after="0" w:line="260" w:lineRule="auto"/>
        <w:tabs>
          <w:tab w:leader="none" w:pos="1059"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investments made by foreign Subsidiaries of the Borrower consistent with the Borrower’s investment guidelines as approved from time to time by the Borrower’s board of directors.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Borrower, or (b) the occupation of a majority of the seats (other than vacant seats) on the board of directors of the Borrower by Persons who were neither (i) nominated or approved by the board of directors of the Borrower nor (ii) appointed by directors so nominated.</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w:t>
      </w:r>
    </w:p>
    <w:p>
      <w:pPr>
        <w:sectPr>
          <w:pgSz w:w="11900" w:h="16838" w:orient="portrait"/>
          <w:cols w:equalWidth="0" w:num="1">
            <w:col w:w="11420"/>
          </w:cols>
          <w:pgMar w:left="240" w:top="595" w:right="239" w:bottom="1440" w:gutter="0" w:footer="0" w:header="0"/>
        </w:sectPr>
      </w:pPr>
    </w:p>
    <w:bookmarkStart w:id="126" w:name="page127"/>
    <w:bookmarkEnd w:id="126"/>
    <w:p>
      <w:pPr>
        <w:jc w:val="both"/>
        <w:ind w:right="20"/>
        <w:spacing w:after="0" w:line="250" w:lineRule="auto"/>
        <w:rPr>
          <w:sz w:val="20"/>
          <w:szCs w:val="20"/>
          <w:color w:val="auto"/>
        </w:rPr>
      </w:pPr>
      <w:r>
        <w:rPr>
          <w:rFonts w:ascii="Arial" w:cs="Arial" w:eastAsia="Arial" w:hAnsi="Arial"/>
          <w:sz w:val="20"/>
          <w:szCs w:val="20"/>
          <w:color w:val="auto"/>
        </w:rPr>
        <w:t>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Citi</w:t>
      </w:r>
      <w:r>
        <w:rPr>
          <w:rFonts w:ascii="Arial" w:cs="Arial" w:eastAsia="Arial" w:hAnsi="Arial"/>
          <w:sz w:val="20"/>
          <w:szCs w:val="20"/>
          <w:color w:val="auto"/>
        </w:rPr>
        <w:t>” means Citibank, N.A., a national banking association, in its individual capacity, and its successors.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has the meaning given to “Collateral” in the Security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the Security Agreement and any other documents granting a Lien upon the Collateral as security for payment of the Secured Obligations.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commitment, if any, of such Lender to make Loans and to acquire participations in Letters of Credit hereunder, expressed as an amount representing the maximum possible aggregate amount of such Lender’s Credit Exposure hereunder, as such commitment may be reduced or increased from time to time pursuant to (a)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and (b)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initial amount of each Lender’s Commitment is set forth on the </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or in the Assignment and Assumption pursuant to which such Lender shall have assumed its Commitment, as applicable. The initial aggregate amount of the Lenders’ Commitments as of the Effective Date is $200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9.01(d)</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with respect to any Lender at any time, the sum of the outstanding principal amount of such Lender’s Loans and its LC Exposure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any Issuing Bank or any Lender.</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w:t>
      </w:r>
    </w:p>
    <w:p>
      <w:pPr>
        <w:sectPr>
          <w:pgSz w:w="11900" w:h="16838" w:orient="portrait"/>
          <w:cols w:equalWidth="0" w:num="1">
            <w:col w:w="11420"/>
          </w:cols>
          <w:pgMar w:left="240" w:top="595" w:right="239" w:bottom="1440" w:gutter="0" w:footer="0" w:header="0"/>
        </w:sectPr>
      </w:pPr>
    </w:p>
    <w:bookmarkStart w:id="127" w:name="page128"/>
    <w:bookmarkEnd w:id="127"/>
    <w:p>
      <w:pPr>
        <w:jc w:val="both"/>
        <w:spacing w:after="0" w:line="255" w:lineRule="auto"/>
        <w:rPr>
          <w:sz w:val="20"/>
          <w:szCs w:val="20"/>
          <w:color w:val="auto"/>
        </w:rPr>
      </w:pPr>
      <w:r>
        <w:rPr>
          <w:rFonts w:ascii="Arial" w:cs="Arial" w:eastAsia="Arial" w:hAnsi="Arial"/>
          <w:sz w:val="19"/>
          <w:szCs w:val="19"/>
          <w:color w:val="auto"/>
        </w:rPr>
        <w:t xml:space="preserve">unless,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means, for any period, the sum of:</w:t>
      </w:r>
    </w:p>
    <w:p>
      <w:pPr>
        <w:spacing w:after="0" w:line="216" w:lineRule="exact"/>
        <w:rPr>
          <w:sz w:val="20"/>
          <w:szCs w:val="20"/>
          <w:color w:val="auto"/>
        </w:rPr>
      </w:pPr>
    </w:p>
    <w:p>
      <w:pPr>
        <w:ind w:left="1060" w:hanging="404"/>
        <w:spacing w:after="0"/>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Net Income for such period; </w:t>
      </w:r>
      <w:r>
        <w:rPr>
          <w:rFonts w:ascii="Arial" w:cs="Arial" w:eastAsia="Arial" w:hAnsi="Arial"/>
          <w:sz w:val="20"/>
          <w:szCs w:val="20"/>
          <w:i w:val="1"/>
          <w:iCs w:val="1"/>
          <w:u w:val="single" w:color="auto"/>
          <w:color w:val="auto"/>
        </w:rPr>
        <w:t>plus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without duplication and to the extent deducted in determining Net Income for such period, the sum of:</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Interest Expense for such period;</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federal, state, local and foreign income tax expense for such period;</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amounts attributable to depreciation and amortization expense for such period;</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amortization of intangibles (including, but not limited to, goodwill) for such period;</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extraordinary non-cash charges, expenses or losses for such period;</w:t>
      </w:r>
    </w:p>
    <w:p>
      <w:pPr>
        <w:spacing w:after="0" w:line="215" w:lineRule="exact"/>
        <w:rPr>
          <w:rFonts w:ascii="Arial" w:cs="Arial" w:eastAsia="Arial" w:hAnsi="Arial"/>
          <w:sz w:val="20"/>
          <w:szCs w:val="20"/>
          <w:color w:val="auto"/>
        </w:rPr>
      </w:pPr>
    </w:p>
    <w:p>
      <w:pPr>
        <w:ind w:left="660" w:right="20" w:firstLine="645"/>
        <w:spacing w:after="0" w:line="260" w:lineRule="auto"/>
        <w:tabs>
          <w:tab w:leader="none" w:pos="1788" w:val="left"/>
        </w:tabs>
        <w:numPr>
          <w:ilvl w:val="1"/>
          <w:numId w:val="31"/>
        </w:numPr>
        <w:rPr>
          <w:rFonts w:ascii="Arial" w:cs="Arial" w:eastAsia="Arial" w:hAnsi="Arial"/>
          <w:sz w:val="20"/>
          <w:szCs w:val="20"/>
          <w:color w:val="auto"/>
        </w:rPr>
      </w:pPr>
      <w:r>
        <w:rPr>
          <w:rFonts w:ascii="Arial" w:cs="Arial" w:eastAsia="Arial" w:hAnsi="Arial"/>
          <w:sz w:val="20"/>
          <w:szCs w:val="20"/>
          <w:color w:val="auto"/>
        </w:rPr>
        <w:t>non-cash compensation expenses, including as a result of any grant of equity or options to employees, officers, directors or contractors;</w:t>
      </w:r>
    </w:p>
    <w:p>
      <w:pPr>
        <w:spacing w:after="0" w:line="176" w:lineRule="exact"/>
        <w:rPr>
          <w:rFonts w:ascii="Arial" w:cs="Arial" w:eastAsia="Arial" w:hAnsi="Arial"/>
          <w:sz w:val="20"/>
          <w:szCs w:val="20"/>
          <w:color w:val="auto"/>
        </w:rPr>
      </w:pPr>
    </w:p>
    <w:p>
      <w:pPr>
        <w:ind w:left="1820" w:hanging="515"/>
        <w:spacing w:after="0"/>
        <w:tabs>
          <w:tab w:leader="none" w:pos="18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costs and expenses incurred on or prior to the Effective Date with respect to the Transactions;</w:t>
      </w:r>
    </w:p>
    <w:p>
      <w:pPr>
        <w:spacing w:after="0" w:line="215" w:lineRule="exact"/>
        <w:rPr>
          <w:rFonts w:ascii="Arial" w:cs="Arial" w:eastAsia="Arial" w:hAnsi="Arial"/>
          <w:sz w:val="20"/>
          <w:szCs w:val="20"/>
          <w:color w:val="auto"/>
        </w:rPr>
      </w:pPr>
    </w:p>
    <w:p>
      <w:pPr>
        <w:ind w:left="660" w:firstLine="645"/>
        <w:spacing w:after="0" w:line="386" w:lineRule="auto"/>
        <w:tabs>
          <w:tab w:leader="none" w:pos="19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expenses, charges and losses incurred in such period and which are reimbursed in cash during such period by Persons (other than the Borrower and its Subsidiaries) so long as such payments were not added in determining Net Income for such period;</w:t>
      </w:r>
    </w:p>
    <w:p>
      <w:pPr>
        <w:sectPr>
          <w:pgSz w:w="11900" w:h="16838" w:orient="portrait"/>
          <w:cols w:equalWidth="0" w:num="1">
            <w:col w:w="11420"/>
          </w:cols>
          <w:pgMar w:left="240" w:top="595" w:right="239" w:bottom="1440" w:gutter="0" w:footer="0" w:header="0"/>
        </w:sectPr>
      </w:pPr>
    </w:p>
    <w:bookmarkStart w:id="128" w:name="page129"/>
    <w:bookmarkEnd w:id="128"/>
    <w:p>
      <w:pPr>
        <w:jc w:val="both"/>
        <w:ind w:left="660" w:firstLine="645"/>
        <w:spacing w:after="0" w:line="246" w:lineRule="auto"/>
        <w:tabs>
          <w:tab w:leader="none" w:pos="1869"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non-cash purchase accounting adjustments made during such period;</w:t>
      </w:r>
    </w:p>
    <w:p>
      <w:pPr>
        <w:spacing w:after="0" w:line="215" w:lineRule="exact"/>
        <w:rPr>
          <w:rFonts w:ascii="Arial" w:cs="Arial" w:eastAsia="Arial" w:hAnsi="Arial"/>
          <w:sz w:val="20"/>
          <w:szCs w:val="20"/>
          <w:color w:val="auto"/>
        </w:rPr>
      </w:pPr>
    </w:p>
    <w:p>
      <w:pPr>
        <w:ind w:left="1780" w:hanging="475"/>
        <w:spacing w:after="0"/>
        <w:tabs>
          <w:tab w:leader="none" w:pos="17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all proceeds of business interruption insurance received during such period;</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unrealized losses on financial derivatives recognized in such period in accordance with SFAS No. 133;</w:t>
      </w:r>
    </w:p>
    <w:p>
      <w:pPr>
        <w:spacing w:after="0" w:line="215" w:lineRule="exact"/>
        <w:rPr>
          <w:rFonts w:ascii="Arial" w:cs="Arial" w:eastAsia="Arial" w:hAnsi="Arial"/>
          <w:sz w:val="20"/>
          <w:szCs w:val="20"/>
          <w:color w:val="auto"/>
        </w:rPr>
      </w:pPr>
    </w:p>
    <w:p>
      <w:pPr>
        <w:ind w:left="660" w:firstLine="645"/>
        <w:spacing w:after="0" w:line="260" w:lineRule="auto"/>
        <w:tabs>
          <w:tab w:leader="none" w:pos="1884"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write-off or amortization made in such period of deferred financing costs or any write-down of assets or asset value carried on the balance sheet of the Borrower or any of its Subsidiaries;</w:t>
      </w:r>
    </w:p>
    <w:p>
      <w:pPr>
        <w:spacing w:after="0" w:line="176" w:lineRule="exact"/>
        <w:rPr>
          <w:rFonts w:ascii="Arial" w:cs="Arial" w:eastAsia="Arial" w:hAnsi="Arial"/>
          <w:sz w:val="20"/>
          <w:szCs w:val="20"/>
          <w:color w:val="auto"/>
        </w:rPr>
      </w:pPr>
    </w:p>
    <w:p>
      <w:pPr>
        <w:ind w:left="1860" w:hanging="555"/>
        <w:spacing w:after="0"/>
        <w:tabs>
          <w:tab w:leader="none" w:pos="18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one-time restructuring charges incurred during such period (determined in accordance with GAAP);</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8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amount of any expected “run-rate” cost savings and synergies (collectively, “</w:t>
      </w:r>
      <w:r>
        <w:rPr>
          <w:rFonts w:ascii="Arial" w:cs="Arial" w:eastAsia="Arial" w:hAnsi="Arial"/>
          <w:sz w:val="20"/>
          <w:szCs w:val="20"/>
          <w:u w:val="single" w:color="auto"/>
          <w:color w:val="auto"/>
        </w:rPr>
        <w:t>Expected Cost Savings</w:t>
      </w:r>
      <w:r>
        <w:rPr>
          <w:rFonts w:ascii="Arial" w:cs="Arial" w:eastAsia="Arial" w:hAnsi="Arial"/>
          <w:sz w:val="20"/>
          <w:szCs w:val="20"/>
          <w:color w:val="auto"/>
        </w:rPr>
        <w:t xml:space="preserve">”) (net of actual amounts realized) that are reasonably identifiable and factually supportable (in the good faith determination of the Borrower) related to any acquisition, disposition, restructuring or cost savings initiative; </w:t>
      </w:r>
      <w:r>
        <w:rPr>
          <w:rFonts w:ascii="Arial" w:cs="Arial" w:eastAsia="Arial" w:hAnsi="Arial"/>
          <w:sz w:val="20"/>
          <w:szCs w:val="20"/>
          <w:u w:val="single" w:color="auto"/>
          <w:color w:val="auto"/>
        </w:rPr>
        <w:t>provided</w:t>
      </w:r>
      <w:r>
        <w:rPr>
          <w:rFonts w:ascii="Arial" w:cs="Arial" w:eastAsia="Arial" w:hAnsi="Arial"/>
          <w:sz w:val="20"/>
          <w:szCs w:val="20"/>
          <w:color w:val="auto"/>
        </w:rPr>
        <w:t>, that (A) such Expected Cost Savings are expected by the Borrower in good faith to be realized within 12 months of the consummation of the event giving rise thereto and (B) the aggregate amount of Expected Cost Savings shall not exceed 10% of EBITDA for the relevant period (calculated prior to giving effect to such add-back); and</w:t>
      </w:r>
    </w:p>
    <w:p>
      <w:pPr>
        <w:spacing w:after="0" w:line="196" w:lineRule="exact"/>
        <w:rPr>
          <w:rFonts w:ascii="Arial" w:cs="Arial" w:eastAsia="Arial" w:hAnsi="Arial"/>
          <w:sz w:val="20"/>
          <w:szCs w:val="20"/>
          <w:color w:val="auto"/>
        </w:rPr>
      </w:pPr>
    </w:p>
    <w:p>
      <w:pPr>
        <w:ind w:left="660" w:right="20" w:firstLine="645"/>
        <w:spacing w:after="0" w:line="260" w:lineRule="auto"/>
        <w:tabs>
          <w:tab w:leader="none" w:pos="1873"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any other non-cash charges (but excluding any non-cash charge in respect of an item that was included in Net Income in a prior period); </w:t>
      </w:r>
      <w:r>
        <w:rPr>
          <w:rFonts w:ascii="Arial" w:cs="Arial" w:eastAsia="Arial" w:hAnsi="Arial"/>
          <w:sz w:val="20"/>
          <w:szCs w:val="20"/>
          <w:i w:val="1"/>
          <w:iCs w:val="1"/>
          <w:u w:val="single" w:color="auto"/>
          <w:color w:val="auto"/>
        </w:rPr>
        <w:t>minus</w:t>
      </w:r>
    </w:p>
    <w:p>
      <w:pPr>
        <w:spacing w:after="0" w:line="177" w:lineRule="exact"/>
        <w:rPr>
          <w:sz w:val="20"/>
          <w:szCs w:val="20"/>
          <w:color w:val="auto"/>
        </w:rPr>
      </w:pPr>
    </w:p>
    <w:p>
      <w:pPr>
        <w:jc w:val="both"/>
        <w:ind w:firstLine="656"/>
        <w:spacing w:after="0" w:line="250" w:lineRule="auto"/>
        <w:tabs>
          <w:tab w:leader="none" w:pos="1088"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without duplication and to the extent included in Net Income, (i) any cash payments made during such period in respect of non-cash charges described in </w:t>
      </w:r>
      <w:r>
        <w:rPr>
          <w:rFonts w:ascii="Arial" w:cs="Arial" w:eastAsia="Arial" w:hAnsi="Arial"/>
          <w:sz w:val="20"/>
          <w:szCs w:val="20"/>
          <w:u w:val="single" w:color="auto"/>
          <w:color w:val="auto"/>
        </w:rPr>
        <w:t>clause (a)(xvi)</w:t>
      </w:r>
      <w:r>
        <w:rPr>
          <w:rFonts w:ascii="Arial" w:cs="Arial" w:eastAsia="Arial" w:hAnsi="Arial"/>
          <w:sz w:val="20"/>
          <w:szCs w:val="20"/>
          <w:color w:val="auto"/>
        </w:rPr>
        <w:t xml:space="preserve"> taken in a prior period and (ii) any extraordinary gains and any non-cash items of income for such period;</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all calculated for the Borrower and its Subsidiaries on a consolidated basis in accordance with GAAP. For the purposes of calculating EBITDA for any period of four consecutive fiscal quarters (each, a “</w:t>
      </w:r>
      <w:r>
        <w:rPr>
          <w:rFonts w:ascii="Arial" w:cs="Arial" w:eastAsia="Arial" w:hAnsi="Arial"/>
          <w:sz w:val="19"/>
          <w:szCs w:val="19"/>
          <w:u w:val="single" w:color="auto"/>
          <w:color w:val="auto"/>
        </w:rPr>
        <w:t>Reference Period</w:t>
      </w:r>
      <w:r>
        <w:rPr>
          <w:rFonts w:ascii="Arial" w:cs="Arial" w:eastAsia="Arial" w:hAnsi="Arial"/>
          <w:sz w:val="19"/>
          <w:szCs w:val="19"/>
          <w:color w:val="auto"/>
        </w:rPr>
        <w:t>”), (i) 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 million, EBITDA for such Reference Period shall be calculated after giving effect thereto on a pro forma basis as if such Permitted Acquisition occurred on the first day of such Reference Period.</w:t>
      </w:r>
    </w:p>
    <w:p>
      <w:pPr>
        <w:sectPr>
          <w:pgSz w:w="11900" w:h="16838" w:orient="portrait"/>
          <w:cols w:equalWidth="0" w:num="1">
            <w:col w:w="11420"/>
          </w:cols>
          <w:pgMar w:left="240" w:top="595" w:right="239" w:bottom="1440" w:gutter="0" w:footer="0" w:header="0"/>
        </w:sectPr>
      </w:pPr>
    </w:p>
    <w:bookmarkStart w:id="129" w:name="page130"/>
    <w:bookmarkEnd w:id="129"/>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definition and is subject to the supervision of an EEA Resolution Authority, or (c) any financial institution established in an EEA Member Country which is a Subsidiary of an institution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 and is subject to consolidated supervision of an EEA Resolution Authority with its parent.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November 21, 2017.</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System</w:t>
      </w:r>
      <w:r>
        <w:rPr>
          <w:rFonts w:ascii="Arial" w:cs="Arial" w:eastAsia="Arial" w:hAnsi="Arial"/>
          <w:sz w:val="20"/>
          <w:szCs w:val="20"/>
          <w:color w:val="auto"/>
        </w:rPr>
        <w:t>” means any electronic system, including e-mail, e-fax, Intralinks</w:t>
      </w:r>
      <w:r>
        <w:rPr>
          <w:rFonts w:ascii="Arial" w:cs="Arial" w:eastAsia="Arial" w:hAnsi="Arial"/>
          <w:sz w:val="25"/>
          <w:szCs w:val="25"/>
          <w:color w:val="auto"/>
          <w:vertAlign w:val="superscript"/>
        </w:rPr>
        <w:t>®</w:t>
      </w:r>
      <w:r>
        <w:rPr>
          <w:rFonts w:ascii="Arial" w:cs="Arial" w:eastAsia="Arial" w:hAnsi="Arial"/>
          <w:sz w:val="20"/>
          <w:szCs w:val="20"/>
          <w:color w:val="auto"/>
        </w:rPr>
        <w:t>, ClearPar</w:t>
      </w:r>
      <w:r>
        <w:rPr>
          <w:rFonts w:ascii="Arial" w:cs="Arial" w:eastAsia="Arial" w:hAnsi="Arial"/>
          <w:sz w:val="25"/>
          <w:szCs w:val="25"/>
          <w:color w:val="auto"/>
          <w:vertAlign w:val="superscript"/>
        </w:rPr>
        <w:t>®</w:t>
      </w:r>
      <w:r>
        <w:rPr>
          <w:rFonts w:ascii="Arial" w:cs="Arial" w:eastAsia="Arial" w:hAnsi="Arial"/>
          <w:sz w:val="20"/>
          <w:szCs w:val="20"/>
          <w:color w:val="auto"/>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employee health and safety matters.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ectPr>
          <w:pgSz w:w="11900" w:h="16838" w:orient="portrait"/>
          <w:cols w:equalWidth="0" w:num="1">
            <w:col w:w="11420"/>
          </w:cols>
          <w:pgMar w:left="240" w:top="595" w:right="239" w:bottom="1440" w:gutter="0" w:footer="0" w:header="0"/>
        </w:sectPr>
      </w:pPr>
    </w:p>
    <w:bookmarkStart w:id="130" w:name="page131"/>
    <w:bookmarkEnd w:id="130"/>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9"/>
          <w:szCs w:val="19"/>
          <w:color w:val="auto"/>
        </w:rPr>
        <w:t>‑</w:t>
      </w:r>
      <w:r>
        <w:rPr>
          <w:rFonts w:ascii="Arial" w:cs="Arial" w:eastAsia="Arial" w:hAnsi="Arial"/>
          <w:sz w:val="19"/>
          <w:szCs w:val="19"/>
          <w:color w:val="auto"/>
        </w:rPr>
        <w:t>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LIBO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w:t>
      </w:r>
    </w:p>
    <w:p>
      <w:pPr>
        <w:sectPr>
          <w:pgSz w:w="11900" w:h="16838" w:orient="portrait"/>
          <w:cols w:equalWidth="0" w:num="1">
            <w:col w:w="11420"/>
          </w:cols>
          <w:pgMar w:left="240" w:top="595" w:right="239" w:bottom="1440" w:gutter="0" w:footer="0" w:header="0"/>
        </w:sectPr>
      </w:pPr>
    </w:p>
    <w:bookmarkStart w:id="131" w:name="page132"/>
    <w:bookmarkEnd w:id="131"/>
    <w:p>
      <w:pPr>
        <w:jc w:val="both"/>
        <w:spacing w:after="0" w:line="244" w:lineRule="auto"/>
        <w:rPr>
          <w:sz w:val="20"/>
          <w:szCs w:val="20"/>
          <w:color w:val="auto"/>
        </w:rPr>
      </w:pPr>
      <w:r>
        <w:rPr>
          <w:rFonts w:ascii="Arial" w:cs="Arial" w:eastAsia="Arial" w:hAnsi="Arial"/>
          <w:sz w:val="20"/>
          <w:szCs w:val="20"/>
          <w:color w:val="auto"/>
        </w:rPr>
        <w:t xml:space="preserve">or Commitment (other than pursuant to an assignment request by the Borrower under </w:t>
      </w:r>
      <w:r>
        <w:rPr>
          <w:rFonts w:ascii="Arial" w:cs="Arial" w:eastAsia="Arial" w:hAnsi="Arial"/>
          <w:sz w:val="20"/>
          <w:szCs w:val="20"/>
          <w:u w:val="single" w:color="auto"/>
          <w:color w:val="auto"/>
        </w:rPr>
        <w:t>Section 2.19(b)</w:t>
      </w:r>
      <w:r>
        <w:rPr>
          <w:rFonts w:ascii="Arial" w:cs="Arial" w:eastAsia="Arial" w:hAnsi="Arial"/>
          <w:sz w:val="20"/>
          <w:szCs w:val="20"/>
          <w:color w:val="auto"/>
        </w:rPr>
        <w:t xml:space="preserve">) or (ii) such Lender changes its lending office, except in each case to the extent that,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an amount that was due and payable, but not yet paid to (A) such Lender’s assignor immediately before such Lender acquired the applicable interest in a Loan or Commitment or (B) such Lender immediately before it changed its lending office; (c) Taxes attributable to such Recipient’s failure to comply with </w:t>
      </w:r>
      <w:r>
        <w:rPr>
          <w:rFonts w:ascii="Arial" w:cs="Arial" w:eastAsia="Arial" w:hAnsi="Arial"/>
          <w:sz w:val="20"/>
          <w:szCs w:val="20"/>
          <w:u w:val="single" w:color="auto"/>
          <w:color w:val="auto"/>
        </w:rPr>
        <w:t>Section 2.17(f)</w:t>
      </w:r>
      <w:r>
        <w:rPr>
          <w:rFonts w:ascii="Arial" w:cs="Arial" w:eastAsia="Arial" w:hAnsi="Arial"/>
          <w:sz w:val="20"/>
          <w:szCs w:val="20"/>
          <w:color w:val="auto"/>
        </w:rPr>
        <w:t>; and (d) any U.S. Federal withholding Taxes imposed under FATCA.</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the Credit Agreement, dated as of October 24, 2014 (as amended by the First Amendment to Credit Agreement and Incremental Facility Agreement, dated as of February 23, 2015, by and among the Borrower, the Loan Guarantors (as defined therein) party thereto, the lenders party thereto and JPMorgan Chase Bank, N.A. (“</w:t>
      </w:r>
      <w:r>
        <w:rPr>
          <w:rFonts w:ascii="Arial" w:cs="Arial" w:eastAsia="Arial" w:hAnsi="Arial"/>
          <w:sz w:val="20"/>
          <w:szCs w:val="20"/>
          <w:u w:val="single" w:color="auto"/>
          <w:color w:val="auto"/>
        </w:rPr>
        <w:t>JPMorgan</w:t>
      </w:r>
      <w:r>
        <w:rPr>
          <w:rFonts w:ascii="Arial" w:cs="Arial" w:eastAsia="Arial" w:hAnsi="Arial"/>
          <w:sz w:val="20"/>
          <w:szCs w:val="20"/>
          <w:color w:val="auto"/>
        </w:rPr>
        <w:t xml:space="preserve">”) as administrative agent, and by the Second Amendment to Credit Agreement, dated as of September 28, 2015, by and among the Borrower, the Loan Guarantors (as defined therein) party thereto, the lenders party thereto and JPMorgan, as administrative agent), by and among, </w:t>
      </w:r>
      <w:r>
        <w:rPr>
          <w:rFonts w:ascii="Arial" w:cs="Arial" w:eastAsia="Arial" w:hAnsi="Arial"/>
          <w:sz w:val="20"/>
          <w:szCs w:val="20"/>
          <w:i w:val="1"/>
          <w:iCs w:val="1"/>
          <w:color w:val="auto"/>
        </w:rPr>
        <w:t>inter alios</w:t>
      </w:r>
      <w:r>
        <w:rPr>
          <w:rFonts w:ascii="Arial" w:cs="Arial" w:eastAsia="Arial" w:hAnsi="Arial"/>
          <w:sz w:val="20"/>
          <w:szCs w:val="20"/>
          <w:color w:val="auto"/>
        </w:rPr>
        <w:t>, the Borrower, the other Loan Parties (as defined therein) party thereto, the lenders party thereto, JPMorgan, as administrative agent, and JPMorgan and Citibank, N.A. as co-lead arrangers.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Expected Cost Savings</w:t>
      </w:r>
      <w:r>
        <w:rPr>
          <w:rFonts w:ascii="Arial" w:cs="Arial" w:eastAsia="Arial" w:hAnsi="Arial"/>
          <w:sz w:val="20"/>
          <w:szCs w:val="20"/>
          <w:color w:val="auto"/>
        </w:rPr>
        <w:t>” has the meaning assigned to such term in the definition of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w:t>
      </w:r>
      <w:r>
        <w:rPr>
          <w:rFonts w:ascii="Arial" w:cs="Arial" w:eastAsia="Arial" w:hAnsi="Arial"/>
          <w:sz w:val="19"/>
          <w:szCs w:val="19"/>
          <w:color w:val="auto"/>
        </w:rPr>
        <w:t xml:space="preserve">” means the Commitments, the maturity of which shall have been extended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Loans</w:t>
      </w:r>
      <w:r>
        <w:rPr>
          <w:rFonts w:ascii="Arial" w:cs="Arial" w:eastAsia="Arial" w:hAnsi="Arial"/>
          <w:sz w:val="20"/>
          <w:szCs w:val="20"/>
          <w:color w:val="auto"/>
        </w:rPr>
        <w:t>” means any Loans made pursuant to the Extended Commitments.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the Issuing Bank implementing an Extension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2.22</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 with respect thereto.</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Covenants</w:t>
      </w:r>
      <w:r>
        <w:rPr>
          <w:rFonts w:ascii="Arial" w:cs="Arial" w:eastAsia="Arial" w:hAnsi="Arial"/>
          <w:sz w:val="20"/>
          <w:szCs w:val="20"/>
          <w:color w:val="auto"/>
        </w:rPr>
        <w:t xml:space="preserve">” means the covenants set forth in </w:t>
      </w:r>
      <w:r>
        <w:rPr>
          <w:rFonts w:ascii="Arial" w:cs="Arial" w:eastAsia="Arial" w:hAnsi="Arial"/>
          <w:sz w:val="20"/>
          <w:szCs w:val="20"/>
          <w:u w:val="single" w:color="auto"/>
          <w:color w:val="auto"/>
        </w:rPr>
        <w:t>Section 6.11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ectPr>
          <w:pgSz w:w="11900" w:h="16838" w:orient="portrait"/>
          <w:cols w:equalWidth="0" w:num="1">
            <w:col w:w="11420"/>
          </w:cols>
          <w:pgMar w:left="240" w:top="595"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not a “United States person” as defined in Section 7701(a)(30) of the Code.</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xml:space="preserve">” means, with respect to any Person and without duplication, (i) all Indebtedness of such Person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(other than the portion thereof consisting of contingent or unliquidated earn-outs),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the definition of “Indebtedness”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(ii) all Indebtedness of others of the type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ectPr>
          <w:pgSz w:w="11900" w:h="16838" w:orient="portrait"/>
          <w:cols w:equalWidth="0" w:num="1">
            <w:col w:w="11420"/>
          </w:cols>
          <w:pgMar w:left="240" w:top="595"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2.23(a)(i)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obligations under any liquidated earn-out, (k) any other Off-Balance Sheet Liability and (l) any Swap Obligations to the extent required to be reflected as a liability on a balance sheet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subsection (a), Other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9.03(b)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xml:space="preserve">” means a (a) natural person, (b) a Defaulting Lender, (c) holding company, investment vehicle or trust for, or owned and operated for the primary benefit of, a natural person or relative(s) thereof;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 million and a significant part of its activities consist of making or purchasing commercial loans and similar extensions of credit in the ordinary course of its business</w:t>
      </w:r>
      <w:r>
        <w:rPr>
          <w:rFonts w:ascii="Arial" w:cs="Arial" w:eastAsia="Arial" w:hAnsi="Arial"/>
          <w:sz w:val="20"/>
          <w:szCs w:val="20"/>
          <w:b w:val="1"/>
          <w:bCs w:val="1"/>
          <w:color w:val="auto"/>
        </w:rPr>
        <w:t>,</w:t>
      </w:r>
      <w:r>
        <w:rPr>
          <w:rFonts w:ascii="Arial" w:cs="Arial" w:eastAsia="Arial" w:hAnsi="Arial"/>
          <w:sz w:val="20"/>
          <w:szCs w:val="20"/>
          <w:color w:val="auto"/>
        </w:rPr>
        <w:t xml:space="preserve"> or (d) a Loan Party or a Subsidiary or other Affiliate of a Loan Party.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9.12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at any date, the ratio of (a) EBITDA to (b) cash Interest Expense, all calculated for the period of four consecutive fiscal quarters ended on such date (or, if such date is not the last day of a fiscal quarter, ended on the last day of the fiscal quarter most recently ended prior to such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w:t>
      </w:r>
    </w:p>
    <w:p>
      <w:pPr>
        <w:sectPr>
          <w:pgSz w:w="11900" w:h="16838" w:orient="portrait"/>
          <w:cols w:equalWidth="0" w:num="1">
            <w:col w:w="11420"/>
          </w:cols>
          <w:pgMar w:left="240" w:top="595" w:right="239" w:bottom="1440" w:gutter="0" w:footer="0" w:header="0"/>
        </w:sectPr>
      </w:pPr>
    </w:p>
    <w:bookmarkStart w:id="134" w:name="page135"/>
    <w:bookmarkEnd w:id="134"/>
    <w:p>
      <w:pPr>
        <w:jc w:val="both"/>
        <w:spacing w:after="0" w:line="260" w:lineRule="auto"/>
        <w:rPr>
          <w:sz w:val="20"/>
          <w:szCs w:val="20"/>
          <w:color w:val="auto"/>
        </w:rPr>
      </w:pPr>
      <w:r>
        <w:rPr>
          <w:rFonts w:ascii="Arial" w:cs="Arial" w:eastAsia="Arial" w:hAnsi="Arial"/>
          <w:sz w:val="20"/>
          <w:szCs w:val="20"/>
          <w:color w:val="auto"/>
        </w:rPr>
        <w:t>period in accordance with GAAP), calculated on a consolidated basis for the Borrower and its Subsidiaries for such period in accordance with GAAP.</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first Business Day of each January, April, July and October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Eurodollar Borrowing, the period commencing on the date of such Borrowing and ending on the numerically corresponding day in the calendar month that is one, three or six months, or, if available to all Lenders, twelve months thereafter,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that (i)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Banks</w:t>
      </w:r>
      <w:r>
        <w:rPr>
          <w:rFonts w:ascii="Arial" w:cs="Arial" w:eastAsia="Arial" w:hAnsi="Arial"/>
          <w:sz w:val="19"/>
          <w:szCs w:val="19"/>
          <w:color w:val="auto"/>
        </w:rPr>
        <w:t>” means, individually and collectively as the context may require, (a) Citi, in its capacity as an issuer of Letters of Credit hereunder, and its successors in such capacity, and (b) and any other Lender from time to time designated by the Borrower as an Issuing Bank, with the consent of such Lender and the Administrative Agent and such Lender’s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any Issuing Bank pursuant to a Letter of Credit.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means, at any time, the sum of (a) the aggregate undrawn amount of all outstanding Letters of Credit at such time plus (b) the aggregate amount of all LC Disbursements relating to Letters of</w:t>
      </w:r>
    </w:p>
    <w:p>
      <w:pPr>
        <w:sectPr>
          <w:pgSz w:w="11900" w:h="16838" w:orient="portrait"/>
          <w:cols w:equalWidth="0" w:num="1">
            <w:col w:w="11420"/>
          </w:cols>
          <w:pgMar w:left="240" w:top="595" w:right="239" w:bottom="1440" w:gutter="0" w:footer="0" w:header="0"/>
        </w:sectPr>
      </w:pPr>
    </w:p>
    <w:bookmarkStart w:id="135" w:name="page136"/>
    <w:bookmarkEnd w:id="135"/>
    <w:p>
      <w:pPr>
        <w:jc w:val="both"/>
        <w:spacing w:after="0" w:line="260" w:lineRule="auto"/>
        <w:rPr>
          <w:sz w:val="20"/>
          <w:szCs w:val="20"/>
          <w:color w:val="auto"/>
        </w:rPr>
      </w:pPr>
      <w:r>
        <w:rPr>
          <w:rFonts w:ascii="Arial" w:cs="Arial" w:eastAsia="Arial" w:hAnsi="Arial"/>
          <w:sz w:val="20"/>
          <w:szCs w:val="20"/>
          <w:color w:val="auto"/>
        </w:rPr>
        <w:t>Credit that have not yet been reimbursed by or on behalf of the Borrower at such time. The LC Exposure of any Lender at any time shall be its Applicable Percentage of the total LC Exposure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Arrangers</w:t>
      </w:r>
      <w:r>
        <w:rPr>
          <w:rFonts w:ascii="Arial" w:cs="Arial" w:eastAsia="Arial" w:hAnsi="Arial"/>
          <w:sz w:val="20"/>
          <w:szCs w:val="20"/>
          <w:color w:val="auto"/>
        </w:rPr>
        <w:t>” means Citibank, N.A. and PNC Capital Markets LLC in their capacities as joint lead arrangers and joint bookrunners hereunder.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the letters of credit issued pursuant to this Agreement, and the term “Letter of Credit” means any one of them or each of them singularly, as the context may require.</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“LIBO Screen Rate”) at approximately 11:00 a.m., London time, two (2)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(x) if the LIBO Screen Rate shall be less than zero, such rate shall be deemed to be zero for the purposes of this Agreement and (y) if the LIBO Screen Rate shall not be available at such time for a period equal in length to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xml:space="preserve">”), then the LIBO Rate shall be the Interpolated Rate at such time, 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 the event that the Administrative Agent shall conclude that it shall not be possible to determine such Interpolated Rate (which conclusion shall be conclusive and binding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Interpolated Rate shall be less than zero, such rate shall be deemed to be zero for purposes of this Agreement. In the event that the LIBO Screen Rate does not appear on a Reuters page or screen, LIBO Rate (the “</w:t>
      </w:r>
      <w:r>
        <w:rPr>
          <w:rFonts w:ascii="Arial" w:cs="Arial" w:eastAsia="Arial" w:hAnsi="Arial"/>
          <w:sz w:val="18"/>
          <w:szCs w:val="18"/>
          <w:u w:val="single" w:color="auto"/>
          <w:color w:val="auto"/>
        </w:rPr>
        <w:t>Alternate LIBO Rate</w:t>
      </w:r>
      <w:r>
        <w:rPr>
          <w:rFonts w:ascii="Arial" w:cs="Arial" w:eastAsia="Arial" w:hAnsi="Arial"/>
          <w:sz w:val="18"/>
          <w:szCs w:val="18"/>
          <w:color w:val="auto"/>
        </w:rPr>
        <w:t xml:space="preserve">”) shall be the rate displayed on any successor or substitute page that displays such rate, or on the appropriate page of such other information service that publishes such rate from time to time as selected by the Administrative Agent in its reasonable discretion or, if no such page exists at such time, such other page, as published by Reuters or another comparable service, that reflects an alternative index rate as designated by the Administrative Agent from time to time in consultation with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to this Agreement to implement such Alternate LIBO rate shall become effective without any further action or consent of any other party to this Agreement or any other Person (other than the Administrative Agent and the Borrower) so long as, with respect to the Lenders, the Administrative Agent shall not have received, within five (5) Business Days after the date that notice of such Alternate LIBO Rate of interest and related modifications is provided to the Lenders, a written notice from Required Lenders stating that they object to such amendment (which amendment shall not be effective prior to the end of such five (5) Business Day notice period). Notwithstanding the above, to the extent that “LIBO Rate” or “Adjusted LIBO Rate” is used in connection with an ABR Borrowing, such rate shall be determined as modified by the definition of Alternate Base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Screen Rate</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 any mortgage, deed of trust, lien, pledge, hypothecation, encumbrance, charge or security interest in, on or of such asset, (b) the interest of a vendor or a lessor under</w:t>
      </w:r>
    </w:p>
    <w:p>
      <w:pPr>
        <w:sectPr>
          <w:pgSz w:w="11900" w:h="16838" w:orient="portrait"/>
          <w:cols w:equalWidth="0" w:num="1">
            <w:col w:w="11420"/>
          </w:cols>
          <w:pgMar w:left="240" w:top="595" w:right="23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0"/>
          <w:szCs w:val="20"/>
          <w:color w:val="auto"/>
        </w:rPr>
        <w:t>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Notes, any Letter of Credit applications, the Collateral Documents, the Loan Guaranty and all other agreements, instruments, documents and certificates identified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xml:space="preserve">” means (a) each of the Borrower’s wholly-owned Material Domestic Subsidiaries and (b) with respect to Secured Obligations owed by any other Loan Party,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any administrative requirements of the Administrative Agent, the Borrower may elect to add additional domestic Subsidiaries as Loan Guarantors so long as each such added Loan Guarantor complies with </w:t>
      </w:r>
      <w:r>
        <w:rPr>
          <w:rFonts w:ascii="Arial" w:cs="Arial" w:eastAsia="Arial" w:hAnsi="Arial"/>
          <w:sz w:val="20"/>
          <w:szCs w:val="20"/>
          <w:u w:val="single" w:color="auto"/>
          <w:color w:val="auto"/>
        </w:rPr>
        <w:t>Section 5.09</w:t>
      </w:r>
      <w:r>
        <w:rPr>
          <w:rFonts w:ascii="Arial" w:cs="Arial" w:eastAsia="Arial" w:hAnsi="Arial"/>
          <w:sz w:val="20"/>
          <w:szCs w:val="20"/>
          <w:color w:val="auto"/>
        </w:rPr>
        <w:t xml:space="preserve"> of this Agreement as if it were a newly acquired wholly-owned Material Domestic Subsidiary at the time of such designation.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Guaranty</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the Borrower and each Loan Guarantor and their respective successors and assigns.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 material adverse effect on (a) the business, assets, operations, or financial condition of the Borrower and its Subsidiaries taken as a whole, (b) the ability of any Loan Party to perform any of its material obligations under the Loan Documents to which it is a party, (c) any material portion of the Collateral, or the Administrative Agent’s Liens (on behalf of itself and the Lenders) on any material portion of the Collateral or the priority of such Liens (in each case subject to Liens permitted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or (d) the rights of or benefits available to the Administrative Agent, the Issuing Banks or the Lenders thereunder.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means (i) any domestic Subsidiary of the Borrower whose total assets, as of any date of determination, have a book value equal to or greater than $30 million, and (ii) any domestic Subsidiary of the Borrower having a direct Subsidiary that is a Material Domestic Subsidiary or Material Foreign Subsidiary.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Foreign Subsidiary</w:t>
      </w:r>
      <w:r>
        <w:rPr>
          <w:rFonts w:ascii="Arial" w:cs="Arial" w:eastAsia="Arial" w:hAnsi="Arial"/>
          <w:sz w:val="20"/>
          <w:szCs w:val="20"/>
          <w:color w:val="auto"/>
        </w:rPr>
        <w:t>” means any foreign Subsidiary of the Borrower whose total assets, as of any date of determination, have a book value equal to or greater than $30 million.</w:t>
      </w:r>
    </w:p>
    <w:p>
      <w:pPr>
        <w:spacing w:after="0" w:line="17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the Loans and Letters of Credit), or any obligations under Swap Agreements, of any one or more of the Borrower and its Subsidiaries in an aggregate principal amount exceeding $15 million. For purposes of determining Material Indebtedness, the aggregate principal amount of “obligations” of the Borrower or any Subsidiary in respect of any Swap</w:t>
      </w:r>
    </w:p>
    <w:p>
      <w:pPr>
        <w:sectPr>
          <w:pgSz w:w="11900" w:h="16838" w:orient="portrait"/>
          <w:cols w:equalWidth="0" w:num="1">
            <w:col w:w="11420"/>
          </w:cols>
          <w:pgMar w:left="240" w:top="595" w:right="2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0"/>
          <w:szCs w:val="20"/>
          <w:color w:val="auto"/>
        </w:rPr>
        <w:t>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the earliest to occur of (a) November 21, 2022, (b) any earlier date on which the Commitments are reduced to zero or otherwise terminated pursuant to the terms hereof and (c) the date that the Loans, if any, are declared due and payable pursuant to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individual Lenders may elect to extend the Maturity Date applicable to their Loans and Commitments pursuant to the terms and conditions of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Liability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means, for any period, the consolidated net income (or loss) of the Borrower and its Subsidiaries,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there shall be excluded from such net income (to the extent otherwise included therein), without duplication: (a) the income (or deficit) of any Person accrued prior to the date it becomes a Subsidiary or is merged into or consolidated with the Borrower or any of its Subsidiaries, (b) 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9.02(d)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Non-Paying Guarantor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and “</w:t>
      </w:r>
      <w:r>
        <w:rPr>
          <w:rFonts w:ascii="Arial" w:cs="Arial" w:eastAsia="Arial" w:hAnsi="Arial"/>
          <w:sz w:val="20"/>
          <w:szCs w:val="20"/>
          <w:u w:val="single" w:color="auto"/>
          <w:color w:val="auto"/>
        </w:rPr>
        <w:t>Notes</w:t>
      </w:r>
      <w:r>
        <w:rPr>
          <w:rFonts w:ascii="Arial" w:cs="Arial" w:eastAsia="Arial" w:hAnsi="Arial"/>
          <w:sz w:val="20"/>
          <w:szCs w:val="20"/>
          <w:color w:val="auto"/>
        </w:rPr>
        <w:t xml:space="preserve">” have the meanings assigned to such terms in </w:t>
      </w:r>
      <w:r>
        <w:rPr>
          <w:rFonts w:ascii="Arial" w:cs="Arial" w:eastAsia="Arial" w:hAnsi="Arial"/>
          <w:sz w:val="20"/>
          <w:szCs w:val="20"/>
          <w:u w:val="single" w:color="auto"/>
          <w:color w:val="auto"/>
        </w:rPr>
        <w:t>Section 2.10(e)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Increase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2.23(a)(i)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ectPr>
          <w:pgSz w:w="11900" w:h="16838" w:orient="portrait"/>
          <w:cols w:equalWidth="0" w:num="1">
            <w:col w:w="11420"/>
          </w:cols>
          <w:pgMar w:left="240" w:top="595"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Off-Balance Sheet Liability</w:t>
      </w:r>
      <w:r>
        <w:rPr>
          <w:rFonts w:ascii="Arial" w:cs="Arial" w:eastAsia="Arial" w:hAnsi="Arial"/>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with respect to any Lender, any Person as to which such Lender is, directly or indirectly, a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Paying Guarantor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in which each of the following conditions is satisfied:</w:t>
      </w:r>
    </w:p>
    <w:p>
      <w:pPr>
        <w:spacing w:after="0" w:line="216" w:lineRule="exact"/>
        <w:rPr>
          <w:sz w:val="20"/>
          <w:szCs w:val="20"/>
          <w:color w:val="auto"/>
        </w:rPr>
      </w:pPr>
    </w:p>
    <w:p>
      <w:pPr>
        <w:ind w:firstLine="656"/>
        <w:spacing w:after="0" w:line="260" w:lineRule="auto"/>
        <w:tabs>
          <w:tab w:leader="none" w:pos="1088"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Person or business which is the subject of such Acquisition is in a similar or complimentary line of business as those of the Borrower and its Subsidiaries on the Effective Date;</w:t>
      </w:r>
    </w:p>
    <w:p>
      <w:pPr>
        <w:spacing w:after="0" w:line="176" w:lineRule="exact"/>
        <w:rPr>
          <w:rFonts w:ascii="Arial" w:cs="Arial" w:eastAsia="Arial" w:hAnsi="Arial"/>
          <w:sz w:val="20"/>
          <w:szCs w:val="20"/>
          <w:color w:val="auto"/>
        </w:rPr>
      </w:pPr>
    </w:p>
    <w:p>
      <w:pPr>
        <w:ind w:firstLine="656"/>
        <w:spacing w:after="0" w:line="260" w:lineRule="auto"/>
        <w:tabs>
          <w:tab w:leader="none" w:pos="1099"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governmental, corporate and material third-party approvals and consents necessary in connection with such Acquisition shall have been obtained and be in full force and effect;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170"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w:t>
      </w:r>
      <w:r>
        <w:rPr>
          <w:rFonts w:ascii="Arial" w:cs="Arial" w:eastAsia="Arial" w:hAnsi="Arial"/>
          <w:sz w:val="20"/>
          <w:szCs w:val="20"/>
          <w:u w:val="single" w:color="auto"/>
          <w:color w:val="auto"/>
        </w:rPr>
        <w:t>Section 5.09</w:t>
      </w:r>
      <w:r>
        <w:rPr>
          <w:rFonts w:ascii="Arial" w:cs="Arial" w:eastAsia="Arial" w:hAnsi="Arial"/>
          <w:sz w:val="20"/>
          <w:szCs w:val="20"/>
          <w:color w:val="auto"/>
        </w:rPr>
        <w:t xml:space="preserve">, with such Person’s Equity Interests being pledged as Collateral to the extent required by </w:t>
      </w:r>
      <w:r>
        <w:rPr>
          <w:rFonts w:ascii="Arial" w:cs="Arial" w:eastAsia="Arial" w:hAnsi="Arial"/>
          <w:sz w:val="20"/>
          <w:szCs w:val="20"/>
          <w:u w:val="single" w:color="auto"/>
          <w:color w:val="auto"/>
        </w:rPr>
        <w:t>Section 5.09</w:t>
      </w:r>
      <w:r>
        <w:rPr>
          <w:rFonts w:ascii="Arial" w:cs="Arial" w:eastAsia="Arial" w:hAnsi="Arial"/>
          <w:sz w:val="20"/>
          <w:szCs w:val="20"/>
          <w:color w:val="auto"/>
        </w:rPr>
        <w:t>;</w:t>
      </w:r>
    </w:p>
    <w:p>
      <w:pPr>
        <w:sectPr>
          <w:pgSz w:w="11900" w:h="16838" w:orient="portrait"/>
          <w:cols w:equalWidth="0" w:num="1">
            <w:col w:w="11420"/>
          </w:cols>
          <w:pgMar w:left="240" w:top="595" w:right="239" w:bottom="1440" w:gutter="0" w:footer="0" w:header="0"/>
        </w:sectPr>
      </w:pPr>
    </w:p>
    <w:bookmarkStart w:id="139" w:name="page140"/>
    <w:bookmarkEnd w:id="139"/>
    <w:p>
      <w:pPr>
        <w:jc w:val="both"/>
        <w:ind w:firstLine="656"/>
        <w:spacing w:after="0" w:line="250"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56"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107" w:val="left"/>
        </w:tabs>
        <w:numPr>
          <w:ilvl w:val="0"/>
          <w:numId w:val="35"/>
        </w:numPr>
        <w:rPr>
          <w:rFonts w:ascii="Arial" w:cs="Arial" w:eastAsia="Arial" w:hAnsi="Arial"/>
          <w:sz w:val="20"/>
          <w:szCs w:val="20"/>
          <w:color w:val="auto"/>
        </w:rPr>
      </w:pPr>
      <w:r>
        <w:rPr>
          <w:rFonts w:ascii="Arial" w:cs="Arial" w:eastAsia="Arial" w:hAnsi="Arial"/>
          <w:sz w:val="20"/>
          <w:szCs w:val="20"/>
          <w:color w:val="auto"/>
        </w:rPr>
        <w:t>after giving effect to such Acquisition (including the incurrence, assumption or acquisition of any Indebtedness in connection therewith) the Total Leverage Ratio, calculated on a pro forma basis as if such Acquisition had been consummated at the beginning of such period, shall not exceed 2.50:1.00.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1060" w:hanging="404"/>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Liens imposed by law for taxes that are not yet due or are being contested in compliance with </w:t>
      </w:r>
      <w:r>
        <w:rPr>
          <w:rFonts w:ascii="Arial" w:cs="Arial" w:eastAsia="Arial" w:hAnsi="Arial"/>
          <w:sz w:val="20"/>
          <w:szCs w:val="20"/>
          <w:u w:val="single" w:color="auto"/>
          <w:color w:val="auto"/>
        </w:rPr>
        <w:t>Section 5.04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316" w:lineRule="auto"/>
        <w:tabs>
          <w:tab w:leader="none" w:pos="10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carriers’, warehousemen’s, mechanics’, materialmen’s, repairmen’s and other like Liens imposed by law, arising in the ordinary course of business and securing obligations that are not overdue by more than 60 days or are being contested in compliance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firstLine="656"/>
        <w:spacing w:after="0" w:line="260" w:lineRule="auto"/>
        <w:tabs>
          <w:tab w:leader="none" w:pos="121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w:t>
      </w:r>
    </w:p>
    <w:p>
      <w:pPr>
        <w:spacing w:after="0" w:line="176" w:lineRule="exact"/>
        <w:rPr>
          <w:rFonts w:ascii="Arial" w:cs="Arial" w:eastAsia="Arial" w:hAnsi="Arial"/>
          <w:sz w:val="20"/>
          <w:szCs w:val="20"/>
          <w:color w:val="auto"/>
        </w:rPr>
      </w:pPr>
    </w:p>
    <w:p>
      <w:pPr>
        <w:ind w:firstLine="656"/>
        <w:spacing w:after="0" w:line="260" w:lineRule="auto"/>
        <w:tabs>
          <w:tab w:leader="none" w:pos="1126"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judgment liens in respect of judgments that do not constitute an Event of Default under </w:t>
      </w:r>
      <w:r>
        <w:rPr>
          <w:rFonts w:ascii="Arial" w:cs="Arial" w:eastAsia="Arial" w:hAnsi="Arial"/>
          <w:sz w:val="20"/>
          <w:szCs w:val="20"/>
          <w:u w:val="single" w:color="auto"/>
          <w:color w:val="auto"/>
        </w:rPr>
        <w:t>clause (k)</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1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Liens on any interest or title of a lessor in property leased by the Borrower or any Subsidiary;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the term “Permitted Encumbrances” shall not include any Lien securing Indebtedness.</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pension benefit plan (other than a Multiemployer Plan) subject to the provisions of Title IV of ERISA or Section 412 of the Code or Section 302 of ERISA, and in respect of which</w:t>
      </w:r>
    </w:p>
    <w:p>
      <w:pPr>
        <w:sectPr>
          <w:pgSz w:w="11900" w:h="16838" w:orient="portrait"/>
          <w:cols w:equalWidth="0" w:num="1">
            <w:col w:w="11420"/>
          </w:cols>
          <w:pgMar w:left="240" w:top="595" w:right="239" w:bottom="1440" w:gutter="0" w:footer="0" w:header="0"/>
        </w:sectPr>
      </w:pPr>
    </w:p>
    <w:bookmarkStart w:id="140" w:name="page141"/>
    <w:bookmarkEnd w:id="140"/>
    <w:p>
      <w:pPr>
        <w:jc w:val="both"/>
        <w:spacing w:after="0" w:line="260" w:lineRule="auto"/>
        <w:rPr>
          <w:sz w:val="20"/>
          <w:szCs w:val="20"/>
          <w:color w:val="auto"/>
        </w:rPr>
      </w:pPr>
      <w:r>
        <w:rPr>
          <w:rFonts w:ascii="Arial" w:cs="Arial" w:eastAsia="Arial" w:hAnsi="Arial"/>
          <w:sz w:val="20"/>
          <w:szCs w:val="20"/>
          <w:color w:val="auto"/>
        </w:rPr>
        <w:t>the Borrower or any ERISA Affiliate is (or, if such plan were terminated, would under Section 4069 of ERISA be deemed to be) an “employer” as defined in Section 3(5) of ERISA.</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5.01(e)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Swap Obligation, each Loan Party that has total assets exceeding $10 million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 or any combination thereof (as the context requires).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Period</w:t>
      </w:r>
      <w:r>
        <w:rPr>
          <w:rFonts w:ascii="Arial" w:cs="Arial" w:eastAsia="Arial" w:hAnsi="Arial"/>
          <w:sz w:val="20"/>
          <w:szCs w:val="20"/>
          <w:color w:val="auto"/>
        </w:rPr>
        <w:t>” has the meaning assigned to such term in the definition of “EBITDA”.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4.01(m)</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Fund</w:t>
      </w:r>
      <w:r>
        <w:rPr>
          <w:rFonts w:ascii="Arial" w:cs="Arial" w:eastAsia="Arial" w:hAnsi="Arial"/>
          <w:sz w:val="19"/>
          <w:szCs w:val="19"/>
          <w:color w:val="auto"/>
        </w:rPr>
        <w:t>” means with respect to any Person that is an investment fund, any other investment fund that invests in securities and that is managed or advised by the same investment advisor as such Person or by an Affiliate of such investment advisor.</w:t>
      </w:r>
    </w:p>
    <w:p>
      <w:pPr>
        <w:spacing w:after="0" w:line="1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Indemnitee Parties</w:t>
      </w:r>
      <w:r>
        <w:rPr>
          <w:rFonts w:ascii="Arial" w:cs="Arial" w:eastAsia="Arial" w:hAnsi="Arial"/>
          <w:sz w:val="20"/>
          <w:szCs w:val="20"/>
          <w:color w:val="auto"/>
        </w:rPr>
        <w:t>” shall mean with respect to any specified Indemnitee, such Indemnitee’s controlled Affiliates and the respective officers, directors, employees, advisors, agents or other representatives of such Indemnitee or such Indemnitee’s controlled Affiliates acting at the direction of such Indemnitee.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releasing, spilling, leaking, pumping, pouring, emitting, emptying, discharging, injecting, escaping, leaching, migrating, disposing or dumping of any substance into the environment.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Requested Increase Amount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2.23(a)(i)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Requested Increase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2.23(a)(i)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(other than Defaulting Lenders) having Credit Exposure and unused Commitments representing more than 50% of the sum of the total Credit Exposure and unused Commitments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with respect to any Person, (a) the charter, articles or certificate of organization or incorporation and bylaws or operating, management or partnership agreement, or other</w:t>
      </w:r>
    </w:p>
    <w:p>
      <w:pPr>
        <w:sectPr>
          <w:pgSz w:w="11900" w:h="16838" w:orient="portrait"/>
          <w:cols w:equalWidth="0" w:num="1">
            <w:col w:w="11420"/>
          </w:cols>
          <w:pgMar w:left="240" w:top="595" w:right="239" w:bottom="1440" w:gutter="0" w:footer="0" w:header="0"/>
        </w:sectPr>
      </w:pPr>
    </w:p>
    <w:bookmarkStart w:id="141" w:name="page142"/>
    <w:bookmarkEnd w:id="141"/>
    <w:p>
      <w:pPr>
        <w:jc w:val="both"/>
        <w:spacing w:after="0" w:line="246" w:lineRule="auto"/>
        <w:rPr>
          <w:sz w:val="20"/>
          <w:szCs w:val="20"/>
          <w:color w:val="auto"/>
        </w:rPr>
      </w:pPr>
      <w:r>
        <w:rPr>
          <w:rFonts w:ascii="Arial" w:cs="Arial" w:eastAsia="Arial" w:hAnsi="Arial"/>
          <w:sz w:val="20"/>
          <w:szCs w:val="20"/>
          <w:color w:val="auto"/>
        </w:rPr>
        <w:t>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Standard &amp; Poor’s Financial Services LLC business.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which is the subject or target of any Sanctions.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xml:space="preserve">”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majority-owned or controlled by any such Person or Persons described in the foregoing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means all Obligations, together with all (i) Banking Services Obligations and (ii) 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the Borrower in a written statement (including by way of email) to the Administrative Agent as constituting Secured Obligations (such Swap Agreement Obligations, “</w:t>
      </w:r>
      <w:r>
        <w:rPr>
          <w:rFonts w:ascii="Arial" w:cs="Arial" w:eastAsia="Arial" w:hAnsi="Arial"/>
          <w:sz w:val="19"/>
          <w:szCs w:val="19"/>
          <w:u w:val="single" w:color="auto"/>
          <w:color w:val="auto"/>
        </w:rPr>
        <w:t>Secured Swap Agreement Obligations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the Administrative Agent, each Lender, each Issuing Bank and each other provider of Secured Obligations as permitted pursuant to the definition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Swap Agreement Obligations</w:t>
      </w:r>
      <w:r>
        <w:rPr>
          <w:rFonts w:ascii="Arial" w:cs="Arial" w:eastAsia="Arial" w:hAnsi="Arial"/>
          <w:sz w:val="20"/>
          <w:szCs w:val="20"/>
          <w:color w:val="auto"/>
        </w:rPr>
        <w:t>” has the meaning given to such term in the definition of “Secured Obligations.”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that certain Pledge and Security Agreement, dated as of the date hereof, among the Borrower, each Domestic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ectPr>
          <w:pgSz w:w="11900" w:h="16838" w:orient="portrait"/>
          <w:cols w:equalWidth="0" w:num="1">
            <w:col w:w="11420"/>
          </w:cols>
          <w:pgMar w:left="240" w:top="595" w:right="239" w:bottom="1440" w:gutter="0" w:footer="0" w:header="0"/>
        </w:sectPr>
      </w:pPr>
    </w:p>
    <w:bookmarkStart w:id="142" w:name="page143"/>
    <w:bookmarkEnd w:id="14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Default</w:t>
      </w:r>
      <w:r>
        <w:rPr>
          <w:rFonts w:ascii="Arial" w:cs="Arial" w:eastAsia="Arial" w:hAnsi="Arial"/>
          <w:sz w:val="20"/>
          <w:szCs w:val="20"/>
          <w:color w:val="auto"/>
        </w:rPr>
        <w:t xml:space="preserve">” means an Event of Default under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of Article VII.</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of a Person means any Indebtedness of such Person the payment of which is at all times subordinated to payment of the Obligations in accordance with the terms set forth on Schedule 1.01.</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direct or indirect subsidiary of the Borrower or a Loan Party, as applicable.</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no phantom stock or similar plan providing for payments only on account of services provided by current or former directors, officers, employees or consultants of the Borrower or the Subsidiaries shall be a Swap Agreement.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 Obligations</w:t>
      </w:r>
      <w:r>
        <w:rPr>
          <w:rFonts w:ascii="Arial" w:cs="Arial" w:eastAsia="Arial" w:hAnsi="Arial"/>
          <w:sz w:val="20"/>
          <w:szCs w:val="20"/>
          <w:color w:val="auto"/>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(b) any and all cancellations, buy backs, reversals, terminations or assignments of any such Swap Agreement transaction.</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ectPr>
          <w:pgSz w:w="11900" w:h="16838" w:orient="portrait"/>
          <w:cols w:equalWidth="0" w:num="1">
            <w:col w:w="11420"/>
          </w:cols>
          <w:pgMar w:left="240" w:top="595" w:right="239" w:bottom="1440" w:gutter="0" w:footer="0" w:header="0"/>
        </w:sectPr>
      </w:pPr>
    </w:p>
    <w:bookmarkStart w:id="143" w:name="page144"/>
    <w:bookmarkEnd w:id="143"/>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Funded Indebtedness</w:t>
      </w:r>
      <w:r>
        <w:rPr>
          <w:rFonts w:ascii="Arial" w:cs="Arial" w:eastAsia="Arial" w:hAnsi="Arial"/>
          <w:sz w:val="20"/>
          <w:szCs w:val="20"/>
          <w:color w:val="auto"/>
        </w:rPr>
        <w:t>” means, at any date, the aggregate principal amount of all Funded Indebtedness of the Borrower and its Subsidiaries at such date, determined on a consolidated basis in accordance with GAAP.</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means, as of any date, the ratio of (a) Total Funded Indebtedness on such date to (b) EBITDA for the period of four consecutive fiscal quarters ended on such date (or, if such date is not the last day of a fiscal quarter, ended on the last day of the fiscal quarter most recently ended prior to such date).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means, as of any date, the ratio of (a) Total Funded Indebtedness on such date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aggregate amount of Unrestricted Cash and Cash Equivalents not to exceed $50 million to (b) EBITDA for the period of four consecutive fiscal quarters ended on such date (or, if such date is not the last day of a fiscal quarter, ended on the last day of the fiscal quarter most recently ended prior to such date).</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the borrowing of Loans and other credit extensions, the Refinancing, the use of the proceeds thereof and the issuance of Letters of Credit hereunder.</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Pricing Transactions</w:t>
      </w:r>
      <w:r>
        <w:rPr>
          <w:rFonts w:ascii="Arial" w:cs="Arial" w:eastAsia="Arial" w:hAnsi="Arial"/>
          <w:sz w:val="19"/>
          <w:szCs w:val="19"/>
          <w:color w:val="auto"/>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Unliquidated Obligations</w:t>
      </w:r>
      <w:r>
        <w:rPr>
          <w:rFonts w:ascii="Arial" w:cs="Arial" w:eastAsia="Arial" w:hAnsi="Arial"/>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at any date, the cash and Cash Equivalents of the Loan Parties that are (or would be) included on the balance sheet of the Borrower as of such day which are not identified on the balance sheet of the Loan Parties as “restricted” in accordance with GAAP and which are free and clear of all Liens (other than non-consensual liens and liens in favor of the Secured Parties pursuant to the Collateral Documents to secure the Secured Obligations, in each case, permitted under Section 6.02).</w:t>
      </w:r>
    </w:p>
    <w:p>
      <w:pPr>
        <w:sectPr>
          <w:pgSz w:w="11900" w:h="16838" w:orient="portrait"/>
          <w:cols w:equalWidth="0" w:num="1">
            <w:col w:w="11420"/>
          </w:cols>
          <w:pgMar w:left="240" w:top="595"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2.17(f)(ii)</w:t>
      </w:r>
      <w:r>
        <w:rPr>
          <w:rFonts w:ascii="Arial" w:cs="Arial" w:eastAsia="Arial" w:hAnsi="Arial"/>
          <w:sz w:val="20"/>
          <w:szCs w:val="20"/>
          <w:color w:val="auto"/>
        </w:rPr>
        <w:t>(B)(3).</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Type (</w:t>
      </w:r>
      <w:r>
        <w:rPr>
          <w:rFonts w:ascii="Arial" w:cs="Arial" w:eastAsia="Arial" w:hAnsi="Arial"/>
          <w:sz w:val="20"/>
          <w:szCs w:val="20"/>
          <w:i w:val="1"/>
          <w:iCs w:val="1"/>
          <w:color w:val="auto"/>
        </w:rPr>
        <w:t>e.g</w:t>
      </w:r>
      <w:r>
        <w:rPr>
          <w:rFonts w:ascii="Arial" w:cs="Arial" w:eastAsia="Arial" w:hAnsi="Arial"/>
          <w:sz w:val="20"/>
          <w:szCs w:val="20"/>
          <w:color w:val="auto"/>
        </w:rPr>
        <w:t>., a “Eurodollar Loan”).</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 and restatement,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Accounting Terms; GAAP</w:t>
      </w:r>
      <w:r>
        <w:rPr>
          <w:rFonts w:ascii="Arial" w:cs="Arial" w:eastAsia="Arial" w:hAnsi="Arial"/>
          <w:sz w:val="20"/>
          <w:szCs w:val="20"/>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w:t>
      </w:r>
    </w:p>
    <w:p>
      <w:pPr>
        <w:sectPr>
          <w:pgSz w:w="11900" w:h="16838" w:orient="portrait"/>
          <w:cols w:equalWidth="0" w:num="1">
            <w:col w:w="11420"/>
          </w:cols>
          <w:pgMar w:left="240" w:top="595" w:right="239" w:bottom="1440" w:gutter="0" w:footer="0" w:header="0"/>
        </w:sectPr>
      </w:pPr>
    </w:p>
    <w:bookmarkStart w:id="145" w:name="page146"/>
    <w:bookmarkEnd w:id="145"/>
    <w:p>
      <w:pPr>
        <w:jc w:val="both"/>
        <w:spacing w:after="0" w:line="291" w:lineRule="auto"/>
        <w:rPr>
          <w:sz w:val="20"/>
          <w:szCs w:val="20"/>
          <w:color w:val="auto"/>
        </w:rPr>
      </w:pPr>
      <w:r>
        <w:rPr>
          <w:rFonts w:ascii="Arial" w:cs="Arial" w:eastAsia="Arial" w:hAnsi="Arial"/>
          <w:sz w:val="18"/>
          <w:szCs w:val="18"/>
          <w:color w:val="auto"/>
        </w:rPr>
        <w:t>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Status of Obligations</w:t>
      </w:r>
      <w:r>
        <w:rPr>
          <w:rFonts w:ascii="Arial" w:cs="Arial" w:eastAsia="Arial" w:hAnsi="Arial"/>
          <w:sz w:val="19"/>
          <w:szCs w:val="19"/>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Commitments</w:t>
      </w:r>
      <w:r>
        <w:rPr>
          <w:rFonts w:ascii="Arial" w:cs="Arial" w:eastAsia="Arial" w:hAnsi="Arial"/>
          <w:sz w:val="20"/>
          <w:szCs w:val="20"/>
          <w:color w:val="auto"/>
        </w:rPr>
        <w:t>. Subject to the terms and conditions set forth herein,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16" w:lineRule="exact"/>
        <w:rPr>
          <w:sz w:val="20"/>
          <w:szCs w:val="20"/>
          <w:color w:val="auto"/>
        </w:rPr>
      </w:pPr>
    </w:p>
    <w:p>
      <w:pPr>
        <w:jc w:val="both"/>
        <w:ind w:left="740" w:right="20" w:firstLine="1294"/>
        <w:spacing w:after="0" w:line="246" w:lineRule="auto"/>
        <w:tabs>
          <w:tab w:leader="none" w:pos="2504"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Commitments of the Lenders are several and no Lender shall be responsible for any other Lender’s failure to make Loans as required.</w:t>
      </w:r>
    </w:p>
    <w:p>
      <w:pPr>
        <w:spacing w:after="0" w:line="191" w:lineRule="exact"/>
        <w:rPr>
          <w:rFonts w:ascii="Arial" w:cs="Arial" w:eastAsia="Arial" w:hAnsi="Arial"/>
          <w:sz w:val="20"/>
          <w:szCs w:val="20"/>
          <w:color w:val="auto"/>
        </w:rPr>
      </w:pPr>
    </w:p>
    <w:p>
      <w:pPr>
        <w:jc w:val="both"/>
        <w:ind w:left="740" w:firstLine="1294"/>
        <w:spacing w:after="0" w:line="278" w:lineRule="auto"/>
        <w:tabs>
          <w:tab w:leader="none" w:pos="24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Borrowing shall be comprised entirely of ABR Loans or Eurodollar Loans as the Borrower may request in accordance herewith. Each Lender at its option may make any Eurodollar Loan by causing any domestic or foreign branch or Affiliate of such Lender to make such Loan (and in the case of an Affiliate,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exercise of such option shall not affect the obligation of the Borrower to repay such Loan in accordance with the terms of this Agreement.</w:t>
      </w:r>
    </w:p>
    <w:p>
      <w:pPr>
        <w:spacing w:after="0" w:line="165" w:lineRule="exact"/>
        <w:rPr>
          <w:rFonts w:ascii="Arial" w:cs="Arial" w:eastAsia="Arial" w:hAnsi="Arial"/>
          <w:sz w:val="18"/>
          <w:szCs w:val="18"/>
          <w:color w:val="auto"/>
        </w:rPr>
      </w:pPr>
    </w:p>
    <w:p>
      <w:pPr>
        <w:jc w:val="both"/>
        <w:ind w:left="740" w:firstLine="1294"/>
        <w:spacing w:after="0" w:line="246" w:lineRule="auto"/>
        <w:tabs>
          <w:tab w:leader="none" w:pos="25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At the commencement of each Interest Period for any Eurodollar Borrowing, such Borrowing shall be in an aggregate amount that is an integral multiple of $500,000 and not less than $1 million. At the time that each ABR Borrowing is made, such Borrowing shall be in an aggregate amount that is an integral multiple of $100,000 and not less than $1 million; </w:t>
      </w:r>
      <w:r>
        <w:rPr>
          <w:rFonts w:ascii="Arial" w:cs="Arial" w:eastAsia="Arial" w:hAnsi="Arial"/>
          <w:sz w:val="20"/>
          <w:szCs w:val="20"/>
          <w:u w:val="single" w:color="auto"/>
          <w:color w:val="auto"/>
        </w:rPr>
        <w:t>provided</w:t>
      </w:r>
      <w:r>
        <w:rPr>
          <w:rFonts w:ascii="Arial" w:cs="Arial" w:eastAsia="Arial" w:hAnsi="Arial"/>
          <w:sz w:val="20"/>
          <w:szCs w:val="20"/>
          <w:color w:val="auto"/>
        </w:rPr>
        <w:t>, that an ABR Borrowing may be in an aggregate amount that is equal to the entire unused</w:t>
      </w:r>
    </w:p>
    <w:p>
      <w:pPr>
        <w:sectPr>
          <w:pgSz w:w="11900" w:h="16838" w:orient="portrait"/>
          <w:cols w:equalWidth="0" w:num="1">
            <w:col w:w="11420"/>
          </w:cols>
          <w:pgMar w:left="240" w:top="595" w:right="239" w:bottom="1440" w:gutter="0" w:footer="0" w:header="0"/>
        </w:sectPr>
      </w:pPr>
    </w:p>
    <w:bookmarkStart w:id="146" w:name="page147"/>
    <w:bookmarkEnd w:id="146"/>
    <w:p>
      <w:pPr>
        <w:jc w:val="both"/>
        <w:ind w:left="740"/>
        <w:spacing w:after="0" w:line="250" w:lineRule="auto"/>
        <w:rPr>
          <w:sz w:val="20"/>
          <w:szCs w:val="20"/>
          <w:color w:val="auto"/>
        </w:rPr>
      </w:pPr>
      <w:r>
        <w:rPr>
          <w:rFonts w:ascii="Arial" w:cs="Arial" w:eastAsia="Arial" w:hAnsi="Arial"/>
          <w:sz w:val="20"/>
          <w:szCs w:val="20"/>
          <w:color w:val="auto"/>
        </w:rPr>
        <w:t xml:space="preserve">balance of the total Commitments or that is required to finance the reimbursement of an LC Disbursement as contemplated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2.06(e)</w:t>
      </w:r>
      <w:r>
        <w:rPr>
          <w:rFonts w:ascii="Arial" w:cs="Arial" w:eastAsia="Arial" w:hAnsi="Arial"/>
          <w:sz w:val="20"/>
          <w:szCs w:val="20"/>
          <w:color w:val="auto"/>
        </w:rPr>
        <w:t xml:space="preserve">. Borrowings of more than one Type may be outstanding at the same time; </w:t>
      </w:r>
      <w:r>
        <w:rPr>
          <w:rFonts w:ascii="Arial" w:cs="Arial" w:eastAsia="Arial" w:hAnsi="Arial"/>
          <w:sz w:val="20"/>
          <w:szCs w:val="20"/>
          <w:u w:val="single" w:color="auto"/>
          <w:color w:val="auto"/>
        </w:rPr>
        <w:t>provided</w:t>
      </w:r>
      <w:r>
        <w:rPr>
          <w:rFonts w:ascii="Arial" w:cs="Arial" w:eastAsia="Arial" w:hAnsi="Arial"/>
          <w:sz w:val="20"/>
          <w:szCs w:val="20"/>
          <w:color w:val="auto"/>
        </w:rPr>
        <w:t>, that there shall not at any time be more than a total of eight (8) Eurodollar Borrowings outstanding.</w:t>
      </w:r>
    </w:p>
    <w:p>
      <w:pPr>
        <w:spacing w:after="0" w:line="186" w:lineRule="exact"/>
        <w:rPr>
          <w:sz w:val="20"/>
          <w:szCs w:val="20"/>
          <w:color w:val="auto"/>
        </w:rPr>
      </w:pPr>
    </w:p>
    <w:p>
      <w:pPr>
        <w:ind w:left="740" w:right="20" w:firstLine="1294"/>
        <w:spacing w:after="0" w:line="316" w:lineRule="auto"/>
        <w:tabs>
          <w:tab w:leader="none" w:pos="24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To request a Borrowing, the Borrower shall notify the Administrative Agent of such request either in writing (delivered by hand or fax) in a form approved by the Administrative Agent and signed by the Borrower or by telephone (such request a “</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(a) in the case of a Eurodollar Borrowing, not later than 11:00 a.m., New York City time, three Business Days before the date of the proposed Borrowing or (b) in the case of an ABR Borrowing, not later than 1:00 p.m., New York City time, on the date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an ABR Borrowing to finance the reimbursement of an LC Disbursement as contemplated by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may be given not later than 10:00 a.m., New York City time, on the date of the proposed Borrowing. Each such telephonic Borrowing Request shall be irrevocable and shall be confirmed promptly by hand delivery or fax to the Administrative Agent of a written Borrowing Request in a form approved by the Administrative Agent and signed by the Borrower. Each such telephonic and written Borrowing Request shall specify the following information in compliance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the aggregate amount of the requested Borrowing and a breakdown of the separate wires comprising such</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Borrowing;</w:t>
      </w:r>
    </w:p>
    <w:p>
      <w:pPr>
        <w:spacing w:after="0" w:line="200" w:lineRule="exact"/>
        <w:rPr>
          <w:sz w:val="20"/>
          <w:szCs w:val="20"/>
          <w:color w:val="auto"/>
        </w:rPr>
      </w:pPr>
    </w:p>
    <w:p>
      <w:pPr>
        <w:ind w:left="2380" w:hanging="427"/>
        <w:spacing w:after="0"/>
        <w:tabs>
          <w:tab w:leader="none" w:pos="2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Eurodollar Borrowing; and</w:t>
      </w:r>
    </w:p>
    <w:p>
      <w:pPr>
        <w:spacing w:after="0" w:line="215" w:lineRule="exact"/>
        <w:rPr>
          <w:rFonts w:ascii="Arial" w:cs="Arial" w:eastAsia="Arial" w:hAnsi="Arial"/>
          <w:sz w:val="20"/>
          <w:szCs w:val="20"/>
          <w:color w:val="auto"/>
        </w:rPr>
      </w:pPr>
    </w:p>
    <w:p>
      <w:pPr>
        <w:ind w:left="660" w:firstLine="1293"/>
        <w:spacing w:after="0" w:line="260" w:lineRule="auto"/>
        <w:tabs>
          <w:tab w:leader="none" w:pos="2436"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w:t>
      </w:r>
      <w:r>
        <w:rPr>
          <w:rFonts w:ascii="Arial" w:cs="Arial" w:eastAsia="Arial" w:hAnsi="Arial"/>
          <w:sz w:val="18"/>
          <w:szCs w:val="18"/>
          <w:u w:val="single" w:color="auto"/>
          <w:color w:val="auto"/>
        </w:rPr>
        <w:t>Section 2.03</w:t>
      </w:r>
      <w:r>
        <w:rPr>
          <w:rFonts w:ascii="Arial" w:cs="Arial" w:eastAsia="Arial" w:hAnsi="Arial"/>
          <w:sz w:val="18"/>
          <w:szCs w:val="18"/>
          <w:color w:val="auto"/>
        </w:rPr>
        <w:t>, the Administrative Agent shall advise each Lender of the details thereof and of the amount of such Lender’s Loan to be made as part of the requested Borrowing.</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color w:val="auto"/>
        </w:rPr>
        <w:t>[Section intentionally omitted].</w:t>
      </w:r>
    </w:p>
    <w:p>
      <w:pPr>
        <w:spacing w:after="0" w:line="21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color w:val="auto"/>
        </w:rPr>
        <w:t>[Section intentionally omitted].</w:t>
      </w:r>
    </w:p>
    <w:p>
      <w:pPr>
        <w:spacing w:after="0" w:line="21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50" w:lineRule="auto"/>
        <w:tabs>
          <w:tab w:leader="none" w:pos="245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set forth herein, the Borrower may request the issuance of (and the Issuing Bank shall issue) Letters of Credit denominated in dollars as the applicant thereof for the support of its or its Subsidiaries’ obligations, in a form</w:t>
      </w:r>
    </w:p>
    <w:p>
      <w:pPr>
        <w:sectPr>
          <w:pgSz w:w="11900" w:h="16838" w:orient="portrait"/>
          <w:cols w:equalWidth="0" w:num="1">
            <w:col w:w="11420"/>
          </w:cols>
          <w:pgMar w:left="240" w:top="595" w:right="239" w:bottom="1440" w:gutter="0" w:footer="0" w:header="0"/>
        </w:sectPr>
      </w:pPr>
    </w:p>
    <w:bookmarkStart w:id="147" w:name="page148"/>
    <w:bookmarkEnd w:id="147"/>
    <w:p>
      <w:pPr>
        <w:jc w:val="both"/>
        <w:spacing w:after="0" w:line="268" w:lineRule="auto"/>
        <w:rPr>
          <w:sz w:val="20"/>
          <w:szCs w:val="20"/>
          <w:color w:val="auto"/>
        </w:rPr>
      </w:pPr>
      <w:r>
        <w:rPr>
          <w:rFonts w:ascii="Arial" w:cs="Arial" w:eastAsia="Arial" w:hAnsi="Arial"/>
          <w:sz w:val="18"/>
          <w:szCs w:val="18"/>
          <w:color w:val="auto"/>
        </w:rPr>
        <w:t xml:space="preserve">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Borrower will be fully responsible for the reimbursement of LC Disbursements in accordance with the terms hereof, the payment of interest thereon and the payment of fees due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regardless of the date enacted, adopted, issued or implemented</w:t>
      </w:r>
    </w:p>
    <w:p>
      <w:pPr>
        <w:spacing w:after="0" w:line="174" w:lineRule="exact"/>
        <w:rPr>
          <w:sz w:val="20"/>
          <w:szCs w:val="20"/>
          <w:color w:val="auto"/>
        </w:rPr>
      </w:pPr>
    </w:p>
    <w:p>
      <w:pPr>
        <w:jc w:val="both"/>
        <w:ind w:firstLine="1294"/>
        <w:spacing w:after="0" w:line="256" w:lineRule="auto"/>
        <w:tabs>
          <w:tab w:leader="none" w:pos="172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and whether such Letter of Credit shall contain automatic extension or renewal provisions, the amount of such Letter of Credit, the</w:t>
      </w:r>
    </w:p>
    <w:p>
      <w:pPr>
        <w:sectPr>
          <w:pgSz w:w="11900" w:h="16838" w:orient="portrait"/>
          <w:cols w:equalWidth="0" w:num="1">
            <w:col w:w="10680"/>
          </w:cols>
          <w:pgMar w:left="980" w:top="595" w:right="239" w:bottom="1440" w:gutter="0" w:footer="0" w:header="0"/>
        </w:sectPr>
      </w:pPr>
    </w:p>
    <w:bookmarkStart w:id="148" w:name="page149"/>
    <w:bookmarkEnd w:id="148"/>
    <w:p>
      <w:pPr>
        <w:jc w:val="both"/>
        <w:spacing w:after="0" w:line="276" w:lineRule="auto"/>
        <w:rPr>
          <w:sz w:val="20"/>
          <w:szCs w:val="20"/>
          <w:color w:val="auto"/>
        </w:rPr>
      </w:pPr>
      <w:r>
        <w:rPr>
          <w:rFonts w:ascii="Arial" w:cs="Arial" w:eastAsia="Arial" w:hAnsi="Arial"/>
          <w:sz w:val="18"/>
          <w:szCs w:val="18"/>
          <w:color w:val="auto"/>
        </w:rPr>
        <w:t>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$20 million and (ii) the Aggregate Credit Exposure shall not exceed the aggregate Commitments of all Lenders.</w:t>
      </w:r>
    </w:p>
    <w:p>
      <w:pPr>
        <w:spacing w:after="0" w:line="165" w:lineRule="exact"/>
        <w:rPr>
          <w:sz w:val="20"/>
          <w:szCs w:val="20"/>
          <w:color w:val="auto"/>
        </w:rPr>
      </w:pPr>
    </w:p>
    <w:p>
      <w:pPr>
        <w:jc w:val="both"/>
        <w:ind w:firstLine="1294"/>
        <w:spacing w:after="0" w:line="271" w:lineRule="auto"/>
        <w:tabs>
          <w:tab w:leader="none" w:pos="173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one-time renewal or extension thereof, including, without limitation, any automatic renewal provision, one year after such renewal or extension) and (ii) the date that is five (5) Business Days prior to the Maturity Date.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Letter of Credit shall expire at or prior to the close of business on the date that is five (5) Business Days prior to the Maturity Date if not earlier cancelled.</w:t>
      </w:r>
    </w:p>
    <w:p>
      <w:pPr>
        <w:spacing w:after="0" w:line="174" w:lineRule="exact"/>
        <w:rPr>
          <w:rFonts w:ascii="Arial" w:cs="Arial" w:eastAsia="Arial" w:hAnsi="Arial"/>
          <w:sz w:val="18"/>
          <w:szCs w:val="18"/>
          <w:color w:val="auto"/>
        </w:rPr>
      </w:pPr>
    </w:p>
    <w:p>
      <w:pPr>
        <w:jc w:val="both"/>
        <w:ind w:firstLine="1294"/>
        <w:spacing w:after="0" w:line="255" w:lineRule="auto"/>
        <w:tabs>
          <w:tab w:leader="none" w:pos="170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85" w:lineRule="exact"/>
        <w:rPr>
          <w:rFonts w:ascii="Arial" w:cs="Arial" w:eastAsia="Arial" w:hAnsi="Arial"/>
          <w:sz w:val="19"/>
          <w:szCs w:val="19"/>
          <w:color w:val="auto"/>
        </w:rPr>
      </w:pPr>
    </w:p>
    <w:p>
      <w:pPr>
        <w:jc w:val="both"/>
        <w:ind w:firstLine="1294"/>
        <w:spacing w:after="0" w:line="276" w:lineRule="auto"/>
        <w:tabs>
          <w:tab w:leader="none" w:pos="181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an Issuing Bank shall make any LC Disbursement in respect of a Letter of Credit, the Borrower shall reimburse such LC Disbursement by paying to the Administrative Agent an amount equal to such LC Disbursement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 Disbursement is not less than $500,000, the Borrower may, subject to the conditions to borrowing set forth herein, request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that such payment be financed with an ABR Borrowing in an equivalent amount and, to the extent so financed, the Borrower’s</w:t>
      </w:r>
    </w:p>
    <w:p>
      <w:pPr>
        <w:sectPr>
          <w:pgSz w:w="11900" w:h="16838" w:orient="portrait"/>
          <w:cols w:equalWidth="0" w:num="1">
            <w:col w:w="10680"/>
          </w:cols>
          <w:pgMar w:left="980" w:top="595" w:right="239" w:bottom="1440" w:gutter="0" w:footer="0" w:header="0"/>
        </w:sectPr>
      </w:pPr>
    </w:p>
    <w:bookmarkStart w:id="149" w:name="page150"/>
    <w:bookmarkEnd w:id="149"/>
    <w:p>
      <w:pPr>
        <w:jc w:val="both"/>
        <w:spacing w:after="0" w:line="270" w:lineRule="auto"/>
        <w:rPr>
          <w:sz w:val="20"/>
          <w:szCs w:val="20"/>
          <w:color w:val="auto"/>
        </w:rPr>
      </w:pPr>
      <w:r>
        <w:rPr>
          <w:rFonts w:ascii="Arial" w:cs="Arial" w:eastAsia="Arial" w:hAnsi="Arial"/>
          <w:sz w:val="18"/>
          <w:szCs w:val="18"/>
          <w:color w:val="auto"/>
        </w:rPr>
        <w:t xml:space="preserve">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w:t>
      </w:r>
    </w:p>
    <w:p>
      <w:pPr>
        <w:spacing w:after="0" w:line="177" w:lineRule="exact"/>
        <w:rPr>
          <w:sz w:val="20"/>
          <w:szCs w:val="20"/>
          <w:color w:val="auto"/>
        </w:rPr>
      </w:pPr>
    </w:p>
    <w:p>
      <w:pPr>
        <w:jc w:val="both"/>
        <w:ind w:firstLine="1294"/>
        <w:spacing w:after="0" w:line="268" w:lineRule="auto"/>
        <w:tabs>
          <w:tab w:leader="none" w:pos="167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 to reimburse LC Disbursements as provided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w:t>
      </w:r>
    </w:p>
    <w:p>
      <w:pPr>
        <w:sectPr>
          <w:pgSz w:w="11900" w:h="16838" w:orient="portrait"/>
          <w:cols w:equalWidth="0" w:num="1">
            <w:col w:w="10680"/>
          </w:cols>
          <w:pgMar w:left="980" w:top="595" w:right="239" w:bottom="1440" w:gutter="0" w:footer="0" w:header="0"/>
        </w:sectPr>
      </w:pPr>
    </w:p>
    <w:bookmarkStart w:id="150" w:name="page151"/>
    <w:bookmarkEnd w:id="150"/>
    <w:p>
      <w:pPr>
        <w:ind w:right="20"/>
        <w:spacing w:after="0" w:line="260" w:lineRule="auto"/>
        <w:rPr>
          <w:sz w:val="20"/>
          <w:szCs w:val="20"/>
          <w:color w:val="auto"/>
        </w:rPr>
      </w:pPr>
      <w:r>
        <w:rPr>
          <w:rFonts w:ascii="Arial" w:cs="Arial" w:eastAsia="Arial" w:hAnsi="Arial"/>
          <w:sz w:val="20"/>
          <w:szCs w:val="20"/>
          <w:color w:val="auto"/>
        </w:rPr>
        <w:t>any notice or information to the contrary, or refuse to accept and make payment upon such documents if such documents are not in strict compliance with the terms of such Letter of Credit.</w:t>
      </w:r>
    </w:p>
    <w:p>
      <w:pPr>
        <w:spacing w:after="0" w:line="177" w:lineRule="exact"/>
        <w:rPr>
          <w:sz w:val="20"/>
          <w:szCs w:val="20"/>
          <w:color w:val="auto"/>
        </w:rPr>
      </w:pPr>
    </w:p>
    <w:p>
      <w:pPr>
        <w:jc w:val="both"/>
        <w:ind w:firstLine="1294"/>
        <w:spacing w:after="0" w:line="278" w:lineRule="auto"/>
        <w:tabs>
          <w:tab w:leader="none" w:pos="172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fax)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to give or delay in giving such notice shall not relieve the Borrower of its obligation to reimburse such Issuing Bank and the Lenders with respect to any such LC Disbursement.</w:t>
      </w:r>
    </w:p>
    <w:p>
      <w:pPr>
        <w:spacing w:after="0" w:line="165" w:lineRule="exact"/>
        <w:rPr>
          <w:rFonts w:ascii="Arial" w:cs="Arial" w:eastAsia="Arial" w:hAnsi="Arial"/>
          <w:sz w:val="18"/>
          <w:szCs w:val="18"/>
          <w:color w:val="auto"/>
        </w:rPr>
      </w:pPr>
    </w:p>
    <w:p>
      <w:pPr>
        <w:jc w:val="both"/>
        <w:ind w:firstLine="1294"/>
        <w:spacing w:after="0" w:line="273" w:lineRule="auto"/>
        <w:tabs>
          <w:tab w:leader="none" w:pos="172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and such interest shall be payable on the date when such reimbursement is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to reimburse such Issuing Bank shall be for the account of such Lender to the extent of such payment.</w:t>
      </w:r>
    </w:p>
    <w:p>
      <w:pPr>
        <w:spacing w:after="0" w:line="169" w:lineRule="exact"/>
        <w:rPr>
          <w:rFonts w:ascii="Arial" w:cs="Arial" w:eastAsia="Arial" w:hAnsi="Arial"/>
          <w:sz w:val="18"/>
          <w:szCs w:val="18"/>
          <w:color w:val="auto"/>
        </w:rPr>
      </w:pPr>
    </w:p>
    <w:p>
      <w:pPr>
        <w:jc w:val="both"/>
        <w:ind w:firstLine="1294"/>
        <w:spacing w:after="0" w:line="271"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Replacement of an Issuing Bank</w:t>
      </w:r>
      <w:r>
        <w:rPr>
          <w:rFonts w:ascii="Arial" w:cs="Arial" w:eastAsia="Arial" w:hAnsi="Arial"/>
          <w:sz w:val="18"/>
          <w:szCs w:val="18"/>
          <w:color w:val="auto"/>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74" w:lineRule="exact"/>
        <w:rPr>
          <w:rFonts w:ascii="Arial" w:cs="Arial" w:eastAsia="Arial" w:hAnsi="Arial"/>
          <w:sz w:val="18"/>
          <w:szCs w:val="18"/>
          <w:color w:val="auto"/>
        </w:rPr>
      </w:pPr>
    </w:p>
    <w:p>
      <w:pPr>
        <w:jc w:val="both"/>
        <w:ind w:firstLine="1294"/>
        <w:spacing w:after="0" w:line="256" w:lineRule="auto"/>
        <w:tabs>
          <w:tab w:leader="none" w:pos="177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xml:space="preserve">”), an amount in cash equal to 105% of the amount of the LC Exposure as of such date plus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VII</w:t>
      </w:r>
      <w:r>
        <w:rPr>
          <w:rFonts w:ascii="Arial" w:cs="Arial" w:eastAsia="Arial" w:hAnsi="Arial"/>
          <w:sz w:val="19"/>
          <w:szCs w:val="19"/>
          <w:color w:val="auto"/>
        </w:rPr>
        <w:t>. Such</w:t>
      </w:r>
    </w:p>
    <w:p>
      <w:pPr>
        <w:sectPr>
          <w:pgSz w:w="11900" w:h="16838" w:orient="portrait"/>
          <w:cols w:equalWidth="0" w:num="1">
            <w:col w:w="10680"/>
          </w:cols>
          <w:pgMar w:left="980" w:top="595" w:right="239" w:bottom="1440" w:gutter="0" w:footer="0" w:header="0"/>
        </w:sectPr>
      </w:pPr>
    </w:p>
    <w:bookmarkStart w:id="151" w:name="page152"/>
    <w:bookmarkEnd w:id="151"/>
    <w:p>
      <w:pPr>
        <w:jc w:val="both"/>
        <w:ind w:left="80"/>
        <w:spacing w:after="0" w:line="270" w:lineRule="auto"/>
        <w:rPr>
          <w:sz w:val="20"/>
          <w:szCs w:val="20"/>
          <w:color w:val="auto"/>
        </w:rPr>
      </w:pPr>
      <w:r>
        <w:rPr>
          <w:rFonts w:ascii="Arial" w:cs="Arial" w:eastAsia="Arial" w:hAnsi="Arial"/>
          <w:sz w:val="18"/>
          <w:szCs w:val="18"/>
          <w:color w:val="auto"/>
        </w:rPr>
        <w:t>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177" w:lineRule="exact"/>
        <w:rPr>
          <w:sz w:val="20"/>
          <w:szCs w:val="20"/>
          <w:color w:val="auto"/>
        </w:rPr>
      </w:pPr>
    </w:p>
    <w:p>
      <w:pPr>
        <w:jc w:val="both"/>
        <w:ind w:left="80" w:firstLine="1294"/>
        <w:spacing w:after="0" w:line="270" w:lineRule="auto"/>
        <w:tabs>
          <w:tab w:leader="none" w:pos="182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xml:space="preserve">. Unless otherwise agreed by the Administrative Agent, each Issuing Bank shall, in addition to its notification obligations set forth elsewhere in this </w:t>
      </w:r>
      <w:r>
        <w:rPr>
          <w:rFonts w:ascii="Arial" w:cs="Arial" w:eastAsia="Arial" w:hAnsi="Arial"/>
          <w:sz w:val="18"/>
          <w:szCs w:val="18"/>
          <w:u w:val="single" w:color="auto"/>
          <w:color w:val="auto"/>
        </w:rPr>
        <w:t>Section 2.06</w:t>
      </w:r>
      <w:r>
        <w:rPr>
          <w:rFonts w:ascii="Arial" w:cs="Arial" w:eastAsia="Arial" w:hAnsi="Arial"/>
          <w:sz w:val="18"/>
          <w:szCs w:val="18"/>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6" w:lineRule="exact"/>
        <w:rPr>
          <w:rFonts w:ascii="Arial" w:cs="Arial" w:eastAsia="Arial" w:hAnsi="Arial"/>
          <w:sz w:val="18"/>
          <w:szCs w:val="18"/>
          <w:color w:val="auto"/>
        </w:rPr>
      </w:pPr>
    </w:p>
    <w:p>
      <w:pPr>
        <w:jc w:val="both"/>
        <w:ind w:left="80" w:firstLine="1294"/>
        <w:spacing w:after="0" w:line="246" w:lineRule="auto"/>
        <w:tabs>
          <w:tab w:leader="none" w:pos="181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LC Exposure Determination</w:t>
      </w:r>
      <w:r>
        <w:rPr>
          <w:rFonts w:ascii="Arial" w:cs="Arial" w:eastAsia="Arial" w:hAnsi="Arial"/>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9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16" w:lineRule="exact"/>
        <w:rPr>
          <w:sz w:val="20"/>
          <w:szCs w:val="20"/>
          <w:color w:val="auto"/>
        </w:rPr>
      </w:pPr>
    </w:p>
    <w:p>
      <w:pPr>
        <w:jc w:val="both"/>
        <w:ind w:left="80" w:firstLine="1294"/>
        <w:spacing w:after="0" w:line="244" w:lineRule="auto"/>
        <w:tabs>
          <w:tab w:leader="none" w:pos="1803" w:val="left"/>
        </w:tabs>
        <w:numPr>
          <w:ilvl w:val="0"/>
          <w:numId w:val="46"/>
        </w:numPr>
        <w:rPr>
          <w:rFonts w:ascii="Arial" w:cs="Arial" w:eastAsia="Arial" w:hAnsi="Arial"/>
          <w:sz w:val="20"/>
          <w:szCs w:val="20"/>
          <w:color w:val="auto"/>
        </w:rPr>
      </w:pPr>
      <w:r>
        <w:rPr>
          <w:rFonts w:ascii="Arial" w:cs="Arial" w:eastAsia="Arial" w:hAnsi="Arial"/>
          <w:sz w:val="20"/>
          <w:szCs w:val="20"/>
          <w:color w:val="auto"/>
        </w:rPr>
        <w:t>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like funds, to an account of the Borrower maintained with the Administrative</w:t>
      </w:r>
    </w:p>
    <w:p>
      <w:pPr>
        <w:sectPr>
          <w:pgSz w:w="11900" w:h="16838" w:orient="portrait"/>
          <w:cols w:equalWidth="0" w:num="1">
            <w:col w:w="10760"/>
          </w:cols>
          <w:pgMar w:left="900" w:top="595" w:right="239" w:bottom="1440" w:gutter="0" w:footer="0" w:header="0"/>
        </w:sectPr>
      </w:pPr>
    </w:p>
    <w:bookmarkStart w:id="152" w:name="page153"/>
    <w:bookmarkEnd w:id="152"/>
    <w:p>
      <w:pPr>
        <w:jc w:val="both"/>
        <w:ind w:left="80"/>
        <w:spacing w:after="0" w:line="250" w:lineRule="auto"/>
        <w:rPr>
          <w:sz w:val="20"/>
          <w:szCs w:val="20"/>
          <w:color w:val="auto"/>
        </w:rPr>
      </w:pPr>
      <w:r>
        <w:rPr>
          <w:rFonts w:ascii="Arial" w:cs="Arial" w:eastAsia="Arial" w:hAnsi="Arial"/>
          <w:sz w:val="20"/>
          <w:szCs w:val="20"/>
          <w:color w:val="auto"/>
        </w:rPr>
        <w:t xml:space="preserve">Agent and designated by the Borrower in the applicable Borrowing Request;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ABR Loans made to finance the reimbursement of an LC Disbursement as provided in </w:t>
      </w:r>
      <w:r>
        <w:rPr>
          <w:rFonts w:ascii="Arial" w:cs="Arial" w:eastAsia="Arial" w:hAnsi="Arial"/>
          <w:sz w:val="20"/>
          <w:szCs w:val="20"/>
          <w:u w:val="single" w:color="auto"/>
          <w:color w:val="auto"/>
        </w:rPr>
        <w:t>Section 2.06(e)</w:t>
      </w:r>
      <w:r>
        <w:rPr>
          <w:rFonts w:ascii="Arial" w:cs="Arial" w:eastAsia="Arial" w:hAnsi="Arial"/>
          <w:sz w:val="20"/>
          <w:szCs w:val="20"/>
          <w:color w:val="auto"/>
        </w:rPr>
        <w:t xml:space="preserve"> shall be remitted by the Administrative Agent to the Issuing Banks.</w:t>
      </w:r>
    </w:p>
    <w:p>
      <w:pPr>
        <w:spacing w:after="0" w:line="186" w:lineRule="exact"/>
        <w:rPr>
          <w:sz w:val="20"/>
          <w:szCs w:val="20"/>
          <w:color w:val="auto"/>
        </w:rPr>
      </w:pPr>
    </w:p>
    <w:p>
      <w:pPr>
        <w:jc w:val="both"/>
        <w:ind w:left="80" w:firstLine="1294"/>
        <w:spacing w:after="0" w:line="255" w:lineRule="auto"/>
        <w:tabs>
          <w:tab w:leader="none" w:pos="186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8"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16" w:lineRule="exact"/>
        <w:rPr>
          <w:sz w:val="20"/>
          <w:szCs w:val="20"/>
          <w:color w:val="auto"/>
        </w:rPr>
      </w:pPr>
    </w:p>
    <w:p>
      <w:pPr>
        <w:jc w:val="both"/>
        <w:ind w:left="80" w:firstLine="1294"/>
        <w:spacing w:after="0" w:line="276" w:lineRule="auto"/>
        <w:tabs>
          <w:tab w:leader="none" w:pos="1776"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w:t>
      </w:r>
      <w:r>
        <w:rPr>
          <w:rFonts w:ascii="Arial" w:cs="Arial" w:eastAsia="Arial" w:hAnsi="Arial"/>
          <w:sz w:val="18"/>
          <w:szCs w:val="18"/>
          <w:u w:val="single" w:color="auto"/>
          <w:color w:val="auto"/>
        </w:rPr>
        <w:t>Section 2.08</w:t>
      </w:r>
      <w:r>
        <w:rPr>
          <w:rFonts w:ascii="Arial" w:cs="Arial" w:eastAsia="Arial" w:hAnsi="Arial"/>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65" w:lineRule="exact"/>
        <w:rPr>
          <w:rFonts w:ascii="Arial" w:cs="Arial" w:eastAsia="Arial" w:hAnsi="Arial"/>
          <w:sz w:val="18"/>
          <w:szCs w:val="18"/>
          <w:color w:val="auto"/>
        </w:rPr>
      </w:pPr>
    </w:p>
    <w:p>
      <w:pPr>
        <w:jc w:val="both"/>
        <w:ind w:left="80" w:firstLine="1294"/>
        <w:spacing w:after="0" w:line="278" w:lineRule="auto"/>
        <w:tabs>
          <w:tab w:leader="none" w:pos="18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the Borrower shall notify the Administrative Agent of such election by telephone by the time that a Borrowing Request would be required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or fax to the Administrative Agent of a written Interest Election Request in a form approved by the Administrative Agent and signed by the Borrower.</w:t>
      </w:r>
    </w:p>
    <w:p>
      <w:pPr>
        <w:spacing w:after="0" w:line="165" w:lineRule="exact"/>
        <w:rPr>
          <w:rFonts w:ascii="Arial" w:cs="Arial" w:eastAsia="Arial" w:hAnsi="Arial"/>
          <w:sz w:val="18"/>
          <w:szCs w:val="18"/>
          <w:color w:val="auto"/>
        </w:rPr>
      </w:pPr>
    </w:p>
    <w:p>
      <w:pPr>
        <w:ind w:left="1780" w:hanging="406"/>
        <w:spacing w:after="0"/>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w:t>
      </w:r>
    </w:p>
    <w:p>
      <w:pPr>
        <w:spacing w:after="0" w:line="38"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jc w:val="both"/>
        <w:ind w:firstLine="1293"/>
        <w:spacing w:after="0" w:line="269" w:lineRule="auto"/>
        <w:tabs>
          <w:tab w:leader="none" w:pos="17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70" w:lineRule="exact"/>
        <w:rPr>
          <w:rFonts w:ascii="Arial" w:cs="Arial" w:eastAsia="Arial" w:hAnsi="Arial"/>
          <w:sz w:val="19"/>
          <w:szCs w:val="19"/>
          <w:color w:val="auto"/>
        </w:rPr>
      </w:pPr>
    </w:p>
    <w:p>
      <w:pPr>
        <w:ind w:left="1720" w:hanging="427"/>
        <w:spacing w:after="0"/>
        <w:tabs>
          <w:tab w:leader="none" w:pos="1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ectPr>
          <w:pgSz w:w="11900" w:h="16838" w:orient="portrait"/>
          <w:cols w:equalWidth="0" w:num="1">
            <w:col w:w="10760"/>
          </w:cols>
          <w:pgMar w:left="900" w:top="595" w:right="239" w:bottom="1440" w:gutter="0" w:footer="0" w:header="0"/>
        </w:sectPr>
      </w:pPr>
    </w:p>
    <w:bookmarkStart w:id="153" w:name="page154"/>
    <w:bookmarkEnd w:id="153"/>
    <w:p>
      <w:pPr>
        <w:ind w:left="2420" w:hanging="467"/>
        <w:spacing w:after="0"/>
        <w:tabs>
          <w:tab w:leader="none" w:pos="24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15" w:lineRule="exact"/>
        <w:rPr>
          <w:rFonts w:ascii="Arial" w:cs="Arial" w:eastAsia="Arial" w:hAnsi="Arial"/>
          <w:sz w:val="20"/>
          <w:szCs w:val="20"/>
          <w:color w:val="auto"/>
        </w:rPr>
      </w:pPr>
    </w:p>
    <w:p>
      <w:pPr>
        <w:ind w:left="660" w:firstLine="1293"/>
        <w:spacing w:after="0" w:line="260" w:lineRule="auto"/>
        <w:tabs>
          <w:tab w:leader="none" w:pos="249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77" w:lineRule="exact"/>
        <w:rPr>
          <w:sz w:val="20"/>
          <w:szCs w:val="20"/>
          <w:color w:val="auto"/>
        </w:rPr>
      </w:pPr>
    </w:p>
    <w:p>
      <w:pPr>
        <w:ind w:left="740" w:firstLine="1294"/>
        <w:spacing w:after="0" w:line="260" w:lineRule="auto"/>
        <w:tabs>
          <w:tab w:leader="none" w:pos="2447" w:val="left"/>
        </w:tabs>
        <w:numPr>
          <w:ilvl w:val="0"/>
          <w:numId w:val="5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76" w:lineRule="exact"/>
        <w:rPr>
          <w:rFonts w:ascii="Arial" w:cs="Arial" w:eastAsia="Arial" w:hAnsi="Arial"/>
          <w:sz w:val="20"/>
          <w:szCs w:val="20"/>
          <w:color w:val="auto"/>
        </w:rPr>
      </w:pPr>
    </w:p>
    <w:p>
      <w:pPr>
        <w:jc w:val="both"/>
        <w:ind w:left="740" w:firstLine="1294"/>
        <w:spacing w:after="0" w:line="243" w:lineRule="auto"/>
        <w:tabs>
          <w:tab w:leader="none" w:pos="2436"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16" w:lineRule="exact"/>
        <w:rPr>
          <w:sz w:val="20"/>
          <w:szCs w:val="20"/>
          <w:color w:val="auto"/>
        </w:rPr>
      </w:pPr>
    </w:p>
    <w:p>
      <w:pPr>
        <w:ind w:left="2440" w:hanging="406"/>
        <w:spacing w:after="0"/>
        <w:tabs>
          <w:tab w:leader="none" w:pos="24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Unless previously terminated, all Commitments shall terminate on the Maturity Date.</w:t>
      </w:r>
    </w:p>
    <w:p>
      <w:pPr>
        <w:spacing w:after="0" w:line="215" w:lineRule="exact"/>
        <w:rPr>
          <w:rFonts w:ascii="Arial" w:cs="Arial" w:eastAsia="Arial" w:hAnsi="Arial"/>
          <w:sz w:val="20"/>
          <w:szCs w:val="20"/>
          <w:color w:val="auto"/>
        </w:rPr>
      </w:pPr>
    </w:p>
    <w:p>
      <w:pPr>
        <w:jc w:val="both"/>
        <w:ind w:left="740" w:firstLine="1294"/>
        <w:spacing w:after="0" w:line="258" w:lineRule="auto"/>
        <w:tabs>
          <w:tab w:leader="none" w:pos="267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Borrower may at any time, without (subject to </w:t>
      </w:r>
      <w:r>
        <w:rPr>
          <w:rFonts w:ascii="Arial" w:cs="Arial" w:eastAsia="Arial" w:hAnsi="Arial"/>
          <w:sz w:val="19"/>
          <w:szCs w:val="19"/>
          <w:u w:val="single" w:color="auto"/>
          <w:color w:val="auto"/>
        </w:rPr>
        <w:t>Section 2.16</w:t>
      </w:r>
      <w:r>
        <w:rPr>
          <w:rFonts w:ascii="Arial" w:cs="Arial" w:eastAsia="Arial" w:hAnsi="Arial"/>
          <w:sz w:val="19"/>
          <w:szCs w:val="19"/>
          <w:color w:val="auto"/>
        </w:rPr>
        <w:t>) premium or penalty,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applicable Issuing Bank) in an amount equal to 105% of the LC Exposure as of such date), (iii) the payment in full of the accrued and unpaid fees, and (iv) the payment in full of all reimbursable expenses and other Obligations together with accrued and unpaid interest thereon.</w:t>
      </w:r>
    </w:p>
    <w:p>
      <w:pPr>
        <w:spacing w:after="0" w:line="179" w:lineRule="exact"/>
        <w:rPr>
          <w:rFonts w:ascii="Arial" w:cs="Arial" w:eastAsia="Arial" w:hAnsi="Arial"/>
          <w:sz w:val="19"/>
          <w:szCs w:val="19"/>
          <w:color w:val="auto"/>
        </w:rPr>
      </w:pPr>
    </w:p>
    <w:p>
      <w:pPr>
        <w:jc w:val="both"/>
        <w:ind w:left="740" w:firstLine="1294"/>
        <w:spacing w:after="0" w:line="244" w:lineRule="auto"/>
        <w:tabs>
          <w:tab w:leader="none" w:pos="2598"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without (subject to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premium or penalty, reduce the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the Commitments shall be in an amount that is an integral multiple of $1 million and not less than $5 million, and (ii) the Borrower shall not reduce the Commitments if, after giving effect to any concurrent prepayment of the Loans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 the Aggregate Credit Exposure would exceed the aggregate Commitments of all Lenders.</w:t>
      </w:r>
    </w:p>
    <w:p>
      <w:pPr>
        <w:spacing w:after="0" w:line="194" w:lineRule="exact"/>
        <w:rPr>
          <w:rFonts w:ascii="Arial" w:cs="Arial" w:eastAsia="Arial" w:hAnsi="Arial"/>
          <w:sz w:val="20"/>
          <w:szCs w:val="20"/>
          <w:color w:val="auto"/>
        </w:rPr>
      </w:pPr>
    </w:p>
    <w:p>
      <w:pPr>
        <w:jc w:val="both"/>
        <w:ind w:left="740" w:firstLine="1294"/>
        <w:spacing w:after="0" w:line="291" w:lineRule="auto"/>
        <w:tabs>
          <w:tab w:leader="none" w:pos="25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at least three (3) Business Days prior to the effective date of such termination or reduction, specifying such election and the effective date thereof. Promptly following receipt of any notice, the Administrative Agent</w:t>
      </w:r>
    </w:p>
    <w:p>
      <w:pPr>
        <w:sectPr>
          <w:pgSz w:w="11900" w:h="16838" w:orient="portrait"/>
          <w:cols w:equalWidth="0" w:num="1">
            <w:col w:w="11420"/>
          </w:cols>
          <w:pgMar w:left="240" w:top="596" w:right="239" w:bottom="1440" w:gutter="0" w:footer="0" w:header="0"/>
        </w:sectPr>
      </w:pPr>
    </w:p>
    <w:bookmarkStart w:id="154" w:name="page155"/>
    <w:bookmarkEnd w:id="154"/>
    <w:p>
      <w:pPr>
        <w:jc w:val="both"/>
        <w:ind w:left="80"/>
        <w:spacing w:after="0" w:line="243" w:lineRule="auto"/>
        <w:rPr>
          <w:sz w:val="20"/>
          <w:szCs w:val="20"/>
          <w:color w:val="auto"/>
        </w:rPr>
      </w:pPr>
      <w:r>
        <w:rPr>
          <w:rFonts w:ascii="Arial" w:cs="Arial" w:eastAsia="Arial" w:hAnsi="Arial"/>
          <w:sz w:val="20"/>
          <w:szCs w:val="20"/>
          <w:color w:val="auto"/>
        </w:rPr>
        <w:t xml:space="preserve">shall advise the Lenders of the contents thereof. Each notice delivered by the Borrower pursuant to this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shall be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7"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16" w:lineRule="exact"/>
        <w:rPr>
          <w:sz w:val="20"/>
          <w:szCs w:val="20"/>
          <w:color w:val="auto"/>
        </w:rPr>
      </w:pPr>
    </w:p>
    <w:p>
      <w:pPr>
        <w:ind w:left="80" w:firstLine="1294"/>
        <w:spacing w:after="0" w:line="260" w:lineRule="auto"/>
        <w:tabs>
          <w:tab w:leader="none" w:pos="188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to the Administrative Agent for the account of each Lender the then unpaid principal amount of each Loan on the Maturity Date.</w:t>
      </w:r>
    </w:p>
    <w:p>
      <w:pPr>
        <w:spacing w:after="0" w:line="176" w:lineRule="exact"/>
        <w:rPr>
          <w:rFonts w:ascii="Arial" w:cs="Arial" w:eastAsia="Arial" w:hAnsi="Arial"/>
          <w:sz w:val="20"/>
          <w:szCs w:val="20"/>
          <w:color w:val="auto"/>
        </w:rPr>
      </w:pPr>
    </w:p>
    <w:p>
      <w:pPr>
        <w:jc w:val="both"/>
        <w:ind w:left="80" w:firstLine="1294"/>
        <w:spacing w:after="0" w:line="250" w:lineRule="auto"/>
        <w:tabs>
          <w:tab w:leader="none" w:pos="1949"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6" w:lineRule="exact"/>
        <w:rPr>
          <w:rFonts w:ascii="Arial" w:cs="Arial" w:eastAsia="Arial" w:hAnsi="Arial"/>
          <w:sz w:val="20"/>
          <w:szCs w:val="20"/>
          <w:color w:val="auto"/>
        </w:rPr>
      </w:pPr>
    </w:p>
    <w:p>
      <w:pPr>
        <w:jc w:val="both"/>
        <w:ind w:left="80" w:firstLine="1294"/>
        <w:spacing w:after="0" w:line="246" w:lineRule="auto"/>
        <w:tabs>
          <w:tab w:leader="none" w:pos="18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91" w:lineRule="exact"/>
        <w:rPr>
          <w:rFonts w:ascii="Arial" w:cs="Arial" w:eastAsia="Arial" w:hAnsi="Arial"/>
          <w:sz w:val="20"/>
          <w:szCs w:val="20"/>
          <w:color w:val="auto"/>
        </w:rPr>
      </w:pPr>
    </w:p>
    <w:p>
      <w:pPr>
        <w:jc w:val="both"/>
        <w:ind w:left="80" w:firstLine="1294"/>
        <w:spacing w:after="0" w:line="278" w:lineRule="auto"/>
        <w:tabs>
          <w:tab w:leader="none" w:pos="17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of a conflict between the entries made in the accounts maintained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the Register, the Register shall govern.</w:t>
      </w:r>
    </w:p>
    <w:p>
      <w:pPr>
        <w:spacing w:after="0" w:line="165" w:lineRule="exact"/>
        <w:rPr>
          <w:rFonts w:ascii="Arial" w:cs="Arial" w:eastAsia="Arial" w:hAnsi="Arial"/>
          <w:sz w:val="18"/>
          <w:szCs w:val="18"/>
          <w:color w:val="auto"/>
        </w:rPr>
      </w:pPr>
    </w:p>
    <w:p>
      <w:pPr>
        <w:jc w:val="both"/>
        <w:ind w:left="80" w:firstLine="1294"/>
        <w:spacing w:after="0" w:line="244" w:lineRule="auto"/>
        <w:tabs>
          <w:tab w:leader="none" w:pos="1925"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Lender may request that Loans made by it be evidenced by a promissory note (each a “</w:t>
      </w:r>
      <w:r>
        <w:rPr>
          <w:rFonts w:ascii="Arial" w:cs="Arial" w:eastAsia="Arial" w:hAnsi="Arial"/>
          <w:sz w:val="20"/>
          <w:szCs w:val="20"/>
          <w:u w:val="single" w:color="auto"/>
          <w:color w:val="auto"/>
        </w:rPr>
        <w:t>Note</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Notes</w:t>
      </w:r>
      <w:r>
        <w:rPr>
          <w:rFonts w:ascii="Arial" w:cs="Arial" w:eastAsia="Arial" w:hAnsi="Arial"/>
          <w:sz w:val="20"/>
          <w:szCs w:val="20"/>
          <w:color w:val="auto"/>
        </w:rPr>
        <w:t xml:space="preserve">”). In such event, the Borrower shall prepare, execute and deliver to such Lender a Note payable to such Lender and its registered assigns and in a form approved by the Administrative Agent. Thereafter, the Loans evidenced by such Note and interest thereon shall at all times (including after assignment pursuant to </w:t>
      </w:r>
      <w:r>
        <w:rPr>
          <w:rFonts w:ascii="Arial" w:cs="Arial" w:eastAsia="Arial" w:hAnsi="Arial"/>
          <w:sz w:val="20"/>
          <w:szCs w:val="20"/>
          <w:u w:val="single" w:color="auto"/>
          <w:color w:val="auto"/>
        </w:rPr>
        <w:t>Section 9.04</w:t>
      </w:r>
      <w:r>
        <w:rPr>
          <w:rFonts w:ascii="Arial" w:cs="Arial" w:eastAsia="Arial" w:hAnsi="Arial"/>
          <w:sz w:val="20"/>
          <w:szCs w:val="20"/>
          <w:color w:val="auto"/>
        </w:rPr>
        <w:t>) be represented by one or more Notes in such form payable to such payee and its registered assigns.</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6" w:lineRule="exact"/>
        <w:rPr>
          <w:sz w:val="20"/>
          <w:szCs w:val="20"/>
          <w:color w:val="auto"/>
        </w:rPr>
      </w:pPr>
    </w:p>
    <w:p>
      <w:pPr>
        <w:ind w:left="80" w:firstLine="1294"/>
        <w:spacing w:after="0" w:line="316" w:lineRule="auto"/>
        <w:tabs>
          <w:tab w:leader="none" w:pos="17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at any time and from time to time, without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premium or penalty, to prepay any Borrowing in whole or in part, subject to prior notice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0" w:firstLine="1294"/>
        <w:spacing w:after="0" w:line="386" w:lineRule="auto"/>
        <w:tabs>
          <w:tab w:leader="none" w:pos="17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and on such occasion that the Aggregate Credit Exposure exceeds the aggregate Commitments of all Lenders, the Borrower shall prepay the Loans and/or cash collateralize the LC Exposure in an aggregate amount equal to such excess.</w:t>
      </w:r>
    </w:p>
    <w:p>
      <w:pPr>
        <w:sectPr>
          <w:pgSz w:w="11900" w:h="16838" w:orient="portrait"/>
          <w:cols w:equalWidth="0" w:num="1">
            <w:col w:w="10760"/>
          </w:cols>
          <w:pgMar w:left="900" w:top="595" w:right="239" w:bottom="1440" w:gutter="0" w:footer="0" w:header="0"/>
        </w:sectPr>
      </w:pPr>
    </w:p>
    <w:bookmarkStart w:id="155" w:name="page156"/>
    <w:bookmarkEnd w:id="155"/>
    <w:p>
      <w:pPr>
        <w:jc w:val="both"/>
        <w:ind w:left="80" w:firstLine="1294"/>
        <w:spacing w:after="0" w:line="271" w:lineRule="auto"/>
        <w:tabs>
          <w:tab w:leader="none" w:pos="19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by telephone (confirmed by fax) of any prepayment hereunder (i) in the case of prepayment of a Eurodollar Borrowing, not later than 11:00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then such notice of prepayment may be revoked if such notice of termination is revoked in accordance with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jc w:val="both"/>
        <w:ind w:left="80" w:firstLine="1294"/>
        <w:spacing w:after="0" w:line="258" w:lineRule="auto"/>
        <w:tabs>
          <w:tab w:leader="none" w:pos="179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Borrower agrees to pay to the Administrative Agent for the account of each Lender (other than a Defaulting Lender,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a commitment fee, which shall accrue at the Commitment Fee Rate set forth in the definition of Applicable Rate on the average daily amount of the Available Commitment of such Lender during the period from and including the Effective Date to but excluding the date on which the Commitments terminate.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79" w:lineRule="exact"/>
        <w:rPr>
          <w:rFonts w:ascii="Arial" w:cs="Arial" w:eastAsia="Arial" w:hAnsi="Arial"/>
          <w:sz w:val="19"/>
          <w:szCs w:val="19"/>
          <w:color w:val="auto"/>
        </w:rPr>
      </w:pPr>
    </w:p>
    <w:p>
      <w:pPr>
        <w:jc w:val="both"/>
        <w:ind w:left="80" w:firstLine="1294"/>
        <w:spacing w:after="0" w:line="269" w:lineRule="auto"/>
        <w:tabs>
          <w:tab w:leader="none" w:pos="19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Borrower agrees to pay (i) to the Administrative Agent for the account of each Lender (other than a Defaulting Lender, subject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 participation fee with respect to its participations in Letters of Credit, which shall accrue at the same Applicable Rate used to determine the interest rate applicable to Eurodollar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w:t>
      </w:r>
    </w:p>
    <w:p>
      <w:pPr>
        <w:sectPr>
          <w:pgSz w:w="11900" w:h="16838" w:orient="portrait"/>
          <w:cols w:equalWidth="0" w:num="1">
            <w:col w:w="10760"/>
          </w:cols>
          <w:pgMar w:left="900" w:top="595" w:right="239" w:bottom="1440" w:gutter="0" w:footer="0" w:header="0"/>
        </w:sectPr>
      </w:pPr>
    </w:p>
    <w:bookmarkStart w:id="156" w:name="page157"/>
    <w:bookmarkEnd w:id="156"/>
    <w:p>
      <w:pPr>
        <w:ind w:left="80"/>
        <w:spacing w:after="0"/>
        <w:rPr>
          <w:sz w:val="20"/>
          <w:szCs w:val="20"/>
          <w:color w:val="auto"/>
        </w:rPr>
      </w:pPr>
      <w:r>
        <w:rPr>
          <w:rFonts w:ascii="Arial" w:cs="Arial" w:eastAsia="Arial" w:hAnsi="Arial"/>
          <w:sz w:val="19"/>
          <w:szCs w:val="19"/>
          <w:color w:val="auto"/>
        </w:rPr>
        <w:t>fronting fees shall be computed on the basis of a year of 360 days and shall be payable for the actual number of days elapsed.</w:t>
      </w:r>
    </w:p>
    <w:p>
      <w:pPr>
        <w:spacing w:after="0" w:line="227" w:lineRule="exact"/>
        <w:rPr>
          <w:sz w:val="20"/>
          <w:szCs w:val="20"/>
          <w:color w:val="auto"/>
        </w:rPr>
      </w:pPr>
    </w:p>
    <w:p>
      <w:pPr>
        <w:ind w:left="80" w:right="20" w:firstLine="1294"/>
        <w:spacing w:after="0" w:line="316" w:lineRule="auto"/>
        <w:tabs>
          <w:tab w:leader="none" w:pos="17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30" w:lineRule="exact"/>
        <w:rPr>
          <w:rFonts w:ascii="Arial" w:cs="Arial" w:eastAsia="Arial" w:hAnsi="Arial"/>
          <w:sz w:val="18"/>
          <w:szCs w:val="18"/>
          <w:color w:val="auto"/>
        </w:rPr>
      </w:pPr>
    </w:p>
    <w:p>
      <w:pPr>
        <w:jc w:val="both"/>
        <w:ind w:left="80" w:firstLine="1294"/>
        <w:spacing w:after="0" w:line="250" w:lineRule="auto"/>
        <w:tabs>
          <w:tab w:leader="none" w:pos="1814"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16" w:lineRule="exact"/>
        <w:rPr>
          <w:sz w:val="20"/>
          <w:szCs w:val="20"/>
          <w:color w:val="auto"/>
        </w:rPr>
      </w:pPr>
    </w:p>
    <w:p>
      <w:pPr>
        <w:ind w:left="1820" w:hanging="446"/>
        <w:spacing w:after="0"/>
        <w:tabs>
          <w:tab w:leader="none" w:pos="1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Alternate Base Rate plus the Applicable</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left="80" w:right="20" w:firstLine="1294"/>
        <w:spacing w:after="0" w:line="260" w:lineRule="auto"/>
        <w:tabs>
          <w:tab w:leader="none" w:pos="181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Loans comprising each Eurodollar Borrowing shall bear interest at the Adjusted LIBO Rate for the Interest Period in effect for such Borrowing plus the Applicable Rate.</w:t>
      </w:r>
    </w:p>
    <w:p>
      <w:pPr>
        <w:spacing w:after="0" w:line="176" w:lineRule="exact"/>
        <w:rPr>
          <w:rFonts w:ascii="Arial" w:cs="Arial" w:eastAsia="Arial" w:hAnsi="Arial"/>
          <w:sz w:val="20"/>
          <w:szCs w:val="20"/>
          <w:color w:val="auto"/>
        </w:rPr>
      </w:pPr>
    </w:p>
    <w:p>
      <w:pPr>
        <w:jc w:val="both"/>
        <w:ind w:left="80" w:firstLine="1294"/>
        <w:spacing w:after="0" w:line="278" w:lineRule="auto"/>
        <w:tabs>
          <w:tab w:leader="none" w:pos="17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(ii) in the case of any other amount, 2% plus the rate applicable to ABR Loans as provided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80" w:firstLine="1294"/>
        <w:spacing w:after="0" w:line="243" w:lineRule="auto"/>
        <w:tabs>
          <w:tab w:leader="none" w:pos="1801"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3" w:lineRule="exact"/>
        <w:rPr>
          <w:rFonts w:ascii="Arial" w:cs="Arial" w:eastAsia="Arial" w:hAnsi="Arial"/>
          <w:sz w:val="20"/>
          <w:szCs w:val="20"/>
          <w:color w:val="auto"/>
        </w:rPr>
      </w:pPr>
    </w:p>
    <w:p>
      <w:pPr>
        <w:jc w:val="both"/>
        <w:ind w:left="80" w:firstLine="1294"/>
        <w:spacing w:after="0" w:line="244" w:lineRule="auto"/>
        <w:tabs>
          <w:tab w:leader="none" w:pos="18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If prior to the commencement of any Interest Period for a Eurodollar Borrowing:</w:t>
      </w:r>
    </w:p>
    <w:p>
      <w:pPr>
        <w:sectPr>
          <w:pgSz w:w="11900" w:h="16838" w:orient="portrait"/>
          <w:cols w:equalWidth="0" w:num="1">
            <w:col w:w="10760"/>
          </w:cols>
          <w:pgMar w:left="900" w:top="595" w:right="239" w:bottom="1440" w:gutter="0" w:footer="0" w:header="0"/>
        </w:sectPr>
      </w:pPr>
    </w:p>
    <w:bookmarkStart w:id="157" w:name="page158"/>
    <w:bookmarkEnd w:id="157"/>
    <w:p>
      <w:pPr>
        <w:jc w:val="both"/>
        <w:ind w:left="740" w:firstLine="1294"/>
        <w:spacing w:after="0" w:line="250" w:lineRule="auto"/>
        <w:tabs>
          <w:tab w:leader="none" w:pos="2585"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186" w:lineRule="exact"/>
        <w:rPr>
          <w:rFonts w:ascii="Arial" w:cs="Arial" w:eastAsia="Arial" w:hAnsi="Arial"/>
          <w:sz w:val="20"/>
          <w:szCs w:val="20"/>
          <w:color w:val="auto"/>
        </w:rPr>
      </w:pPr>
    </w:p>
    <w:p>
      <w:pPr>
        <w:jc w:val="both"/>
        <w:ind w:left="740" w:firstLine="1294"/>
        <w:spacing w:after="0" w:line="250" w:lineRule="auto"/>
        <w:tabs>
          <w:tab w:leader="none" w:pos="246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then the Administrative Agent shall give notice thereof to the Borrower and the Lenders by electronic communication as provided in </w:t>
      </w: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any such Eurodollar Borrowing shall be repaid or converted on the last day of the then current Interest Period applicable thereto, and (ii) if any Borrowing Request requests a Eurodollar Borrowing, such Borrowing shall be made as an ABR Borrowing.</w:t>
      </w:r>
    </w:p>
    <w:p>
      <w:pPr>
        <w:spacing w:after="0" w:line="19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16" w:lineRule="exact"/>
        <w:rPr>
          <w:sz w:val="20"/>
          <w:szCs w:val="20"/>
          <w:color w:val="auto"/>
        </w:rPr>
      </w:pPr>
    </w:p>
    <w:p>
      <w:pPr>
        <w:ind w:left="2440" w:hanging="406"/>
        <w:spacing w:after="0"/>
        <w:tabs>
          <w:tab w:leader="none" w:pos="24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5" w:lineRule="exact"/>
        <w:rPr>
          <w:rFonts w:ascii="Arial" w:cs="Arial" w:eastAsia="Arial" w:hAnsi="Arial"/>
          <w:sz w:val="20"/>
          <w:szCs w:val="20"/>
          <w:color w:val="auto"/>
        </w:rPr>
      </w:pPr>
    </w:p>
    <w:p>
      <w:pPr>
        <w:jc w:val="both"/>
        <w:ind w:left="660" w:firstLine="1293"/>
        <w:spacing w:after="0" w:line="291" w:lineRule="auto"/>
        <w:tabs>
          <w:tab w:leader="none" w:pos="23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51" w:lineRule="exact"/>
        <w:rPr>
          <w:rFonts w:ascii="Arial" w:cs="Arial" w:eastAsia="Arial" w:hAnsi="Arial"/>
          <w:sz w:val="18"/>
          <w:szCs w:val="18"/>
          <w:color w:val="auto"/>
        </w:rPr>
      </w:pPr>
    </w:p>
    <w:p>
      <w:pPr>
        <w:jc w:val="both"/>
        <w:ind w:left="660" w:firstLine="1293"/>
        <w:spacing w:after="0" w:line="291" w:lineRule="auto"/>
        <w:tabs>
          <w:tab w:leader="none" w:pos="24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impose on any Lender or any Issuing Bank or the London interbank market any other condition, cost or expense affecting this Agreement or Eurodollar Loans made by such Lender or any Letter of Credit or participation therein (except for Taxes which are covered by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10.09</w:t>
      </w:r>
      <w:r>
        <w:rPr>
          <w:rFonts w:ascii="Arial" w:cs="Arial" w:eastAsia="Arial" w:hAnsi="Arial"/>
          <w:sz w:val="18"/>
          <w:szCs w:val="18"/>
          <w:color w:val="auto"/>
        </w:rPr>
        <w:t xml:space="preserve"> and changes in the rate of tax on the overall net income of such Lender); or</w:t>
      </w:r>
    </w:p>
    <w:p>
      <w:pPr>
        <w:spacing w:after="0" w:line="151" w:lineRule="exact"/>
        <w:rPr>
          <w:rFonts w:ascii="Arial" w:cs="Arial" w:eastAsia="Arial" w:hAnsi="Arial"/>
          <w:sz w:val="18"/>
          <w:szCs w:val="18"/>
          <w:color w:val="auto"/>
        </w:rPr>
      </w:pPr>
    </w:p>
    <w:p>
      <w:pPr>
        <w:ind w:left="660" w:right="20" w:firstLine="1293"/>
        <w:spacing w:after="0" w:line="316" w:lineRule="auto"/>
        <w:tabs>
          <w:tab w:leader="none" w:pos="24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or maintaining any Eurodollar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96" w:lineRule="exact"/>
        <w:rPr>
          <w:sz w:val="20"/>
          <w:szCs w:val="20"/>
          <w:color w:val="auto"/>
        </w:rPr>
      </w:pPr>
    </w:p>
    <w:p>
      <w:pPr>
        <w:jc w:val="both"/>
        <w:ind w:left="740" w:firstLine="1294"/>
        <w:spacing w:after="0" w:line="243" w:lineRule="auto"/>
        <w:tabs>
          <w:tab w:leader="none" w:pos="2663"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w:t>
      </w:r>
    </w:p>
    <w:p>
      <w:pPr>
        <w:sectPr>
          <w:pgSz w:w="11900" w:h="16838" w:orient="portrait"/>
          <w:cols w:equalWidth="0" w:num="1">
            <w:col w:w="11420"/>
          </w:cols>
          <w:pgMar w:left="240" w:top="595" w:right="239" w:bottom="1440" w:gutter="0" w:footer="0" w:header="0"/>
        </w:sectPr>
      </w:pPr>
    </w:p>
    <w:bookmarkStart w:id="158" w:name="page159"/>
    <w:bookmarkEnd w:id="158"/>
    <w:p>
      <w:pPr>
        <w:jc w:val="both"/>
        <w:ind w:left="740" w:right="20"/>
        <w:spacing w:after="0" w:line="246" w:lineRule="auto"/>
        <w:rPr>
          <w:sz w:val="20"/>
          <w:szCs w:val="20"/>
          <w:color w:val="auto"/>
        </w:rPr>
      </w:pPr>
      <w:r>
        <w:rPr>
          <w:rFonts w:ascii="Arial" w:cs="Arial" w:eastAsia="Arial" w:hAnsi="Arial"/>
          <w:sz w:val="20"/>
          <w:szCs w:val="20"/>
          <w:color w:val="auto"/>
        </w:rPr>
        <w:t>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2" w:lineRule="exact"/>
        <w:rPr>
          <w:sz w:val="20"/>
          <w:szCs w:val="20"/>
          <w:color w:val="auto"/>
        </w:rPr>
      </w:pPr>
    </w:p>
    <w:p>
      <w:pPr>
        <w:jc w:val="both"/>
        <w:ind w:left="740" w:firstLine="1294"/>
        <w:spacing w:after="0" w:line="282" w:lineRule="auto"/>
        <w:tabs>
          <w:tab w:leader="none" w:pos="25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certificate of a Lender or the applicable Issuing Bank setting forth the amount or amounts necessary to compensate such Lender or such Issuing Bank or its holding company, as the case may be, as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61" w:lineRule="exact"/>
        <w:rPr>
          <w:rFonts w:ascii="Arial" w:cs="Arial" w:eastAsia="Arial" w:hAnsi="Arial"/>
          <w:sz w:val="18"/>
          <w:szCs w:val="18"/>
          <w:color w:val="auto"/>
        </w:rPr>
      </w:pPr>
    </w:p>
    <w:p>
      <w:pPr>
        <w:ind w:left="2460" w:hanging="426"/>
        <w:spacing w:after="0"/>
        <w:tabs>
          <w:tab w:leader="none" w:pos="2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Issuing Bank to demand compensation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jc w:val="both"/>
        <w:ind w:left="740" w:hanging="3"/>
        <w:spacing w:after="0"/>
        <w:tabs>
          <w:tab w:leader="none" w:pos="1067"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shall not constitute a waiver of such Lender’s or such Issuing Bank’s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or an Issuing Bank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8"/>
          <w:szCs w:val="18"/>
          <w:u w:val="single" w:color="auto"/>
          <w:color w:val="auto"/>
        </w:rPr>
        <w:t>Section 2.09(d)</w:t>
      </w:r>
      <w:r>
        <w:rPr>
          <w:rFonts w:ascii="Arial" w:cs="Arial" w:eastAsia="Arial" w:hAnsi="Arial"/>
          <w:sz w:val="18"/>
          <w:szCs w:val="18"/>
          <w:color w:val="auto"/>
        </w:rPr>
        <w:t xml:space="preserve"> and is revoked in accordance therewith), or (d) the assignment of any Eurodollar Loan other than on the last day of the Interest Period applicable thereto as a result of a request by the Borrower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then, in any such event, the Borrower shall compensate each Lender for the loss, cost and expense attributable to such event (which shall not include any loss of margin or Applicable Rate).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w:t>
      </w:r>
    </w:p>
    <w:p>
      <w:pPr>
        <w:spacing w:after="0" w:line="9" w:lineRule="exact"/>
        <w:rPr>
          <w:sz w:val="20"/>
          <w:szCs w:val="20"/>
          <w:color w:val="auto"/>
        </w:rPr>
      </w:pPr>
    </w:p>
    <w:p>
      <w:pPr>
        <w:jc w:val="both"/>
        <w:ind w:firstLine="8"/>
        <w:spacing w:after="0" w:line="274" w:lineRule="auto"/>
        <w:tabs>
          <w:tab w:leader="none" w:pos="3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ectPr>
          <w:pgSz w:w="11900" w:h="16838" w:orient="portrait"/>
          <w:cols w:equalWidth="0" w:num="1">
            <w:col w:w="11420"/>
          </w:cols>
          <w:pgMar w:left="240" w:top="596" w:right="239" w:bottom="1440" w:gutter="0" w:footer="0" w:header="0"/>
        </w:sectPr>
      </w:pPr>
    </w:p>
    <w:bookmarkStart w:id="159" w:name="page160"/>
    <w:bookmarkEnd w:id="159"/>
    <w:p>
      <w:pPr>
        <w:spacing w:after="0"/>
        <w:tabs>
          <w:tab w:leader="none" w:pos="138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8"/>
          <w:szCs w:val="18"/>
          <w:u w:val="single" w:color="auto"/>
          <w:color w:val="auto"/>
        </w:rPr>
        <w:t>Withholding of Taxes; Gross-Up</w:t>
      </w:r>
      <w:r>
        <w:rPr>
          <w:rFonts w:ascii="Arial" w:cs="Arial" w:eastAsia="Arial" w:hAnsi="Arial"/>
          <w:sz w:val="18"/>
          <w:szCs w:val="18"/>
          <w:color w:val="auto"/>
        </w:rPr>
        <w:t>.</w:t>
      </w:r>
    </w:p>
    <w:p>
      <w:pPr>
        <w:spacing w:after="0" w:line="216" w:lineRule="exact"/>
        <w:rPr>
          <w:sz w:val="20"/>
          <w:szCs w:val="20"/>
          <w:color w:val="auto"/>
        </w:rPr>
      </w:pPr>
    </w:p>
    <w:p>
      <w:pPr>
        <w:jc w:val="both"/>
        <w:ind w:left="80" w:firstLine="1294"/>
        <w:spacing w:after="0" w:line="256" w:lineRule="auto"/>
        <w:tabs>
          <w:tab w:leader="none" w:pos="1803"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84" w:lineRule="exact"/>
        <w:rPr>
          <w:rFonts w:ascii="Arial" w:cs="Arial" w:eastAsia="Arial" w:hAnsi="Arial"/>
          <w:sz w:val="19"/>
          <w:szCs w:val="19"/>
          <w:color w:val="auto"/>
        </w:rPr>
      </w:pPr>
    </w:p>
    <w:p>
      <w:pPr>
        <w:ind w:left="80" w:right="20" w:firstLine="1294"/>
        <w:spacing w:after="0" w:line="316" w:lineRule="auto"/>
        <w:tabs>
          <w:tab w:leader="none" w:pos="184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Other Taxes.</w:t>
      </w:r>
    </w:p>
    <w:p>
      <w:pPr>
        <w:spacing w:after="0" w:line="130" w:lineRule="exact"/>
        <w:rPr>
          <w:rFonts w:ascii="Arial" w:cs="Arial" w:eastAsia="Arial" w:hAnsi="Arial"/>
          <w:sz w:val="18"/>
          <w:szCs w:val="18"/>
          <w:color w:val="auto"/>
        </w:rPr>
      </w:pPr>
    </w:p>
    <w:p>
      <w:pPr>
        <w:jc w:val="both"/>
        <w:ind w:left="80" w:firstLine="1294"/>
        <w:spacing w:after="0" w:line="246" w:lineRule="auto"/>
        <w:tabs>
          <w:tab w:leader="none" w:pos="1803"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Evidence of Payment</w:t>
      </w:r>
      <w:r>
        <w:rPr>
          <w:rFonts w:ascii="Arial" w:cs="Arial" w:eastAsia="Arial" w:hAnsi="Arial"/>
          <w:sz w:val="20"/>
          <w:szCs w:val="20"/>
          <w:color w:val="auto"/>
        </w:rPr>
        <w:t xml:space="preserve">. As soon as practicable after any payment of Taxes by any Loan Party to a Governmental Authority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left="80" w:firstLine="1294"/>
        <w:spacing w:after="0" w:line="258" w:lineRule="auto"/>
        <w:tabs>
          <w:tab w:leader="none" w:pos="180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xml:space="preserve">. The Loan Parties shall indemnify each Recipient, within ten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rFonts w:ascii="Arial" w:cs="Arial" w:eastAsia="Arial" w:hAnsi="Arial"/>
          <w:sz w:val="19"/>
          <w:szCs w:val="19"/>
          <w:color w:val="auto"/>
        </w:rPr>
      </w:pPr>
    </w:p>
    <w:p>
      <w:pPr>
        <w:jc w:val="both"/>
        <w:ind w:left="80" w:firstLine="1294"/>
        <w:spacing w:after="0" w:line="271" w:lineRule="auto"/>
        <w:tabs>
          <w:tab w:leader="none" w:pos="17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w:t>
      </w:r>
    </w:p>
    <w:p>
      <w:pPr>
        <w:sectPr>
          <w:pgSz w:w="11900" w:h="16838" w:orient="portrait"/>
          <w:cols w:equalWidth="0" w:num="1">
            <w:col w:w="10760"/>
          </w:cols>
          <w:pgMar w:left="900" w:top="595" w:right="23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color w:val="auto"/>
        </w:rPr>
        <w:t xml:space="preserve">to such Lender from any other source against any amount due to the Administrative Agent under this </w:t>
      </w:r>
      <w:r>
        <w:rPr>
          <w:rFonts w:ascii="Arial" w:cs="Arial" w:eastAsia="Arial" w:hAnsi="Arial"/>
          <w:sz w:val="20"/>
          <w:szCs w:val="20"/>
          <w:u w:val="single" w:color="auto"/>
          <w:color w:val="auto"/>
        </w:rPr>
        <w:t>clause (e)</w:t>
      </w:r>
      <w:r>
        <w:rPr>
          <w:rFonts w:ascii="Arial" w:cs="Arial" w:eastAsia="Arial" w:hAnsi="Arial"/>
          <w:sz w:val="20"/>
          <w:szCs w:val="20"/>
          <w:color w:val="auto"/>
        </w:rPr>
        <w:t>.</w:t>
      </w:r>
    </w:p>
    <w:p>
      <w:pPr>
        <w:spacing w:after="0" w:line="216" w:lineRule="exact"/>
        <w:rPr>
          <w:sz w:val="20"/>
          <w:szCs w:val="20"/>
          <w:color w:val="auto"/>
        </w:rPr>
      </w:pPr>
    </w:p>
    <w:p>
      <w:pPr>
        <w:ind w:left="1680" w:hanging="386"/>
        <w:spacing w:after="0"/>
        <w:tabs>
          <w:tab w:leader="none" w:pos="1680"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0" w:firstLine="1293"/>
        <w:spacing w:after="0" w:line="270" w:lineRule="auto"/>
        <w:tabs>
          <w:tab w:leader="none" w:pos="15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2.17(f)(ii)(A)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such case the Lender shall indemnify the Borrower and the Administrative Agent from any and all liabilities arising therefrom.</w:t>
      </w:r>
    </w:p>
    <w:p>
      <w:pPr>
        <w:spacing w:after="0" w:line="173" w:lineRule="exact"/>
        <w:rPr>
          <w:rFonts w:ascii="Arial" w:cs="Arial" w:eastAsia="Arial" w:hAnsi="Arial"/>
          <w:sz w:val="18"/>
          <w:szCs w:val="18"/>
          <w:color w:val="auto"/>
        </w:rPr>
      </w:pPr>
    </w:p>
    <w:p>
      <w:pPr>
        <w:ind w:left="1640" w:hanging="427"/>
        <w:spacing w:after="0"/>
        <w:tabs>
          <w:tab w:leader="none" w:pos="16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16" w:lineRule="exact"/>
        <w:rPr>
          <w:sz w:val="20"/>
          <w:szCs w:val="20"/>
          <w:color w:val="auto"/>
        </w:rPr>
      </w:pPr>
    </w:p>
    <w:p>
      <w:pPr>
        <w:jc w:val="both"/>
        <w:ind w:left="560" w:firstLine="653"/>
        <w:spacing w:after="0" w:line="246" w:lineRule="auto"/>
        <w:tabs>
          <w:tab w:leader="none" w:pos="1717"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560" w:firstLine="653"/>
        <w:spacing w:after="0" w:line="246" w:lineRule="auto"/>
        <w:tabs>
          <w:tab w:leader="none" w:pos="18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1220" w:firstLine="641"/>
        <w:spacing w:after="0" w:line="259" w:lineRule="auto"/>
        <w:tabs>
          <w:tab w:leader="none" w:pos="2362" w:val="left"/>
        </w:tabs>
        <w:numPr>
          <w:ilvl w:val="1"/>
          <w:numId w:val="7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ectPr>
          <w:pgSz w:w="11900" w:h="16838" w:orient="portrait"/>
          <w:cols w:equalWidth="0" w:num="1">
            <w:col w:w="10680"/>
          </w:cols>
          <w:pgMar w:left="980" w:top="596" w:right="239" w:bottom="1440" w:gutter="0" w:footer="0" w:header="0"/>
        </w:sectPr>
      </w:pPr>
    </w:p>
    <w:bookmarkStart w:id="161" w:name="page162"/>
    <w:bookmarkEnd w:id="161"/>
    <w:p>
      <w:pPr>
        <w:ind w:left="760" w:firstLine="641"/>
        <w:spacing w:after="0" w:line="260" w:lineRule="auto"/>
        <w:tabs>
          <w:tab w:leader="none" w:pos="2022" w:val="left"/>
        </w:tabs>
        <w:numPr>
          <w:ilvl w:val="1"/>
          <w:numId w:val="71"/>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executed originals of IRS Form W-8ECI;</w:t>
      </w:r>
    </w:p>
    <w:p>
      <w:pPr>
        <w:spacing w:after="0" w:line="176" w:lineRule="exact"/>
        <w:rPr>
          <w:rFonts w:ascii="Arial" w:cs="Arial" w:eastAsia="Arial" w:hAnsi="Arial"/>
          <w:sz w:val="20"/>
          <w:szCs w:val="20"/>
          <w:color w:val="auto"/>
        </w:rPr>
      </w:pPr>
    </w:p>
    <w:p>
      <w:pPr>
        <w:jc w:val="both"/>
        <w:ind w:left="760" w:firstLine="641"/>
        <w:spacing w:after="0" w:line="270" w:lineRule="auto"/>
        <w:tabs>
          <w:tab w:leader="none" w:pos="1819"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w:t>
      </w:r>
    </w:p>
    <w:p>
      <w:pPr>
        <w:spacing w:after="0" w:line="2" w:lineRule="exact"/>
        <w:rPr>
          <w:rFonts w:ascii="Arial" w:cs="Arial" w:eastAsia="Arial" w:hAnsi="Arial"/>
          <w:sz w:val="18"/>
          <w:szCs w:val="18"/>
          <w:color w:val="auto"/>
        </w:rPr>
      </w:pPr>
    </w:p>
    <w:p>
      <w:pPr>
        <w:ind w:left="760" w:hanging="7"/>
        <w:spacing w:after="0" w:line="244" w:lineRule="auto"/>
        <w:tabs>
          <w:tab w:leader="none" w:pos="10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originals of IRS Form W-8BEN or W-8BEN-E; or</w:t>
      </w:r>
    </w:p>
    <w:p>
      <w:pPr>
        <w:spacing w:after="0" w:line="191" w:lineRule="exact"/>
        <w:rPr>
          <w:rFonts w:ascii="Arial" w:cs="Arial" w:eastAsia="Arial" w:hAnsi="Arial"/>
          <w:sz w:val="20"/>
          <w:szCs w:val="20"/>
          <w:color w:val="auto"/>
        </w:rPr>
      </w:pPr>
    </w:p>
    <w:p>
      <w:pPr>
        <w:jc w:val="both"/>
        <w:ind w:left="760" w:firstLine="641"/>
        <w:spacing w:after="0" w:line="276" w:lineRule="auto"/>
        <w:tabs>
          <w:tab w:leader="none" w:pos="1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or W-8BEN-E, a U.S. Tax Compliance Certificate substantially in the form of Exhibit E-2 or Exhibit E-3,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65" w:lineRule="exact"/>
        <w:rPr>
          <w:sz w:val="20"/>
          <w:szCs w:val="20"/>
          <w:color w:val="auto"/>
        </w:rPr>
      </w:pPr>
    </w:p>
    <w:p>
      <w:pPr>
        <w:jc w:val="both"/>
        <w:ind w:left="100" w:firstLine="653"/>
        <w:spacing w:after="0" w:line="243" w:lineRule="auto"/>
        <w:tabs>
          <w:tab w:leader="none" w:pos="1381"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3" w:lineRule="exact"/>
        <w:rPr>
          <w:rFonts w:ascii="Arial" w:cs="Arial" w:eastAsia="Arial" w:hAnsi="Arial"/>
          <w:sz w:val="20"/>
          <w:szCs w:val="20"/>
          <w:color w:val="auto"/>
        </w:rPr>
      </w:pPr>
    </w:p>
    <w:p>
      <w:pPr>
        <w:jc w:val="both"/>
        <w:ind w:left="100" w:firstLine="653"/>
        <w:spacing w:after="0" w:line="269" w:lineRule="auto"/>
        <w:tabs>
          <w:tab w:leader="none" w:pos="127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Arial" w:cs="Arial" w:eastAsia="Arial" w:hAnsi="Arial"/>
          <w:sz w:val="18"/>
          <w:szCs w:val="18"/>
          <w:color w:val="auto"/>
        </w:rPr>
      </w:pPr>
    </w:p>
    <w:p>
      <w:pPr>
        <w:jc w:val="both"/>
        <w:ind w:left="100" w:firstLine="5"/>
        <w:spacing w:after="0"/>
        <w:tabs>
          <w:tab w:leader="none" w:pos="343"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0"/>
          <w:szCs w:val="20"/>
          <w:u w:val="single" w:color="auto"/>
          <w:color w:val="auto"/>
        </w:rPr>
        <w:t>clause (D)</w:t>
      </w:r>
      <w:r>
        <w:rPr>
          <w:rFonts w:ascii="Arial" w:cs="Arial" w:eastAsia="Arial" w:hAnsi="Arial"/>
          <w:sz w:val="20"/>
          <w:szCs w:val="20"/>
          <w:color w:val="auto"/>
        </w:rPr>
        <w:t>, “FATCA” shall include any amendments made to FATCA after the date of this Agreement.</w:t>
      </w:r>
    </w:p>
    <w:p>
      <w:pPr>
        <w:sectPr>
          <w:pgSz w:w="11900" w:h="16838" w:orient="portrait"/>
          <w:cols w:equalWidth="0" w:num="1">
            <w:col w:w="10220"/>
          </w:cols>
          <w:pgMar w:left="1440" w:top="595" w:right="239" w:bottom="1440" w:gutter="0" w:footer="0" w:header="0"/>
        </w:sectPr>
      </w:pPr>
    </w:p>
    <w:bookmarkStart w:id="162" w:name="page163"/>
    <w:bookmarkEnd w:id="162"/>
    <w:p>
      <w:pPr>
        <w:ind w:right="20" w:firstLine="648"/>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0" w:lineRule="exact"/>
        <w:rPr>
          <w:sz w:val="20"/>
          <w:szCs w:val="20"/>
          <w:color w:val="auto"/>
        </w:rPr>
      </w:pPr>
    </w:p>
    <w:p>
      <w:pPr>
        <w:jc w:val="both"/>
        <w:ind w:left="740" w:firstLine="1294"/>
        <w:spacing w:after="0" w:line="254" w:lineRule="auto"/>
        <w:tabs>
          <w:tab w:leader="none" w:pos="248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1" w:lineRule="exact"/>
        <w:rPr>
          <w:rFonts w:ascii="Arial" w:cs="Arial" w:eastAsia="Arial" w:hAnsi="Arial"/>
          <w:sz w:val="19"/>
          <w:szCs w:val="19"/>
          <w:color w:val="auto"/>
        </w:rPr>
      </w:pPr>
    </w:p>
    <w:p>
      <w:pPr>
        <w:jc w:val="both"/>
        <w:ind w:left="740" w:firstLine="1294"/>
        <w:spacing w:after="0" w:line="250" w:lineRule="auto"/>
        <w:tabs>
          <w:tab w:leader="none" w:pos="25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ind w:left="740" w:firstLine="1294"/>
        <w:spacing w:after="0" w:line="260" w:lineRule="auto"/>
        <w:tabs>
          <w:tab w:leader="none" w:pos="247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2.17</w:t>
      </w:r>
      <w:r>
        <w:rPr>
          <w:rFonts w:ascii="Arial" w:cs="Arial" w:eastAsia="Arial" w:hAnsi="Arial"/>
          <w:sz w:val="20"/>
          <w:szCs w:val="20"/>
          <w:color w:val="auto"/>
        </w:rPr>
        <w:t>, the term “Lender” includes any Issuing Bank and the term “applicable law” includes FATCA.</w:t>
      </w:r>
    </w:p>
    <w:p>
      <w:pPr>
        <w:spacing w:after="0" w:line="176" w:lineRule="exact"/>
        <w:rPr>
          <w:rFonts w:ascii="Arial" w:cs="Arial" w:eastAsia="Arial" w:hAnsi="Arial"/>
          <w:sz w:val="20"/>
          <w:szCs w:val="20"/>
          <w:color w:val="auto"/>
        </w:rPr>
      </w:pPr>
    </w:p>
    <w:p>
      <w:pPr>
        <w:jc w:val="both"/>
        <w:ind w:left="740" w:firstLine="1294"/>
        <w:spacing w:after="0" w:line="246" w:lineRule="auto"/>
        <w:tabs>
          <w:tab w:leader="none" w:pos="247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Without Duplication</w:t>
      </w:r>
      <w:r>
        <w:rPr>
          <w:rFonts w:ascii="Arial" w:cs="Arial" w:eastAsia="Arial" w:hAnsi="Arial"/>
          <w:sz w:val="20"/>
          <w:szCs w:val="20"/>
          <w:color w:val="auto"/>
        </w:rPr>
        <w:t xml:space="preserve">. For the avoidance of doubt, no Loan Party shall be required to gross-up or indemnify a Recipient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for any Taxes to the extent another Loan Party has already grossed-up or indemnified such Recipient, or pay any Other Taxes to the extent another Loan Party has already paid such Other Taxes to the relevant Governmental Authority.</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8"/>
          <w:szCs w:val="18"/>
          <w:u w:val="single" w:color="auto"/>
          <w:color w:val="auto"/>
        </w:rPr>
        <w:t>Payments Generally; Allocation of Proceeds; Sharing of Setoffs</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76" w:lineRule="auto"/>
        <w:tabs>
          <w:tab w:leader="none" w:pos="24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(whether of principal, interest, fees or reimbursement of LC Disbursements, or of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w:t>
      </w:r>
    </w:p>
    <w:p>
      <w:pPr>
        <w:sectPr>
          <w:pgSz w:w="11900" w:h="16838" w:orient="portrait"/>
          <w:cols w:equalWidth="0" w:num="1">
            <w:col w:w="11420"/>
          </w:cols>
          <w:pgMar w:left="240" w:top="596" w:right="239" w:bottom="1440" w:gutter="0" w:footer="0" w:header="0"/>
        </w:sectPr>
      </w:pPr>
    </w:p>
    <w:bookmarkStart w:id="163" w:name="page164"/>
    <w:bookmarkEnd w:id="163"/>
    <w:p>
      <w:pPr>
        <w:jc w:val="both"/>
        <w:ind w:left="740"/>
        <w:spacing w:after="0" w:line="278" w:lineRule="auto"/>
        <w:rPr>
          <w:sz w:val="20"/>
          <w:szCs w:val="20"/>
          <w:color w:val="auto"/>
        </w:rPr>
      </w:pPr>
      <w:r>
        <w:rPr>
          <w:rFonts w:ascii="Arial" w:cs="Arial" w:eastAsia="Arial" w:hAnsi="Arial"/>
          <w:sz w:val="18"/>
          <w:szCs w:val="18"/>
          <w:color w:val="auto"/>
        </w:rPr>
        <w:t xml:space="preserve">Issuing Bank as expressly provided herein and except that payments pursuant to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5" w:lineRule="exact"/>
        <w:rPr>
          <w:sz w:val="20"/>
          <w:szCs w:val="20"/>
          <w:color w:val="auto"/>
        </w:rPr>
      </w:pPr>
    </w:p>
    <w:p>
      <w:pPr>
        <w:jc w:val="both"/>
        <w:ind w:left="740" w:firstLine="1294"/>
        <w:spacing w:after="0" w:line="267" w:lineRule="auto"/>
        <w:tabs>
          <w:tab w:leader="none" w:pos="25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or expense reimbursements then due to the Lenders from the Borrower (other than in connection with Banking Services Obligations or Swap Agreement Obligations),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then due and payable on the Loans ratably,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prepay principal on the Loans and unreimbursed LC Disbursements,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 an amount to the Administrative Agent equal to one hundred five percent (105%) of the aggregate undrawn face amount of all outstanding Letters of Credit, to be held as cash collateral for such Obligations,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payment of any amounts owing with respect to Banking Services Obligations and Secured Swap Agreement Obligations, and </w:t>
      </w:r>
      <w:r>
        <w:rPr>
          <w:rFonts w:ascii="Arial" w:cs="Arial" w:eastAsia="Arial" w:hAnsi="Arial"/>
          <w:sz w:val="18"/>
          <w:szCs w:val="18"/>
          <w:u w:val="single" w:color="auto"/>
          <w:color w:val="auto"/>
        </w:rPr>
        <w:t>seventh</w:t>
      </w:r>
      <w:r>
        <w:rPr>
          <w:rFonts w:ascii="Arial" w:cs="Arial" w:eastAsia="Arial" w:hAnsi="Arial"/>
          <w:sz w:val="18"/>
          <w:szCs w:val="18"/>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Eurodollar Loan, except</w:t>
      </w:r>
    </w:p>
    <w:p>
      <w:pPr>
        <w:spacing w:after="0" w:line="6" w:lineRule="exact"/>
        <w:rPr>
          <w:rFonts w:ascii="Arial" w:cs="Arial" w:eastAsia="Arial" w:hAnsi="Arial"/>
          <w:sz w:val="18"/>
          <w:szCs w:val="18"/>
          <w:color w:val="auto"/>
        </w:rPr>
      </w:pPr>
    </w:p>
    <w:p>
      <w:pPr>
        <w:jc w:val="both"/>
        <w:ind w:left="740" w:hanging="3"/>
        <w:spacing w:after="0" w:line="258" w:lineRule="auto"/>
        <w:tabs>
          <w:tab w:leader="none" w:pos="1014"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on the expiration date of the Interest Period applicable to any such Eurodollar Loan or (b) in the event, and only to the extent, that there are no outstanding ABR Loans and, in any such event, the Borrower shall pay the break funding payment required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The Administrative Agent and the Lenders shall have the continuing and exclusive right to apply and reverse and reapply any and all such proceeds and payments to any portion of the Secured Obligations.</w:t>
      </w:r>
    </w:p>
    <w:p>
      <w:pPr>
        <w:spacing w:after="0" w:line="17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Notwithstanding the foregoing, Obligations arising under Banking Services Obligations or Swap Agreement Obligations shall be excluded from the application described above and paid in </w:t>
      </w:r>
      <w:r>
        <w:rPr>
          <w:rFonts w:ascii="Arial" w:cs="Arial" w:eastAsia="Arial" w:hAnsi="Arial"/>
          <w:sz w:val="20"/>
          <w:szCs w:val="20"/>
          <w:u w:val="single" w:color="auto"/>
          <w:color w:val="auto"/>
        </w:rPr>
        <w:t>clause sixth</w:t>
      </w:r>
      <w:r>
        <w:rPr>
          <w:rFonts w:ascii="Arial" w:cs="Arial" w:eastAsia="Arial" w:hAnsi="Arial"/>
          <w:sz w:val="20"/>
          <w:szCs w:val="20"/>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92" w:lineRule="exact"/>
        <w:rPr>
          <w:sz w:val="20"/>
          <w:szCs w:val="20"/>
          <w:color w:val="auto"/>
        </w:rPr>
      </w:pPr>
    </w:p>
    <w:p>
      <w:pPr>
        <w:jc w:val="both"/>
        <w:ind w:left="740" w:firstLine="1294"/>
        <w:spacing w:after="0" w:line="243" w:lineRule="auto"/>
        <w:tabs>
          <w:tab w:leader="none" w:pos="2463"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At the election of the Borrower but subject to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all payments of principal, interest, LC Disbursements, fees, premiums, reimbursable expenses (including, without limitation, all reimbursement for fees, costs and expenses pursuant to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and other sums payable under the Loan Documents, may be paid from the proceeds of Borrowings made hereunder whether made following a request by the Borrower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or a deemed request as provided in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may be deducted from any deposit account of the Borrower maintained with the Administrative Agent.</w:t>
      </w:r>
    </w:p>
    <w:p>
      <w:pPr>
        <w:spacing w:after="0" w:line="196" w:lineRule="exact"/>
        <w:rPr>
          <w:rFonts w:ascii="Arial" w:cs="Arial" w:eastAsia="Arial" w:hAnsi="Arial"/>
          <w:sz w:val="20"/>
          <w:szCs w:val="20"/>
          <w:color w:val="auto"/>
        </w:rPr>
      </w:pPr>
    </w:p>
    <w:p>
      <w:pPr>
        <w:ind w:left="740" w:firstLine="1294"/>
        <w:spacing w:after="0" w:line="260" w:lineRule="auto"/>
        <w:tabs>
          <w:tab w:leader="none" w:pos="247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any Lender shall, by exercising any right of setoff or counterclaim or otherwise, obtain payment in respect of any principal of or interest on any of its Loans or</w:t>
      </w:r>
    </w:p>
    <w:p>
      <w:pPr>
        <w:sectPr>
          <w:pgSz w:w="11900" w:h="16838" w:orient="portrait"/>
          <w:cols w:equalWidth="0" w:num="1">
            <w:col w:w="11420"/>
          </w:cols>
          <w:pgMar w:left="240" w:top="596" w:right="239" w:bottom="1440" w:gutter="0" w:footer="0" w:header="0"/>
        </w:sectPr>
      </w:pPr>
    </w:p>
    <w:bookmarkStart w:id="164" w:name="page165"/>
    <w:bookmarkEnd w:id="164"/>
    <w:p>
      <w:pPr>
        <w:jc w:val="both"/>
        <w:ind w:left="3"/>
        <w:spacing w:after="0" w:line="302" w:lineRule="auto"/>
        <w:rPr>
          <w:sz w:val="20"/>
          <w:szCs w:val="20"/>
          <w:color w:val="auto"/>
        </w:rPr>
      </w:pPr>
      <w:r>
        <w:rPr>
          <w:rFonts w:ascii="Arial" w:cs="Arial" w:eastAsia="Arial" w:hAnsi="Arial"/>
          <w:sz w:val="16"/>
          <w:szCs w:val="16"/>
          <w:color w:val="auto"/>
        </w:rPr>
        <w:t xml:space="preserve">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3" w:lineRule="exact"/>
        <w:rPr>
          <w:sz w:val="20"/>
          <w:szCs w:val="20"/>
          <w:color w:val="auto"/>
        </w:rPr>
      </w:pPr>
    </w:p>
    <w:p>
      <w:pPr>
        <w:jc w:val="both"/>
        <w:ind w:left="3" w:hanging="3"/>
        <w:spacing w:after="0" w:line="254" w:lineRule="auto"/>
        <w:tabs>
          <w:tab w:leader="none" w:pos="33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5" w:lineRule="exact"/>
        <w:rPr>
          <w:rFonts w:ascii="Arial" w:cs="Arial" w:eastAsia="Arial" w:hAnsi="Arial"/>
          <w:sz w:val="19"/>
          <w:szCs w:val="19"/>
          <w:color w:val="auto"/>
        </w:rPr>
      </w:pPr>
    </w:p>
    <w:p>
      <w:pPr>
        <w:jc w:val="both"/>
        <w:ind w:left="3" w:firstLine="1294"/>
        <w:spacing w:after="0" w:line="272" w:lineRule="auto"/>
        <w:tabs>
          <w:tab w:leader="none" w:pos="1753" w:val="left"/>
        </w:tabs>
        <w:numPr>
          <w:ilvl w:val="1"/>
          <w:numId w:val="80"/>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71" w:lineRule="exact"/>
        <w:rPr>
          <w:rFonts w:ascii="Arial" w:cs="Arial" w:eastAsia="Arial" w:hAnsi="Arial"/>
          <w:sz w:val="18"/>
          <w:szCs w:val="18"/>
          <w:color w:val="auto"/>
        </w:rPr>
      </w:pPr>
    </w:p>
    <w:p>
      <w:pPr>
        <w:jc w:val="both"/>
        <w:ind w:left="3" w:firstLine="1294"/>
        <w:spacing w:after="0" w:line="259" w:lineRule="auto"/>
        <w:tabs>
          <w:tab w:leader="none" w:pos="1690"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78" w:lineRule="exact"/>
        <w:rPr>
          <w:rFonts w:ascii="Arial" w:cs="Arial" w:eastAsia="Arial" w:hAnsi="Arial"/>
          <w:sz w:val="19"/>
          <w:szCs w:val="19"/>
          <w:color w:val="auto"/>
        </w:rPr>
      </w:pPr>
    </w:p>
    <w:p>
      <w:pPr>
        <w:jc w:val="both"/>
        <w:ind w:left="3" w:firstLine="1294"/>
        <w:spacing w:after="0" w:line="246" w:lineRule="auto"/>
        <w:tabs>
          <w:tab w:leader="none" w:pos="1737"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Administrative Agent may from time to time provide the Borrower with billing statements or invoices with respect to any of the Secured Obligations (the “</w:t>
      </w:r>
      <w:r>
        <w:rPr>
          <w:rFonts w:ascii="Arial" w:cs="Arial" w:eastAsia="Arial" w:hAnsi="Arial"/>
          <w:sz w:val="20"/>
          <w:szCs w:val="20"/>
          <w:u w:val="single" w:color="auto"/>
          <w:color w:val="auto"/>
        </w:rPr>
        <w:t>Billing Statements</w:t>
      </w:r>
      <w:r>
        <w:rPr>
          <w:rFonts w:ascii="Arial" w:cs="Arial" w:eastAsia="Arial" w:hAnsi="Arial"/>
          <w:sz w:val="20"/>
          <w:szCs w:val="20"/>
          <w:color w:val="auto"/>
        </w:rPr>
        <w:t>”). The Administrative Agent is under no duty or obligation to provide Billing Statements, which, if provided, will be solely for the Borrower’s convenience. The Billing Statements may contain estimates of the amounts owed during the relevant billing period, whether</w:t>
      </w:r>
    </w:p>
    <w:p>
      <w:pPr>
        <w:sectPr>
          <w:pgSz w:w="11900" w:h="16838" w:orient="portrait"/>
          <w:cols w:equalWidth="0" w:num="1">
            <w:col w:w="10683"/>
          </w:cols>
          <w:pgMar w:left="977" w:top="595" w:right="239" w:bottom="1440" w:gutter="0" w:footer="0" w:header="0"/>
        </w:sectPr>
      </w:pPr>
    </w:p>
    <w:bookmarkStart w:id="165" w:name="page166"/>
    <w:bookmarkEnd w:id="165"/>
    <w:p>
      <w:pPr>
        <w:jc w:val="both"/>
        <w:ind w:left="740"/>
        <w:spacing w:after="0" w:line="263" w:lineRule="auto"/>
        <w:rPr>
          <w:sz w:val="20"/>
          <w:szCs w:val="20"/>
          <w:color w:val="auto"/>
        </w:rPr>
      </w:pPr>
      <w:r>
        <w:rPr>
          <w:rFonts w:ascii="Arial" w:cs="Arial" w:eastAsia="Arial" w:hAnsi="Arial"/>
          <w:sz w:val="19"/>
          <w:szCs w:val="19"/>
          <w:color w:val="auto"/>
        </w:rPr>
        <w:t xml:space="preserve">of principal, interest, fees or other Secured Obligations. If the Borrower pays the full amount indicated on a Billing Statement on or before the due date indicated on such Billing Statement, the Borrower shall not be in default; </w:t>
      </w:r>
      <w:r>
        <w:rPr>
          <w:rFonts w:ascii="Arial" w:cs="Arial" w:eastAsia="Arial" w:hAnsi="Arial"/>
          <w:sz w:val="19"/>
          <w:szCs w:val="19"/>
          <w:u w:val="single" w:color="auto"/>
          <w:color w:val="auto"/>
        </w:rPr>
        <w:t>provided</w:t>
      </w:r>
      <w:r>
        <w:rPr>
          <w:rFonts w:ascii="Arial" w:cs="Arial" w:eastAsia="Arial" w:hAnsi="Arial"/>
          <w:sz w:val="19"/>
          <w:szCs w:val="19"/>
          <w:color w:val="auto"/>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73" w:lineRule="auto"/>
        <w:tabs>
          <w:tab w:leader="none" w:pos="24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if the Borrower or the Loan Guarantors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10.09</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10.09</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69" w:lineRule="exact"/>
        <w:rPr>
          <w:rFonts w:ascii="Arial" w:cs="Arial" w:eastAsia="Arial" w:hAnsi="Arial"/>
          <w:sz w:val="18"/>
          <w:szCs w:val="18"/>
          <w:color w:val="auto"/>
        </w:rPr>
      </w:pPr>
    </w:p>
    <w:p>
      <w:pPr>
        <w:jc w:val="both"/>
        <w:ind w:left="740" w:firstLine="1294"/>
        <w:spacing w:after="0" w:line="267" w:lineRule="auto"/>
        <w:tabs>
          <w:tab w:leader="none" w:pos="25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all its interests, rights (other than its existing rights to payments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obligations under this Agreement and other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Borrower shall have received the prior written consent of the Administrative Agent (and if a Commitment is being assigned, the Issuing Banks), which consent shall not unreasonably be withheld,</w:t>
      </w:r>
    </w:p>
    <w:p>
      <w:pPr>
        <w:spacing w:after="0" w:line="8" w:lineRule="exact"/>
        <w:rPr>
          <w:rFonts w:ascii="Arial" w:cs="Arial" w:eastAsia="Arial" w:hAnsi="Arial"/>
          <w:sz w:val="18"/>
          <w:szCs w:val="18"/>
          <w:color w:val="auto"/>
        </w:rPr>
      </w:pPr>
    </w:p>
    <w:p>
      <w:pPr>
        <w:jc w:val="both"/>
        <w:ind w:left="740" w:hanging="3"/>
        <w:spacing w:after="0" w:line="255" w:lineRule="auto"/>
        <w:tabs>
          <w:tab w:leader="none" w:pos="107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Sections 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10.09</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2"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ectPr>
          <w:pgSz w:w="11900" w:h="16838" w:orient="portrait"/>
          <w:cols w:equalWidth="0" w:num="1">
            <w:col w:w="11420"/>
          </w:cols>
          <w:pgMar w:left="240" w:top="596" w:right="239" w:bottom="1440" w:gutter="0" w:footer="0" w:header="0"/>
        </w:sectPr>
      </w:pPr>
    </w:p>
    <w:bookmarkStart w:id="166" w:name="page167"/>
    <w:bookmarkEnd w:id="166"/>
    <w:p>
      <w:pPr>
        <w:ind w:left="1760" w:hanging="466"/>
        <w:spacing w:after="0"/>
        <w:tabs>
          <w:tab w:leader="none" w:pos="1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200" w:lineRule="exact"/>
        <w:rPr>
          <w:sz w:val="20"/>
          <w:szCs w:val="20"/>
          <w:color w:val="auto"/>
        </w:rPr>
      </w:pPr>
    </w:p>
    <w:p>
      <w:pPr>
        <w:jc w:val="both"/>
        <w:ind w:firstLine="1294"/>
        <w:spacing w:after="0" w:line="276" w:lineRule="auto"/>
        <w:tabs>
          <w:tab w:leader="none" w:pos="17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such Defaulting Lender shall not have the right to vote on any issue on which voting is required (other than to the extent expressly provided in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and the Commitment and Credit Exposure of such Defaulting Lender shall not be included in determining whether all Lenders or the Required Lenders have taken or may take any action hereunder (including any consent to any amendment, waiver or other modification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under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65" w:lineRule="exact"/>
        <w:rPr>
          <w:rFonts w:ascii="Arial" w:cs="Arial" w:eastAsia="Arial" w:hAnsi="Arial"/>
          <w:sz w:val="18"/>
          <w:szCs w:val="18"/>
          <w:color w:val="auto"/>
        </w:rPr>
      </w:pPr>
    </w:p>
    <w:p>
      <w:pPr>
        <w:ind w:left="1700" w:hanging="406"/>
        <w:spacing w:after="0"/>
        <w:tabs>
          <w:tab w:leader="none" w:pos="17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if any LC Exposure exists at the time a Lender becomes a Defaulting Lender then:</w:t>
      </w:r>
    </w:p>
    <w:p>
      <w:pPr>
        <w:spacing w:after="0" w:line="215" w:lineRule="exact"/>
        <w:rPr>
          <w:rFonts w:ascii="Arial" w:cs="Arial" w:eastAsia="Arial" w:hAnsi="Arial"/>
          <w:sz w:val="20"/>
          <w:szCs w:val="20"/>
          <w:color w:val="auto"/>
        </w:rPr>
      </w:pPr>
    </w:p>
    <w:p>
      <w:pPr>
        <w:jc w:val="both"/>
        <w:ind w:left="-80" w:firstLine="1293"/>
        <w:spacing w:after="0" w:line="246" w:lineRule="auto"/>
        <w:tabs>
          <w:tab w:leader="none" w:pos="1678" w:val="left"/>
        </w:tabs>
        <w:numPr>
          <w:ilvl w:val="0"/>
          <w:numId w:val="85"/>
        </w:numPr>
        <w:rPr>
          <w:rFonts w:ascii="Arial" w:cs="Arial" w:eastAsia="Arial" w:hAnsi="Arial"/>
          <w:sz w:val="20"/>
          <w:szCs w:val="20"/>
          <w:color w:val="auto"/>
        </w:rPr>
      </w:pPr>
      <w:r>
        <w:rPr>
          <w:rFonts w:ascii="Arial" w:cs="Arial" w:eastAsia="Arial" w:hAnsi="Arial"/>
          <w:sz w:val="20"/>
          <w:szCs w:val="20"/>
          <w:color w:val="auto"/>
        </w:rPr>
        <w:t>all or any part of the LC Exposure of such Defaulting Lender shall be reallocated among the non-Defaulting Lenders in accordance with their respective Applicable Percentages but only to the extent that the sum of all non-Defaulting Lenders’ Credit Exposures plus such Defaulting Lender’s LC Exposure does not exceed the total of all non-Defaulting Lenders’ Commitments; and</w:t>
      </w:r>
    </w:p>
    <w:p>
      <w:pPr>
        <w:spacing w:after="0" w:line="191" w:lineRule="exact"/>
        <w:rPr>
          <w:rFonts w:ascii="Arial" w:cs="Arial" w:eastAsia="Arial" w:hAnsi="Arial"/>
          <w:sz w:val="20"/>
          <w:szCs w:val="20"/>
          <w:color w:val="auto"/>
        </w:rPr>
      </w:pPr>
    </w:p>
    <w:p>
      <w:pPr>
        <w:jc w:val="both"/>
        <w:ind w:left="-80" w:firstLine="1293"/>
        <w:spacing w:after="0" w:line="282" w:lineRule="auto"/>
        <w:tabs>
          <w:tab w:leader="none" w:pos="17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cannot, or can only partially, be effected, the Borrower shall within one Business Day following notice by the Administrative Agent, cash collateralize for the benefit of the Issuing Banks only the Borrower’s obligations corresponding to such Defaulting Lender’s LC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accordance with the procedures set forth in </w:t>
      </w:r>
      <w:r>
        <w:rPr>
          <w:rFonts w:ascii="Arial" w:cs="Arial" w:eastAsia="Arial" w:hAnsi="Arial"/>
          <w:sz w:val="18"/>
          <w:szCs w:val="18"/>
          <w:u w:val="single" w:color="auto"/>
          <w:color w:val="auto"/>
        </w:rPr>
        <w:t>Section 2.06(j)</w:t>
      </w:r>
      <w:r>
        <w:rPr>
          <w:rFonts w:ascii="Arial" w:cs="Arial" w:eastAsia="Arial" w:hAnsi="Arial"/>
          <w:sz w:val="18"/>
          <w:szCs w:val="18"/>
          <w:color w:val="auto"/>
        </w:rPr>
        <w:t xml:space="preserve"> for so long as such LC Exposure is outstanding;</w:t>
      </w:r>
    </w:p>
    <w:p>
      <w:pPr>
        <w:spacing w:after="0" w:line="161" w:lineRule="exact"/>
        <w:rPr>
          <w:rFonts w:ascii="Arial" w:cs="Arial" w:eastAsia="Arial" w:hAnsi="Arial"/>
          <w:sz w:val="18"/>
          <w:szCs w:val="18"/>
          <w:color w:val="auto"/>
        </w:rPr>
      </w:pPr>
    </w:p>
    <w:p>
      <w:pPr>
        <w:jc w:val="both"/>
        <w:ind w:left="-80" w:firstLine="1293"/>
        <w:spacing w:after="0" w:line="291" w:lineRule="auto"/>
        <w:tabs>
          <w:tab w:leader="none" w:pos="17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the Borrower cash collateralizes any portion of such Defaulting Lender’s LC Exposure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2.20(c)</w:t>
      </w:r>
      <w:r>
        <w:rPr>
          <w:rFonts w:ascii="Arial" w:cs="Arial" w:eastAsia="Arial" w:hAnsi="Arial"/>
          <w:sz w:val="18"/>
          <w:szCs w:val="18"/>
          <w:color w:val="auto"/>
        </w:rPr>
        <w:t xml:space="preserve">, the Borrower shall not be required to pay any fees to such Defaulting Lender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151" w:lineRule="exact"/>
        <w:rPr>
          <w:rFonts w:ascii="Arial" w:cs="Arial" w:eastAsia="Arial" w:hAnsi="Arial"/>
          <w:sz w:val="18"/>
          <w:szCs w:val="18"/>
          <w:color w:val="auto"/>
        </w:rPr>
      </w:pPr>
    </w:p>
    <w:p>
      <w:pPr>
        <w:jc w:val="both"/>
        <w:ind w:left="-80" w:firstLine="1293"/>
        <w:spacing w:after="0" w:line="250" w:lineRule="auto"/>
        <w:tabs>
          <w:tab w:leader="none" w:pos="1804"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if the LC Exposure of the non-Defaulting Lenders is reallocated pursuant to </w:t>
      </w:r>
      <w:r>
        <w:rPr>
          <w:rFonts w:ascii="Arial" w:cs="Arial" w:eastAsia="Arial" w:hAnsi="Arial"/>
          <w:sz w:val="20"/>
          <w:szCs w:val="20"/>
          <w:u w:val="single" w:color="auto"/>
          <w:color w:val="auto"/>
        </w:rPr>
        <w:t>Section 2.20(c)</w:t>
      </w:r>
      <w:r>
        <w:rPr>
          <w:rFonts w:ascii="Arial" w:cs="Arial" w:eastAsia="Arial" w:hAnsi="Arial"/>
          <w:sz w:val="20"/>
          <w:szCs w:val="20"/>
          <w:color w:val="auto"/>
        </w:rPr>
        <w:t xml:space="preserve">, then the fees payable to the Lenders pursuant to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shall be adjusted in accordance with such non-Defaulting Lenders’ Applicable Percentages; or</w:t>
      </w:r>
    </w:p>
    <w:p>
      <w:pPr>
        <w:spacing w:after="0" w:line="186" w:lineRule="exact"/>
        <w:rPr>
          <w:rFonts w:ascii="Arial" w:cs="Arial" w:eastAsia="Arial" w:hAnsi="Arial"/>
          <w:sz w:val="20"/>
          <w:szCs w:val="20"/>
          <w:color w:val="auto"/>
        </w:rPr>
      </w:pPr>
    </w:p>
    <w:p>
      <w:pPr>
        <w:jc w:val="both"/>
        <w:ind w:left="-80" w:firstLine="1293"/>
        <w:spacing w:after="0" w:line="243" w:lineRule="auto"/>
        <w:tabs>
          <w:tab w:leader="none" w:pos="1749"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if all or any portion of such Defaulting Lender’s LC Exposure is neither cash collateralized nor reallocated pursuant to </w:t>
      </w:r>
      <w:r>
        <w:rPr>
          <w:rFonts w:ascii="Arial" w:cs="Arial" w:eastAsia="Arial" w:hAnsi="Arial"/>
          <w:sz w:val="20"/>
          <w:szCs w:val="20"/>
          <w:u w:val="single" w:color="auto"/>
          <w:color w:val="auto"/>
        </w:rPr>
        <w:t>Section 2.20(c)</w:t>
      </w:r>
      <w:r>
        <w:rPr>
          <w:rFonts w:ascii="Arial" w:cs="Arial" w:eastAsia="Arial" w:hAnsi="Arial"/>
          <w:sz w:val="20"/>
          <w:szCs w:val="20"/>
          <w:color w:val="auto"/>
        </w:rPr>
        <w:t xml:space="preser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with respect to such Defaulting Lender’s LC Exposure shall be payable to the Issuing Banks until such LC Exposure is cash collateralized and/or reallocated;</w:t>
      </w:r>
    </w:p>
    <w:p>
      <w:pPr>
        <w:spacing w:after="0" w:line="196" w:lineRule="exact"/>
        <w:rPr>
          <w:rFonts w:ascii="Arial" w:cs="Arial" w:eastAsia="Arial" w:hAnsi="Arial"/>
          <w:sz w:val="20"/>
          <w:szCs w:val="20"/>
          <w:color w:val="auto"/>
        </w:rPr>
      </w:pPr>
    </w:p>
    <w:p>
      <w:pPr>
        <w:jc w:val="both"/>
        <w:ind w:right="20" w:firstLine="1294"/>
        <w:spacing w:after="0" w:line="291" w:lineRule="auto"/>
        <w:tabs>
          <w:tab w:leader="none" w:pos="1734" w:val="left"/>
        </w:tabs>
        <w:numPr>
          <w:ilvl w:val="1"/>
          <w:numId w:val="85"/>
        </w:numPr>
        <w:rPr>
          <w:rFonts w:ascii="Arial" w:cs="Arial" w:eastAsia="Arial" w:hAnsi="Arial"/>
          <w:sz w:val="18"/>
          <w:szCs w:val="18"/>
          <w:color w:val="auto"/>
        </w:rPr>
      </w:pPr>
      <w:r>
        <w:rPr>
          <w:rFonts w:ascii="Arial" w:cs="Arial" w:eastAsia="Arial" w:hAnsi="Arial"/>
          <w:sz w:val="18"/>
          <w:szCs w:val="18"/>
          <w:color w:val="auto"/>
        </w:rPr>
        <w:t>so long as such Lender is a Defaulting Lender,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w:t>
      </w:r>
    </w:p>
    <w:p>
      <w:pPr>
        <w:sectPr>
          <w:pgSz w:w="11900" w:h="16838" w:orient="portrait"/>
          <w:cols w:equalWidth="0" w:num="1">
            <w:col w:w="10680"/>
          </w:cols>
          <w:pgMar w:left="980" w:top="595" w:right="239" w:bottom="1440" w:gutter="0" w:footer="0" w:header="0"/>
        </w:sectPr>
      </w:pPr>
    </w:p>
    <w:bookmarkStart w:id="167" w:name="page168"/>
    <w:bookmarkEnd w:id="167"/>
    <w:p>
      <w:pPr>
        <w:jc w:val="both"/>
        <w:ind w:left="740"/>
        <w:spacing w:after="0" w:line="250" w:lineRule="auto"/>
        <w:rPr>
          <w:sz w:val="20"/>
          <w:szCs w:val="20"/>
          <w:color w:val="auto"/>
        </w:rPr>
      </w:pPr>
      <w:r>
        <w:rPr>
          <w:rFonts w:ascii="Arial" w:cs="Arial" w:eastAsia="Arial" w:hAnsi="Arial"/>
          <w:sz w:val="20"/>
          <w:szCs w:val="20"/>
          <w:color w:val="auto"/>
        </w:rPr>
        <w:t xml:space="preserve">Borrower in accordance with </w:t>
      </w:r>
      <w:r>
        <w:rPr>
          <w:rFonts w:ascii="Arial" w:cs="Arial" w:eastAsia="Arial" w:hAnsi="Arial"/>
          <w:sz w:val="20"/>
          <w:szCs w:val="20"/>
          <w:u w:val="single" w:color="auto"/>
          <w:color w:val="auto"/>
        </w:rPr>
        <w:t>Section 2.20(c)</w:t>
      </w:r>
      <w:r>
        <w:rPr>
          <w:rFonts w:ascii="Arial" w:cs="Arial" w:eastAsia="Arial" w:hAnsi="Arial"/>
          <w:sz w:val="20"/>
          <w:szCs w:val="20"/>
          <w:color w:val="auto"/>
        </w:rPr>
        <w:t xml:space="preserve">, and participating interests in any such newly issued or increased Letter of Credit shall be allocated among non-Defaulting Lenders in a manner consistent with </w:t>
      </w:r>
      <w:r>
        <w:rPr>
          <w:rFonts w:ascii="Arial" w:cs="Arial" w:eastAsia="Arial" w:hAnsi="Arial"/>
          <w:sz w:val="20"/>
          <w:szCs w:val="20"/>
          <w:u w:val="single" w:color="auto"/>
          <w:color w:val="auto"/>
        </w:rPr>
        <w:t>Section 2.20(c)(i)</w:t>
      </w:r>
      <w:r>
        <w:rPr>
          <w:rFonts w:ascii="Arial" w:cs="Arial" w:eastAsia="Arial" w:hAnsi="Arial"/>
          <w:sz w:val="20"/>
          <w:szCs w:val="20"/>
          <w:color w:val="auto"/>
        </w:rPr>
        <w:t xml:space="preserve"> (and such Defaulting Lender shall not participate therein);</w:t>
      </w:r>
    </w:p>
    <w:p>
      <w:pPr>
        <w:spacing w:after="0" w:line="186" w:lineRule="exact"/>
        <w:rPr>
          <w:sz w:val="20"/>
          <w:szCs w:val="20"/>
          <w:color w:val="auto"/>
        </w:rPr>
      </w:pPr>
    </w:p>
    <w:p>
      <w:pPr>
        <w:jc w:val="both"/>
        <w:ind w:left="740" w:firstLine="1294"/>
        <w:spacing w:after="0" w:line="243" w:lineRule="auto"/>
        <w:tabs>
          <w:tab w:leader="none" w:pos="245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(i) a Bankruptcy Event with respect to a Parent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such Issuing Bank shall not be required to issue or increase any Letter of Credit unless such Issuing Bank shall have entered into arrangements with the Borrower or such Lender, reasonably satisfactory to such Issuing Bank, as the case may be, to defease any risk to it in respect of such Lender hereunder; and</w:t>
      </w:r>
    </w:p>
    <w:p>
      <w:pPr>
        <w:spacing w:after="0" w:line="196" w:lineRule="exact"/>
        <w:rPr>
          <w:rFonts w:ascii="Arial" w:cs="Arial" w:eastAsia="Arial" w:hAnsi="Arial"/>
          <w:sz w:val="20"/>
          <w:szCs w:val="20"/>
          <w:color w:val="auto"/>
        </w:rPr>
      </w:pPr>
    </w:p>
    <w:p>
      <w:pPr>
        <w:jc w:val="both"/>
        <w:ind w:left="740" w:firstLine="1294"/>
        <w:spacing w:after="0" w:line="260" w:lineRule="auto"/>
        <w:tabs>
          <w:tab w:leader="none" w:pos="2441"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event and on the date that each of the Administrative Agent, the Borrower,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survive the termination of this Agreement.</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2.22</w:t>
      </w:r>
      <w:r>
        <w:rPr>
          <w:sz w:val="20"/>
          <w:szCs w:val="20"/>
          <w:color w:val="auto"/>
        </w:rPr>
        <w:tab/>
      </w:r>
      <w:r>
        <w:rPr>
          <w:rFonts w:ascii="Arial" w:cs="Arial" w:eastAsia="Arial" w:hAnsi="Arial"/>
          <w:sz w:val="16"/>
          <w:szCs w:val="16"/>
          <w:u w:val="single" w:color="auto"/>
          <w:color w:val="auto"/>
        </w:rPr>
        <w:t>Amend and Extend Transactions</w:t>
      </w:r>
      <w:r>
        <w:rPr>
          <w:rFonts w:ascii="Arial" w:cs="Arial" w:eastAsia="Arial" w:hAnsi="Arial"/>
          <w:sz w:val="16"/>
          <w:szCs w:val="16"/>
          <w:color w:val="auto"/>
        </w:rPr>
        <w:t>.</w:t>
      </w:r>
    </w:p>
    <w:p>
      <w:pPr>
        <w:spacing w:after="0" w:line="216" w:lineRule="exact"/>
        <w:rPr>
          <w:sz w:val="20"/>
          <w:szCs w:val="20"/>
          <w:color w:val="auto"/>
        </w:rPr>
      </w:pPr>
    </w:p>
    <w:p>
      <w:pPr>
        <w:jc w:val="both"/>
        <w:ind w:left="740" w:firstLine="1294"/>
        <w:spacing w:after="0" w:line="255" w:lineRule="auto"/>
        <w:tabs>
          <w:tab w:leader="none" w:pos="245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Borrower may, by written notice to the Administrative Agent from time to time, request an extension (each, an “</w:t>
      </w:r>
      <w:r>
        <w:rPr>
          <w:rFonts w:ascii="Arial" w:cs="Arial" w:eastAsia="Arial" w:hAnsi="Arial"/>
          <w:sz w:val="19"/>
          <w:szCs w:val="19"/>
          <w:u w:val="single" w:color="auto"/>
          <w:color w:val="auto"/>
        </w:rPr>
        <w:t>Extension</w:t>
      </w:r>
      <w:r>
        <w:rPr>
          <w:rFonts w:ascii="Arial" w:cs="Arial" w:eastAsia="Arial" w:hAnsi="Arial"/>
          <w:sz w:val="19"/>
          <w:szCs w:val="19"/>
          <w:color w:val="auto"/>
        </w:rPr>
        <w:t>”) of the Maturity Date to the extended maturity date specified in such notice. Such notice shall (i) set forth the amount of Commitments that will be subject to the Extension (which request shall be in minimum increments of $1 million and a minimum amount of $5 million), and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The Lenders shall be offered (an “</w:t>
      </w:r>
      <w:r>
        <w:rPr>
          <w:rFonts w:ascii="Arial" w:cs="Arial" w:eastAsia="Arial" w:hAnsi="Arial"/>
          <w:sz w:val="19"/>
          <w:szCs w:val="19"/>
          <w:u w:val="single" w:color="auto"/>
          <w:color w:val="auto"/>
        </w:rPr>
        <w:t>Extension Offer</w:t>
      </w:r>
      <w:r>
        <w:rPr>
          <w:rFonts w:ascii="Arial" w:cs="Arial" w:eastAsia="Arial" w:hAnsi="Arial"/>
          <w:sz w:val="19"/>
          <w:szCs w:val="19"/>
          <w:color w:val="auto"/>
        </w:rPr>
        <w:t>”) an opportunity to participate in such Extension on a pro rata basis and on the same terms and conditions as each other Lender pursuant to procedures established by, or reasonably acceptable to, the Administrative Agent and Borrower. If the aggregate principal amount of Commitments in respect of which Lenders shall have accepted the relevant Extension Offer shall exceed the maximum aggregate principal amount of Commitments subject to the Extension Offer as set forth in the Extension notice, then the Commitments of the Lenders shall be extended ratably up to such</w:t>
      </w:r>
    </w:p>
    <w:p>
      <w:pPr>
        <w:sectPr>
          <w:pgSz w:w="11900" w:h="16838" w:orient="portrait"/>
          <w:cols w:equalWidth="0" w:num="1">
            <w:col w:w="11420"/>
          </w:cols>
          <w:pgMar w:left="240" w:top="596" w:right="239" w:bottom="1440" w:gutter="0" w:footer="0" w:header="0"/>
        </w:sectPr>
      </w:pPr>
    </w:p>
    <w:bookmarkStart w:id="168" w:name="page169"/>
    <w:bookmarkEnd w:id="168"/>
    <w:p>
      <w:pPr>
        <w:ind w:left="80"/>
        <w:spacing w:after="0"/>
        <w:rPr>
          <w:sz w:val="20"/>
          <w:szCs w:val="20"/>
          <w:color w:val="auto"/>
        </w:rPr>
      </w:pPr>
      <w:r>
        <w:rPr>
          <w:rFonts w:ascii="Arial" w:cs="Arial" w:eastAsia="Arial" w:hAnsi="Arial"/>
          <w:sz w:val="16"/>
          <w:szCs w:val="16"/>
          <w:color w:val="auto"/>
        </w:rPr>
        <w:t>maximum amount based on the respective principal amounts with respect to which such Lenders have accepted such Extension Offer.</w:t>
      </w:r>
    </w:p>
    <w:p>
      <w:pPr>
        <w:spacing w:after="0" w:line="262" w:lineRule="exact"/>
        <w:rPr>
          <w:sz w:val="20"/>
          <w:szCs w:val="20"/>
          <w:color w:val="auto"/>
        </w:rPr>
      </w:pPr>
    </w:p>
    <w:p>
      <w:pPr>
        <w:jc w:val="both"/>
        <w:ind w:left="80" w:firstLine="1294"/>
        <w:spacing w:after="0" w:line="243" w:lineRule="auto"/>
        <w:tabs>
          <w:tab w:leader="none" w:pos="185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in each other Loan Document shall be deemed to be made and shall be true and correct in all material respects on and as of the effective date of such Extension, (iii) each relevant Issuing Bank shall have consented to any Extension of the Commitments, to the extent that such Extension provides for the issuance or extension of Letters of Credit at any time during the extended period and (iv) the terms of such Extended Revolving Credit Commitments shall comply with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80" w:firstLine="1294"/>
        <w:spacing w:after="0" w:line="255" w:lineRule="auto"/>
        <w:tabs>
          <w:tab w:leader="none" w:pos="1803"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terms of each Extension shall be determined by the Borrower and the applicable extending Lenders and set forth in an Extension Amendment;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final maturity date of any Extended Revolving Credit Commitment shall be no earlier than the Maturity Date, (ii) there shall be no scheduled amortization of the loans or reductions of commitments under any Extended Revolving Credit Commitments, (iii) the Extended Loans will rank pari passu in right of payment and security with the existing Loans and the borrower, guarantors and collateral of the Extended Revolving Credit Commitments shall be the same as the borrower, Guarantors and Collateral with respect to the existing Loans, (iv) the interest rate margin and any fees applicable to any Extended Revolving Credit Commitment (and the Extended Loans thereunder) shall be determined by Borrower and the applicable extending Lenders, (v) borrowing and prepayment of Extended Loans, or reductions of Extended Revolving Credit Commitments, and participation in Letters of Credit, shall be on a pro rata basis with the other Loans or Commitments (other than upon the maturity of the non-extended Loans and Commitments) and (vi) the terms of the Extended Revolving Credit Commitments shall be substantially identical to the terms set forth herein.</w:t>
      </w:r>
    </w:p>
    <w:p>
      <w:pPr>
        <w:spacing w:after="0" w:line="187" w:lineRule="exact"/>
        <w:rPr>
          <w:rFonts w:ascii="Arial" w:cs="Arial" w:eastAsia="Arial" w:hAnsi="Arial"/>
          <w:sz w:val="19"/>
          <w:szCs w:val="19"/>
          <w:color w:val="auto"/>
        </w:rPr>
      </w:pPr>
    </w:p>
    <w:p>
      <w:pPr>
        <w:jc w:val="both"/>
        <w:ind w:left="80" w:firstLine="1294"/>
        <w:spacing w:after="0" w:line="255" w:lineRule="auto"/>
        <w:tabs>
          <w:tab w:leader="none" w:pos="1787"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Revolving Credit Commitments as tranche of Commitments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Credit Exposure upon the expiration or termination of the commitments under any tranche), in each case on terms consistent with this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88"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6"/>
          <w:szCs w:val="16"/>
          <w:u w:val="single" w:color="auto"/>
          <w:color w:val="auto"/>
        </w:rPr>
        <w:t>Increase of Commitments</w:t>
      </w:r>
      <w:r>
        <w:rPr>
          <w:rFonts w:ascii="Arial" w:cs="Arial" w:eastAsia="Arial" w:hAnsi="Arial"/>
          <w:sz w:val="16"/>
          <w:szCs w:val="16"/>
          <w:color w:val="auto"/>
        </w:rPr>
        <w:t>.</w:t>
      </w:r>
    </w:p>
    <w:p>
      <w:pPr>
        <w:spacing w:after="0" w:line="216" w:lineRule="exact"/>
        <w:rPr>
          <w:sz w:val="20"/>
          <w:szCs w:val="20"/>
          <w:color w:val="auto"/>
        </w:rPr>
      </w:pPr>
    </w:p>
    <w:p>
      <w:pPr>
        <w:jc w:val="both"/>
        <w:ind w:left="80" w:firstLine="1294"/>
        <w:spacing w:after="0" w:line="250" w:lineRule="auto"/>
        <w:tabs>
          <w:tab w:leader="none" w:pos="1776"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Borrower shall have the right at any time after the Effective Date to request that the aggregate Commitments hereunder be increased (a “</w:t>
      </w:r>
      <w:r>
        <w:rPr>
          <w:rFonts w:ascii="Arial" w:cs="Arial" w:eastAsia="Arial" w:hAnsi="Arial"/>
          <w:sz w:val="20"/>
          <w:szCs w:val="20"/>
          <w:u w:val="single" w:color="auto"/>
          <w:color w:val="auto"/>
        </w:rPr>
        <w:t>Commitment Increase</w:t>
      </w:r>
      <w:r>
        <w:rPr>
          <w:rFonts w:ascii="Arial" w:cs="Arial" w:eastAsia="Arial" w:hAnsi="Arial"/>
          <w:sz w:val="20"/>
          <w:szCs w:val="20"/>
          <w:color w:val="auto"/>
        </w:rPr>
        <w:t>”) in accordance with the following provisions and subject to the following conditions:</w:t>
      </w:r>
    </w:p>
    <w:p>
      <w:pPr>
        <w:sectPr>
          <w:pgSz w:w="11900" w:h="16838" w:orient="portrait"/>
          <w:cols w:equalWidth="0" w:num="1">
            <w:col w:w="10760"/>
          </w:cols>
          <w:pgMar w:left="900" w:top="596" w:right="239" w:bottom="1440" w:gutter="0" w:footer="0" w:header="0"/>
        </w:sectPr>
      </w:pPr>
    </w:p>
    <w:bookmarkStart w:id="169" w:name="page170"/>
    <w:bookmarkEnd w:id="169"/>
    <w:p>
      <w:pPr>
        <w:jc w:val="both"/>
        <w:ind w:left="-540" w:firstLine="1293"/>
        <w:spacing w:after="0" w:line="242" w:lineRule="auto"/>
        <w:tabs>
          <w:tab w:leader="none" w:pos="1204"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Borrower shall give the Administrative Agent, which shall promptly deliver a copy thereof to each of the Lenders, at least ten (10) Business Days’ prior written notice (a “</w:t>
      </w:r>
      <w:r>
        <w:rPr>
          <w:rFonts w:ascii="Arial" w:cs="Arial" w:eastAsia="Arial" w:hAnsi="Arial"/>
          <w:sz w:val="20"/>
          <w:szCs w:val="20"/>
          <w:u w:val="single" w:color="auto"/>
          <w:color w:val="auto"/>
        </w:rPr>
        <w:t>Notice of Increase</w:t>
      </w:r>
      <w:r>
        <w:rPr>
          <w:rFonts w:ascii="Arial" w:cs="Arial" w:eastAsia="Arial" w:hAnsi="Arial"/>
          <w:sz w:val="20"/>
          <w:szCs w:val="20"/>
          <w:color w:val="auto"/>
        </w:rPr>
        <w:t>”) of any such requested increase specifying the aggregate amount by which the Commitments are to be increased (the “</w:t>
      </w:r>
      <w:r>
        <w:rPr>
          <w:rFonts w:ascii="Arial" w:cs="Arial" w:eastAsia="Arial" w:hAnsi="Arial"/>
          <w:sz w:val="20"/>
          <w:szCs w:val="20"/>
          <w:u w:val="single" w:color="auto"/>
          <w:color w:val="auto"/>
        </w:rPr>
        <w:t>Requested Increase Amount</w:t>
      </w:r>
      <w:r>
        <w:rPr>
          <w:rFonts w:ascii="Arial" w:cs="Arial" w:eastAsia="Arial" w:hAnsi="Arial"/>
          <w:sz w:val="20"/>
          <w:szCs w:val="20"/>
          <w:color w:val="auto"/>
        </w:rPr>
        <w:t>”), which shall be at least $10 million, the requested date of increase (the “</w:t>
      </w:r>
      <w:r>
        <w:rPr>
          <w:rFonts w:ascii="Arial" w:cs="Arial" w:eastAsia="Arial" w:hAnsi="Arial"/>
          <w:sz w:val="20"/>
          <w:szCs w:val="20"/>
          <w:u w:val="single" w:color="auto"/>
          <w:color w:val="auto"/>
        </w:rPr>
        <w:t>Requested Increase Date</w:t>
      </w:r>
      <w:r>
        <w:rPr>
          <w:rFonts w:ascii="Arial" w:cs="Arial" w:eastAsia="Arial" w:hAnsi="Arial"/>
          <w:sz w:val="20"/>
          <w:szCs w:val="20"/>
          <w:color w:val="auto"/>
        </w:rPr>
        <w:t>”) and the date by which the Lenders wishing to participate in the Commitment Increase must commit to an increase in the amount of their respective Credit Commitments (the “</w:t>
      </w:r>
      <w:r>
        <w:rPr>
          <w:rFonts w:ascii="Arial" w:cs="Arial" w:eastAsia="Arial" w:hAnsi="Arial"/>
          <w:sz w:val="20"/>
          <w:szCs w:val="20"/>
          <w:u w:val="single" w:color="auto"/>
          <w:color w:val="auto"/>
        </w:rPr>
        <w:t>Commitment Date</w:t>
      </w:r>
      <w:r>
        <w:rPr>
          <w:rFonts w:ascii="Arial" w:cs="Arial" w:eastAsia="Arial" w:hAnsi="Arial"/>
          <w:sz w:val="20"/>
          <w:szCs w:val="20"/>
          <w:color w:val="auto"/>
        </w:rPr>
        <w:t>”). Each Lender that is willing in its sole discretion to participate in such requested Commitment Increase (each an “</w:t>
      </w:r>
      <w:r>
        <w:rPr>
          <w:rFonts w:ascii="Arial" w:cs="Arial" w:eastAsia="Arial" w:hAnsi="Arial"/>
          <w:sz w:val="20"/>
          <w:szCs w:val="20"/>
          <w:u w:val="single" w:color="auto"/>
          <w:color w:val="auto"/>
        </w:rPr>
        <w:t>Increasing Lender</w:t>
      </w:r>
      <w:r>
        <w:rPr>
          <w:rFonts w:ascii="Arial" w:cs="Arial" w:eastAsia="Arial" w:hAnsi="Arial"/>
          <w:sz w:val="20"/>
          <w:szCs w:val="20"/>
          <w:color w:val="auto"/>
        </w:rPr>
        <w:t>”) shall give written notice to the Administrative Agent on or prior to the Commitment Date of the amount by which it is willing to increase its Commitment.</w:t>
      </w:r>
    </w:p>
    <w:p>
      <w:pPr>
        <w:spacing w:after="0" w:line="197" w:lineRule="exact"/>
        <w:rPr>
          <w:rFonts w:ascii="Arial" w:cs="Arial" w:eastAsia="Arial" w:hAnsi="Arial"/>
          <w:sz w:val="20"/>
          <w:szCs w:val="20"/>
          <w:color w:val="auto"/>
        </w:rPr>
      </w:pPr>
    </w:p>
    <w:p>
      <w:pPr>
        <w:jc w:val="both"/>
        <w:ind w:left="-540" w:firstLine="1293"/>
        <w:spacing w:after="0" w:line="243" w:lineRule="auto"/>
        <w:tabs>
          <w:tab w:leader="none" w:pos="1178"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Promptly following each Commitment Date, the Administrative Agent shall notify the Borrower as to the amount, if any, by which the Lenders are willing to participate in the requested Commitment Increase. In addition, the Borrower may extend offers to one or more Eligible Assignees, each of which must be reasonably satisfactory to the Administrative Agent, (such consent not to be unreasonably withheld) to participate in any portion of the requested Commitment Increase;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Commitment of each such Eligible Assignee shall be in an amount of not less than $1 million or an integral multiple of $1 million in excess thereof. Any such Eligible Assignee that agrees to acquire a Commitment pursuant hereto is herein called an “</w:t>
      </w:r>
      <w:r>
        <w:rPr>
          <w:rFonts w:ascii="Arial" w:cs="Arial" w:eastAsia="Arial" w:hAnsi="Arial"/>
          <w:sz w:val="20"/>
          <w:szCs w:val="20"/>
          <w:u w:val="single" w:color="auto"/>
          <w:color w:val="auto"/>
        </w:rPr>
        <w:t>Additional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540" w:firstLine="1293"/>
        <w:spacing w:after="0" w:line="273" w:lineRule="auto"/>
        <w:tabs>
          <w:tab w:leader="none" w:pos="13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Effective on the Requested Increase Date, subject to the terms and conditions hereof, (x) the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shall be deemed to be amended to reflect the increases contemplated hereby, (y) the Commitment of each Increasing Lender shall be increased by an amount determined by the Administrative Agent and the Borrower (but in no event greater than the amount by which such Lender is willing to increase its Commitment), and (z) each Additional Lender shall enter into an agreement in form and substance reasonably satisfactory to the Borrower and the Administrative Agent pursuant to which it shall undertake, as of such Requested Increase Date, a new Commitment in an amount determined by the Administrative Agent and the Borrower (but in no event greater than the amount by which such Lender is willing to participate in the requested Commitment Increase), and such Additional Lender shall thereupon be deemed to be a Lender for all purposes of this Agreement.</w:t>
      </w:r>
    </w:p>
    <w:p>
      <w:pPr>
        <w:spacing w:after="0" w:line="169" w:lineRule="exact"/>
        <w:rPr>
          <w:rFonts w:ascii="Arial" w:cs="Arial" w:eastAsia="Arial" w:hAnsi="Arial"/>
          <w:sz w:val="18"/>
          <w:szCs w:val="18"/>
          <w:color w:val="auto"/>
        </w:rPr>
      </w:pPr>
    </w:p>
    <w:p>
      <w:pPr>
        <w:jc w:val="both"/>
        <w:ind w:left="-540" w:firstLine="1293"/>
        <w:spacing w:after="0" w:line="259" w:lineRule="auto"/>
        <w:tabs>
          <w:tab w:leader="none" w:pos="1222"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on the Requested Increase Date there are any Loans outstanding hereunder, the Borrower shall borrow from all or certain of the Lenders and/or prepay Loans of all or certain of the Lenders such that, after giving effect thereto, the Loans (including, without limitation, the Types and Interest Periods thereof) and such participations shall be held by the Lenders (including for such purposes the Increasing Lenders and the Additional Lenders) ratably in accordance with their respective Commitments. On and after each Increase Date, the ratable share of each Lender’s participation in Letters of Credit and Loans from draws under Letters of Credit shall be calculated after giving effect to each such Commitment Increase.</w:t>
      </w:r>
    </w:p>
    <w:p>
      <w:pPr>
        <w:spacing w:after="0" w:line="179" w:lineRule="exact"/>
        <w:rPr>
          <w:sz w:val="20"/>
          <w:szCs w:val="20"/>
          <w:color w:val="auto"/>
        </w:rPr>
      </w:pPr>
    </w:p>
    <w:p>
      <w:pPr>
        <w:ind w:left="-460" w:firstLine="1294"/>
        <w:spacing w:after="0" w:line="260" w:lineRule="auto"/>
        <w:tabs>
          <w:tab w:leader="none" w:pos="1382"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to the contrary notwithstanding, no increase in the aggregate Commitments hereunder pursuant to this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shall be effective unless:</w:t>
      </w:r>
    </w:p>
    <w:p>
      <w:pPr>
        <w:spacing w:after="0" w:line="176" w:lineRule="exact"/>
        <w:rPr>
          <w:rFonts w:ascii="Arial" w:cs="Arial" w:eastAsia="Arial" w:hAnsi="Arial"/>
          <w:sz w:val="20"/>
          <w:szCs w:val="20"/>
          <w:color w:val="auto"/>
        </w:rPr>
      </w:pPr>
    </w:p>
    <w:p>
      <w:pPr>
        <w:jc w:val="both"/>
        <w:ind w:left="-540" w:firstLine="1293"/>
        <w:spacing w:after="0" w:line="250" w:lineRule="auto"/>
        <w:tabs>
          <w:tab w:leader="none" w:pos="1204"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as of the date of the relevant Notice of Increase and on the relevant Requested Increase Date and after giving effect to such increase, (x) no Default or Event of Default shall have occurred and be continuing and (y) the condition set forth in </w:t>
      </w:r>
      <w:r>
        <w:rPr>
          <w:rFonts w:ascii="Arial" w:cs="Arial" w:eastAsia="Arial" w:hAnsi="Arial"/>
          <w:sz w:val="20"/>
          <w:szCs w:val="20"/>
          <w:u w:val="single" w:color="auto"/>
          <w:color w:val="auto"/>
        </w:rPr>
        <w:t>Section 4.02(a)</w:t>
      </w:r>
      <w:r>
        <w:rPr>
          <w:rFonts w:ascii="Arial" w:cs="Arial" w:eastAsia="Arial" w:hAnsi="Arial"/>
          <w:sz w:val="20"/>
          <w:szCs w:val="20"/>
          <w:color w:val="auto"/>
        </w:rPr>
        <w:t xml:space="preserve"> shall be required to be satisfied;</w:t>
      </w:r>
    </w:p>
    <w:p>
      <w:pPr>
        <w:sectPr>
          <w:pgSz w:w="11900" w:h="16838" w:orient="portrait"/>
          <w:cols w:equalWidth="0" w:num="1">
            <w:col w:w="10220"/>
          </w:cols>
          <w:pgMar w:left="1440" w:top="595" w:right="239" w:bottom="1440" w:gutter="0" w:footer="0" w:header="0"/>
        </w:sectPr>
      </w:pPr>
    </w:p>
    <w:bookmarkStart w:id="170" w:name="page171"/>
    <w:bookmarkEnd w:id="170"/>
    <w:p>
      <w:pPr>
        <w:jc w:val="both"/>
        <w:ind w:left="660" w:firstLine="1293"/>
        <w:spacing w:after="0" w:line="243" w:lineRule="auto"/>
        <w:tabs>
          <w:tab w:leader="none" w:pos="2486" w:val="left"/>
        </w:tabs>
        <w:numPr>
          <w:ilvl w:val="0"/>
          <w:numId w:val="93"/>
        </w:numPr>
        <w:rPr>
          <w:rFonts w:ascii="Arial" w:cs="Arial" w:eastAsia="Arial" w:hAnsi="Arial"/>
          <w:sz w:val="20"/>
          <w:szCs w:val="20"/>
          <w:color w:val="auto"/>
        </w:rPr>
      </w:pPr>
      <w:r>
        <w:rPr>
          <w:rFonts w:ascii="Arial" w:cs="Arial" w:eastAsia="Arial" w:hAnsi="Arial"/>
          <w:sz w:val="20"/>
          <w:szCs w:val="20"/>
          <w:color w:val="auto"/>
        </w:rPr>
        <w:t>to the extent reasonably requested by the Administrative Agent, receipt by the Administrative Agent of (A) customary legal opinions, board resolutions and officers’ certificates consistent with the documentation delivered on the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Lender or Additional Lender is provided with the benefit of the applicable Loan Documents; and</w:t>
      </w:r>
    </w:p>
    <w:p>
      <w:pPr>
        <w:spacing w:after="0" w:line="196" w:lineRule="exact"/>
        <w:rPr>
          <w:rFonts w:ascii="Arial" w:cs="Arial" w:eastAsia="Arial" w:hAnsi="Arial"/>
          <w:sz w:val="20"/>
          <w:szCs w:val="20"/>
          <w:color w:val="auto"/>
        </w:rPr>
      </w:pPr>
    </w:p>
    <w:p>
      <w:pPr>
        <w:ind w:left="2420" w:hanging="467"/>
        <w:spacing w:after="0"/>
        <w:tabs>
          <w:tab w:leader="none" w:pos="2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 giving effect to any such increase the aggregate amount of the Commitments shall not exceed $300 million.</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2.24 </w:t>
      </w:r>
      <w:r>
        <w:rPr>
          <w:rFonts w:ascii="Arial" w:cs="Arial" w:eastAsia="Arial" w:hAnsi="Arial"/>
          <w:sz w:val="19"/>
          <w:szCs w:val="19"/>
          <w:u w:val="single" w:color="auto"/>
          <w:color w:val="auto"/>
        </w:rPr>
        <w:t>Banking Services and Swap Agreements</w:t>
      </w:r>
      <w:r>
        <w:rPr>
          <w:rFonts w:ascii="Arial" w:cs="Arial" w:eastAsia="Arial" w:hAnsi="Arial"/>
          <w:sz w:val="19"/>
          <w:szCs w:val="19"/>
          <w:color w:val="auto"/>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Arial" w:cs="Arial" w:eastAsia="Arial" w:hAnsi="Arial"/>
          <w:sz w:val="19"/>
          <w:szCs w:val="19"/>
          <w:u w:val="single" w:color="auto"/>
          <w:color w:val="auto"/>
        </w:rPr>
        <w:t>Section 2.18(b)</w:t>
      </w:r>
      <w:r>
        <w:rPr>
          <w:rFonts w:ascii="Arial" w:cs="Arial" w:eastAsia="Arial" w:hAnsi="Arial"/>
          <w:sz w:val="19"/>
          <w:szCs w:val="19"/>
          <w:color w:val="auto"/>
        </w:rPr>
        <w:t>, such Banking Services Obligations and/or Swap Agreement Obligations will be placed.</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represents and warrants to the Lenders that: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Loan Parties and each of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Governmental Approvals; No Conflicts</w:t>
      </w:r>
      <w:r>
        <w:rPr>
          <w:rFonts w:ascii="Arial" w:cs="Arial" w:eastAsia="Arial" w:hAnsi="Arial"/>
          <w:sz w:val="20"/>
          <w:szCs w:val="20"/>
          <w:color w:val="auto"/>
        </w:rPr>
        <w:t>. The Transactions (a) do not, on the part of any Loan Party or any of its Subsidiaries, require any consent or approval of, registration or filing with, or any other action by, any Governmental Authority, except such as have been obtained or made and</w:t>
      </w:r>
    </w:p>
    <w:p>
      <w:pPr>
        <w:sectPr>
          <w:pgSz w:w="11900" w:h="16838" w:orient="portrait"/>
          <w:cols w:equalWidth="0" w:num="1">
            <w:col w:w="11420"/>
          </w:cols>
          <w:pgMar w:left="240" w:top="595" w:right="239" w:bottom="1440" w:gutter="0" w:footer="0" w:header="0"/>
        </w:sectPr>
      </w:pPr>
    </w:p>
    <w:bookmarkStart w:id="171" w:name="page172"/>
    <w:bookmarkEnd w:id="171"/>
    <w:p>
      <w:pPr>
        <w:jc w:val="both"/>
        <w:spacing w:after="0" w:line="274" w:lineRule="auto"/>
        <w:rPr>
          <w:sz w:val="20"/>
          <w:szCs w:val="20"/>
          <w:color w:val="auto"/>
        </w:rPr>
      </w:pPr>
      <w:r>
        <w:rPr>
          <w:rFonts w:ascii="Arial" w:cs="Arial" w:eastAsia="Arial" w:hAnsi="Arial"/>
          <w:sz w:val="18"/>
          <w:szCs w:val="18"/>
          <w:color w:val="auto"/>
        </w:rPr>
        <w:t xml:space="preserve">are in full force and effect and except for filings necessary to perfect Liens created pursuant to the Loan Documents, (b) will not violate any Requirement of Law applicable to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$2 million,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(c)(iii)</w:t>
      </w:r>
      <w:r>
        <w:rPr>
          <w:rFonts w:ascii="Arial" w:cs="Arial" w:eastAsia="Arial" w:hAnsi="Arial"/>
          <w:sz w:val="18"/>
          <w:szCs w:val="18"/>
          <w:color w:val="auto"/>
        </w:rPr>
        <w:t>, except as would not reasonably be expected to result in a Material Adverse Effect.</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32" w:lineRule="exact"/>
        <w:tabs>
          <w:tab w:leader="none" w:pos="247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Borrower has heretofore furnished to the Lenders its consolidated balance sheet and statements of income, stockholders equity and cash flows (i) as of and for the fiscal year ended December 31, 2016, reported on by Ernst &amp; Young LLP, independent public accountants, and (ii) as of and for the fiscal quarter and the portion of the fiscal year ended September 30, 2017, certified by its chief financial officer. Such financial statements present fairly, in all material respects, the financial position and results of operations and cash flows of the Borrower and its consolidated Subsidiaries as of such dates and for such periods in accordance with GAAP, subject to year</w:t>
      </w:r>
      <w:r>
        <w:rPr>
          <w:rFonts w:ascii="MS PGothic" w:cs="MS PGothic" w:eastAsia="MS PGothic" w:hAnsi="MS PGothic"/>
          <w:sz w:val="20"/>
          <w:szCs w:val="20"/>
          <w:color w:val="auto"/>
        </w:rPr>
        <w:t>‑</w:t>
      </w:r>
      <w:r>
        <w:rPr>
          <w:rFonts w:ascii="Arial" w:cs="Arial" w:eastAsia="Arial" w:hAnsi="Arial"/>
          <w:sz w:val="20"/>
          <w:szCs w:val="20"/>
          <w:color w:val="auto"/>
        </w:rPr>
        <w:t xml:space="preserve">end audit adjustments and the absence of footnotes in the case of the statements referred to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w:t>
      </w:r>
    </w:p>
    <w:p>
      <w:pPr>
        <w:spacing w:after="0" w:line="199" w:lineRule="exact"/>
        <w:rPr>
          <w:rFonts w:ascii="Arial" w:cs="Arial" w:eastAsia="Arial" w:hAnsi="Arial"/>
          <w:sz w:val="20"/>
          <w:szCs w:val="20"/>
          <w:color w:val="auto"/>
        </w:rPr>
      </w:pPr>
    </w:p>
    <w:p>
      <w:pPr>
        <w:ind w:left="740" w:firstLine="1294"/>
        <w:spacing w:after="0" w:line="260" w:lineRule="auto"/>
        <w:tabs>
          <w:tab w:leader="none" w:pos="2501"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 event, change or condition has occurred that has had, or could reasonably be expected to have, a Material Adverse Effect, since December 31, 2016.</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16" w:lineRule="exact"/>
        <w:rPr>
          <w:sz w:val="20"/>
          <w:szCs w:val="20"/>
          <w:color w:val="auto"/>
        </w:rPr>
      </w:pPr>
    </w:p>
    <w:p>
      <w:pPr>
        <w:jc w:val="both"/>
        <w:ind w:left="740" w:right="20" w:firstLine="1294"/>
        <w:spacing w:after="0" w:line="250" w:lineRule="auto"/>
        <w:tabs>
          <w:tab w:leader="none" w:pos="2517" w:val="left"/>
        </w:tabs>
        <w:numPr>
          <w:ilvl w:val="0"/>
          <w:numId w:val="95"/>
        </w:numPr>
        <w:rPr>
          <w:rFonts w:ascii="Arial" w:cs="Arial" w:eastAsia="Arial" w:hAnsi="Arial"/>
          <w:sz w:val="20"/>
          <w:szCs w:val="20"/>
          <w:color w:val="auto"/>
        </w:rPr>
      </w:pPr>
      <w:r>
        <w:rPr>
          <w:rFonts w:ascii="Arial" w:cs="Arial" w:eastAsia="Arial" w:hAnsi="Arial"/>
          <w:sz w:val="20"/>
          <w:szCs w:val="20"/>
          <w:color w:val="auto"/>
        </w:rPr>
        <w:t>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spacing w:after="0" w:line="186" w:lineRule="exact"/>
        <w:rPr>
          <w:rFonts w:ascii="Arial" w:cs="Arial" w:eastAsia="Arial" w:hAnsi="Arial"/>
          <w:sz w:val="20"/>
          <w:szCs w:val="20"/>
          <w:color w:val="auto"/>
        </w:rPr>
      </w:pPr>
    </w:p>
    <w:p>
      <w:pPr>
        <w:jc w:val="both"/>
        <w:ind w:left="740" w:firstLine="1294"/>
        <w:spacing w:after="0" w:line="246" w:lineRule="auto"/>
        <w:tabs>
          <w:tab w:leader="none" w:pos="2461" w:val="left"/>
        </w:tabs>
        <w:numPr>
          <w:ilvl w:val="0"/>
          <w:numId w:val="95"/>
        </w:numPr>
        <w:rPr>
          <w:rFonts w:ascii="Arial" w:cs="Arial" w:eastAsia="Arial" w:hAnsi="Arial"/>
          <w:sz w:val="20"/>
          <w:szCs w:val="20"/>
          <w:color w:val="auto"/>
        </w:rPr>
      </w:pPr>
      <w:r>
        <w:rPr>
          <w:rFonts w:ascii="Arial" w:cs="Arial" w:eastAsia="Arial" w:hAnsi="Arial"/>
          <w:sz w:val="20"/>
          <w:szCs w:val="20"/>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46" w:lineRule="auto"/>
        <w:tabs>
          <w:tab w:leader="none" w:pos="2436"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spacing w:after="0" w:line="191" w:lineRule="exact"/>
        <w:rPr>
          <w:rFonts w:ascii="Arial" w:cs="Arial" w:eastAsia="Arial" w:hAnsi="Arial"/>
          <w:sz w:val="20"/>
          <w:szCs w:val="20"/>
          <w:color w:val="auto"/>
        </w:rPr>
      </w:pPr>
    </w:p>
    <w:p>
      <w:pPr>
        <w:jc w:val="both"/>
        <w:ind w:left="740" w:firstLine="1294"/>
        <w:spacing w:after="0" w:line="269" w:lineRule="auto"/>
        <w:tabs>
          <w:tab w:leader="none" w:pos="2515"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w:t>
      </w:r>
    </w:p>
    <w:p>
      <w:pPr>
        <w:sectPr>
          <w:pgSz w:w="11900" w:h="16838" w:orient="portrait"/>
          <w:cols w:equalWidth="0" w:num="1">
            <w:col w:w="11420"/>
          </w:cols>
          <w:pgMar w:left="240" w:top="595" w:right="239" w:bottom="1440" w:gutter="0" w:footer="0" w:header="0"/>
        </w:sectPr>
      </w:pPr>
    </w:p>
    <w:bookmarkStart w:id="172" w:name="page173"/>
    <w:bookmarkEnd w:id="172"/>
    <w:p>
      <w:pPr>
        <w:ind w:left="740"/>
        <w:spacing w:after="0" w:line="260" w:lineRule="auto"/>
        <w:rPr>
          <w:sz w:val="20"/>
          <w:szCs w:val="20"/>
          <w:color w:val="auto"/>
        </w:rPr>
      </w:pPr>
      <w:r>
        <w:rPr>
          <w:rFonts w:ascii="Arial" w:cs="Arial" w:eastAsia="Arial" w:hAnsi="Arial"/>
          <w:sz w:val="20"/>
          <w:szCs w:val="20"/>
          <w:color w:val="auto"/>
        </w:rPr>
        <w:t>any basis for any Environmental Liability that, in each case, individually in the aggregate, could reasonably be expected to result in a Material Adverse Effect.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Compliance with Laws and Agreements</w:t>
      </w:r>
      <w:r>
        <w:rPr>
          <w:rFonts w:ascii="Arial" w:cs="Arial" w:eastAsia="Arial" w:hAnsi="Arial"/>
          <w:sz w:val="20"/>
          <w:szCs w:val="20"/>
          <w:color w:val="auto"/>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No Loan Party nor any of its Subsidiaries is an “investment company” as defined in, or subject to regulation under the Investment Company Act of 1940.</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76" w:lineRule="auto"/>
        <w:tabs>
          <w:tab w:leader="none" w:pos="24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65" w:lineRule="exact"/>
        <w:rPr>
          <w:rFonts w:ascii="Arial" w:cs="Arial" w:eastAsia="Arial" w:hAnsi="Arial"/>
          <w:sz w:val="18"/>
          <w:szCs w:val="18"/>
          <w:color w:val="auto"/>
        </w:rPr>
      </w:pPr>
    </w:p>
    <w:p>
      <w:pPr>
        <w:jc w:val="both"/>
        <w:ind w:left="740" w:firstLine="1294"/>
        <w:spacing w:after="0" w:line="250" w:lineRule="auto"/>
        <w:tabs>
          <w:tab w:leader="none" w:pos="251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Borrower represents and warrants as of the Effective Date that the Borrower is not and will not be using “plan assets” (within the meaning of 29 CFR § 2510.3-101, as modified by Section 3(42) of ERISA) of one or more Benefit Plans in connection with the Loans, the Letters of Credit or the Commitments.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ectPr>
          <w:pgSz w:w="11900" w:h="16838" w:orient="portrait"/>
          <w:cols w:equalWidth="0" w:num="1">
            <w:col w:w="11420"/>
          </w:cols>
          <w:pgMar w:left="240" w:top="596" w:right="239" w:bottom="1440" w:gutter="0" w:footer="0" w:header="0"/>
        </w:sectPr>
      </w:pPr>
    </w:p>
    <w:bookmarkStart w:id="173" w:name="page174"/>
    <w:bookmarkEnd w:id="173"/>
    <w:p>
      <w:pPr>
        <w:jc w:val="both"/>
        <w:ind w:firstLine="648"/>
        <w:spacing w:after="0" w:line="234" w:lineRule="exact"/>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as of the date hereof,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 Party has been (to the extent such concepts are relevant with respect to such ownership interests) duly authorized and issued and is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Security Interest in Collateral</w:t>
      </w:r>
      <w:r>
        <w:rPr>
          <w:rFonts w:ascii="Arial" w:cs="Arial" w:eastAsia="Arial" w:hAnsi="Arial"/>
          <w:sz w:val="19"/>
          <w:szCs w:val="19"/>
          <w:color w:val="auto"/>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181"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or Letter of Credit has been used or will be used, whether directly or indirectly, for any purpose that entails a violation of any of the Regulations of the Board, including Regulations T, U and X.</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Common Enterprise</w:t>
      </w:r>
      <w:r>
        <w:rPr>
          <w:rFonts w:ascii="Arial" w:cs="Arial" w:eastAsia="Arial" w:hAnsi="Arial"/>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8"/>
          <w:szCs w:val="18"/>
          <w:u w:val="single" w:color="auto"/>
          <w:color w:val="auto"/>
        </w:rPr>
        <w:t>Not an EEA Financial Institution</w:t>
      </w:r>
      <w:r>
        <w:rPr>
          <w:rFonts w:ascii="Arial" w:cs="Arial" w:eastAsia="Arial" w:hAnsi="Arial"/>
          <w:sz w:val="18"/>
          <w:szCs w:val="18"/>
          <w:color w:val="auto"/>
        </w:rPr>
        <w:t>. No Loan Party is an EEA Financial Institution.</w:t>
      </w:r>
    </w:p>
    <w:p>
      <w:pPr>
        <w:sectPr>
          <w:pgSz w:w="11900" w:h="16838" w:orient="portrait"/>
          <w:cols w:equalWidth="0" w:num="1">
            <w:col w:w="11420"/>
          </w:cols>
          <w:pgMar w:left="240" w:top="596" w:right="239" w:bottom="1440" w:gutter="0" w:footer="0" w:header="0"/>
        </w:sectPr>
      </w:pPr>
    </w:p>
    <w:bookmarkStart w:id="174" w:name="page175"/>
    <w:bookmarkEnd w:id="174"/>
    <w:p>
      <w:pPr>
        <w:ind w:left="506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8"/>
          <w:szCs w:val="18"/>
          <w:u w:val="single" w:color="auto"/>
          <w:color w:val="auto"/>
        </w:rPr>
        <w:t>Conditions to Initial Loans</w:t>
      </w:r>
      <w:r>
        <w:rPr>
          <w:rFonts w:ascii="Arial" w:cs="Arial" w:eastAsia="Arial" w:hAnsi="Arial"/>
          <w:sz w:val="18"/>
          <w:szCs w:val="18"/>
          <w:color w:val="auto"/>
        </w:rPr>
        <w:t>. The obligations of the Lenders to make Loans and of the Issuing Banks to issue Letters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Credit hereunder shall not become effective until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3" w:lineRule="exact"/>
        <w:rPr>
          <w:sz w:val="20"/>
          <w:szCs w:val="20"/>
          <w:color w:val="auto"/>
        </w:rPr>
      </w:pPr>
    </w:p>
    <w:p>
      <w:pPr>
        <w:jc w:val="both"/>
        <w:ind w:left="740" w:firstLine="1294"/>
        <w:spacing w:after="0" w:line="256" w:lineRule="auto"/>
        <w:tabs>
          <w:tab w:leader="none" w:pos="245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Credit Agreement and Other Loan Documents</w:t>
      </w:r>
      <w:r>
        <w:rPr>
          <w:rFonts w:ascii="Arial" w:cs="Arial" w:eastAsia="Arial" w:hAnsi="Arial"/>
          <w:sz w:val="19"/>
          <w:szCs w:val="19"/>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and (ii) duly executed copies of any other Loan Documents to be entered into as of the date hereof and such other certificates, documents, instruments and agreements as the Administrative Agent shall reasonably request in connection with the transactions contemplated by this Agreement and the other Loan Documents, including any Notes requested by a Lender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payable to the order of each such requesting Lender and a written opinion of the Loan Parties’ counsel, addressed to the Administrative Agent, the Issuing Banks and the Lenders and in form and substance reasonably satisfactory to the Administrative Agent.</w:t>
      </w:r>
    </w:p>
    <w:p>
      <w:pPr>
        <w:spacing w:after="0" w:line="184" w:lineRule="exact"/>
        <w:rPr>
          <w:rFonts w:ascii="Arial" w:cs="Arial" w:eastAsia="Arial" w:hAnsi="Arial"/>
          <w:sz w:val="19"/>
          <w:szCs w:val="19"/>
          <w:color w:val="auto"/>
        </w:rPr>
      </w:pPr>
    </w:p>
    <w:p>
      <w:pPr>
        <w:jc w:val="both"/>
        <w:ind w:left="740" w:firstLine="1294"/>
        <w:spacing w:after="0" w:line="244" w:lineRule="auto"/>
        <w:tabs>
          <w:tab w:leader="none" w:pos="2623"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Financial Statements and Projections</w:t>
      </w:r>
      <w:r>
        <w:rPr>
          <w:rFonts w:ascii="Arial" w:cs="Arial" w:eastAsia="Arial" w:hAnsi="Arial"/>
          <w:sz w:val="20"/>
          <w:szCs w:val="20"/>
          <w:color w:val="auto"/>
        </w:rPr>
        <w:t xml:space="preserve">. The Lenders shall have received (i) audited consolidated financial statements of the Borrower and its Subsidiaries for the 2014, 2015, and 2016 fiscal years, (ii) unaudited interim consolidated financial statements of the Borrower and its Subsidiaries for each fiscal quarter ended after the date of the latest applicable financial statements delivered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this paragraph as to which such financial statements are available, and (iii) projections through 2020.</w:t>
      </w:r>
    </w:p>
    <w:p>
      <w:pPr>
        <w:spacing w:after="0" w:line="194" w:lineRule="exact"/>
        <w:rPr>
          <w:rFonts w:ascii="Arial" w:cs="Arial" w:eastAsia="Arial" w:hAnsi="Arial"/>
          <w:sz w:val="20"/>
          <w:szCs w:val="20"/>
          <w:color w:val="auto"/>
        </w:rPr>
      </w:pPr>
    </w:p>
    <w:p>
      <w:pPr>
        <w:jc w:val="both"/>
        <w:ind w:left="740" w:firstLine="1294"/>
        <w:spacing w:after="0" w:line="233" w:lineRule="exact"/>
        <w:tabs>
          <w:tab w:leader="none" w:pos="245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Closing Certificates</w:t>
      </w:r>
      <w:r>
        <w:rPr>
          <w:rFonts w:ascii="Arial" w:cs="Arial" w:eastAsia="Arial" w:hAnsi="Arial"/>
          <w:sz w:val="19"/>
          <w:szCs w:val="19"/>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9"/>
          <w:szCs w:val="19"/>
          <w:color w:val="auto"/>
        </w:rPr>
        <w:t>‑</w:t>
      </w:r>
      <w:r>
        <w:rPr>
          <w:rFonts w:ascii="Arial" w:cs="Arial" w:eastAsia="Arial" w:hAnsi="Arial"/>
          <w:sz w:val="19"/>
          <w:szCs w:val="19"/>
          <w:color w:val="auto"/>
        </w:rPr>
        <w:t>laws or operating, management or partnership agreement, and (ii) a long form good standing certificate for each Loan Party from its jurisdiction of organization.</w:t>
      </w:r>
    </w:p>
    <w:p>
      <w:pPr>
        <w:spacing w:after="0" w:line="195" w:lineRule="exact"/>
        <w:rPr>
          <w:rFonts w:ascii="Arial" w:cs="Arial" w:eastAsia="Arial" w:hAnsi="Arial"/>
          <w:sz w:val="19"/>
          <w:szCs w:val="19"/>
          <w:color w:val="auto"/>
        </w:rPr>
      </w:pPr>
    </w:p>
    <w:p>
      <w:pPr>
        <w:jc w:val="both"/>
        <w:ind w:left="740" w:firstLine="1294"/>
        <w:spacing w:after="0" w:line="282" w:lineRule="auto"/>
        <w:tabs>
          <w:tab w:leader="none" w:pos="247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Default Certificate</w:t>
      </w:r>
      <w:r>
        <w:rPr>
          <w:rFonts w:ascii="Arial" w:cs="Arial" w:eastAsia="Arial" w:hAnsi="Arial"/>
          <w:sz w:val="18"/>
          <w:szCs w:val="18"/>
          <w:color w:val="auto"/>
        </w:rPr>
        <w:t xml:space="preserve">. The Administrative Agent shall have received a certificate, signed by the chief financial officer of the Borrower on the initial Borrowing date (i) stating that no Default has occurred and is continuing and (ii) stating that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in all material respects as of such date except that any representation and warranty that is qualified as to “materiality” or “Material Adverse Effect” shall be true and correct in all respects.</w:t>
      </w:r>
    </w:p>
    <w:p>
      <w:pPr>
        <w:spacing w:after="0" w:line="161" w:lineRule="exact"/>
        <w:rPr>
          <w:rFonts w:ascii="Arial" w:cs="Arial" w:eastAsia="Arial" w:hAnsi="Arial"/>
          <w:sz w:val="18"/>
          <w:szCs w:val="18"/>
          <w:color w:val="auto"/>
        </w:rPr>
      </w:pPr>
    </w:p>
    <w:p>
      <w:pPr>
        <w:ind w:left="740" w:firstLine="1294"/>
        <w:spacing w:after="0" w:line="260" w:lineRule="auto"/>
        <w:tabs>
          <w:tab w:leader="none" w:pos="243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Lenders and the Administrative Agent shall have received all fees required to be paid, and all expenses (including the reasonable fees and expenses of outside</w:t>
      </w:r>
    </w:p>
    <w:p>
      <w:pPr>
        <w:sectPr>
          <w:pgSz w:w="11900" w:h="16838" w:orient="portrait"/>
          <w:cols w:equalWidth="0" w:num="1">
            <w:col w:w="11420"/>
          </w:cols>
          <w:pgMar w:left="240" w:top="596" w:right="239" w:bottom="1440" w:gutter="0" w:footer="0" w:header="0"/>
        </w:sectPr>
      </w:pPr>
    </w:p>
    <w:bookmarkStart w:id="175" w:name="page176"/>
    <w:bookmarkEnd w:id="175"/>
    <w:p>
      <w:pPr>
        <w:ind w:right="20"/>
        <w:spacing w:after="0" w:line="260" w:lineRule="auto"/>
        <w:rPr>
          <w:sz w:val="20"/>
          <w:szCs w:val="20"/>
          <w:color w:val="auto"/>
        </w:rPr>
      </w:pPr>
      <w:r>
        <w:rPr>
          <w:rFonts w:ascii="Arial" w:cs="Arial" w:eastAsia="Arial" w:hAnsi="Arial"/>
          <w:sz w:val="20"/>
          <w:szCs w:val="20"/>
          <w:color w:val="auto"/>
        </w:rPr>
        <w:t>legal counsel) for which invoices have been presented no later than three Business Days prior to the Effective Date (or a shorter period as agreed to by the Borrower).</w:t>
      </w:r>
    </w:p>
    <w:p>
      <w:pPr>
        <w:spacing w:after="0" w:line="177" w:lineRule="exact"/>
        <w:rPr>
          <w:sz w:val="20"/>
          <w:szCs w:val="20"/>
          <w:color w:val="auto"/>
        </w:rPr>
      </w:pPr>
    </w:p>
    <w:p>
      <w:pPr>
        <w:jc w:val="both"/>
        <w:ind w:firstLine="1294"/>
        <w:spacing w:after="0" w:line="291" w:lineRule="auto"/>
        <w:tabs>
          <w:tab w:leader="none" w:pos="17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xml:space="preserve">. The Administrative Agent shall have received the results of a recent customary lien search, and such search shall reveal no liens on any of the assets of the Loan Parties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or discharged on or prior to the Effective Date pursuant to a pay-off letter or other documentation reasonably satisfactory to the Administrative Agent.</w:t>
      </w:r>
    </w:p>
    <w:p>
      <w:pPr>
        <w:spacing w:after="0" w:line="151" w:lineRule="exact"/>
        <w:rPr>
          <w:rFonts w:ascii="Arial" w:cs="Arial" w:eastAsia="Arial" w:hAnsi="Arial"/>
          <w:sz w:val="18"/>
          <w:szCs w:val="18"/>
          <w:color w:val="auto"/>
        </w:rPr>
      </w:pPr>
    </w:p>
    <w:p>
      <w:pPr>
        <w:jc w:val="both"/>
        <w:ind w:firstLine="1294"/>
        <w:spacing w:after="0" w:line="257" w:lineRule="auto"/>
        <w:tabs>
          <w:tab w:leader="none" w:pos="174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Pledged Stock; Stock Powers; Pledged Notes</w:t>
      </w:r>
      <w:r>
        <w:rPr>
          <w:rFonts w:ascii="Arial" w:cs="Arial" w:eastAsia="Arial" w:hAnsi="Arial"/>
          <w:sz w:val="19"/>
          <w:szCs w:val="19"/>
          <w:color w:val="auto"/>
        </w:rPr>
        <w:t xml:space="preserve">. The Administrative Agent shall have received (i) the certificates representing the shares of Equity Interests pledged pursuant to the Security Agreement, together with an undated stock power for each such certificate executed in blank by a duly authorized officer of the pledgor thereof and (ii) to the extent required to be delivered pursuant to the Security Agreement, each promissory note (if any) pledged to the Administrative Agent pursuant to the Security Agreement endorsed (without recourse) in blank (or accompanied by an executed transfer form in blank) by the pledgor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certificates representing the equity interest of Overland Solutions, Inc., Overland Holdings, Inc. and Datasource Consulting LLC shall instead be delivered to the Administrative Agent not later than November 28, 2017 (or such later date as the Administrative Agent may agree in its reasonable discretion).</w:t>
      </w:r>
    </w:p>
    <w:p>
      <w:pPr>
        <w:spacing w:after="0" w:line="181" w:lineRule="exact"/>
        <w:rPr>
          <w:rFonts w:ascii="Arial" w:cs="Arial" w:eastAsia="Arial" w:hAnsi="Arial"/>
          <w:sz w:val="19"/>
          <w:szCs w:val="19"/>
          <w:color w:val="auto"/>
        </w:rPr>
      </w:pPr>
    </w:p>
    <w:p>
      <w:pPr>
        <w:jc w:val="both"/>
        <w:ind w:firstLine="1294"/>
        <w:spacing w:after="0" w:line="278" w:lineRule="auto"/>
        <w:tabs>
          <w:tab w:leader="none" w:pos="18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xml:space="preserve">.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(but only to the extent required therein), prior and superior in right to any other Person (other than with respect to Liens expressly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shall be in proper form for filing, registration or recordation.</w:t>
      </w:r>
    </w:p>
    <w:p>
      <w:pPr>
        <w:spacing w:after="0" w:line="165" w:lineRule="exact"/>
        <w:rPr>
          <w:rFonts w:ascii="Arial" w:cs="Arial" w:eastAsia="Arial" w:hAnsi="Arial"/>
          <w:sz w:val="18"/>
          <w:szCs w:val="18"/>
          <w:color w:val="auto"/>
        </w:rPr>
      </w:pPr>
    </w:p>
    <w:p>
      <w:pPr>
        <w:jc w:val="both"/>
        <w:ind w:firstLine="1294"/>
        <w:spacing w:after="0" w:line="250" w:lineRule="auto"/>
        <w:tabs>
          <w:tab w:leader="none" w:pos="17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The Administrative Agent shall have received evidence of insurance coverage in form, scope, and substance reasonably satisfactory to the Administrative Agent and otherwise in compliance with the terms of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4.10</w:t>
      </w:r>
      <w:r>
        <w:rPr>
          <w:rFonts w:ascii="Arial" w:cs="Arial" w:eastAsia="Arial" w:hAnsi="Arial"/>
          <w:sz w:val="20"/>
          <w:szCs w:val="20"/>
          <w:color w:val="auto"/>
        </w:rPr>
        <w:t xml:space="preserve"> of the Security Agreement.</w:t>
      </w:r>
    </w:p>
    <w:p>
      <w:pPr>
        <w:spacing w:after="0" w:line="186" w:lineRule="exact"/>
        <w:rPr>
          <w:rFonts w:ascii="Arial" w:cs="Arial" w:eastAsia="Arial" w:hAnsi="Arial"/>
          <w:sz w:val="20"/>
          <w:szCs w:val="20"/>
          <w:color w:val="auto"/>
        </w:rPr>
      </w:pPr>
    </w:p>
    <w:p>
      <w:pPr>
        <w:ind w:right="20" w:firstLine="1294"/>
        <w:spacing w:after="0" w:line="260" w:lineRule="auto"/>
        <w:tabs>
          <w:tab w:leader="none" w:pos="1852"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The Administrative Agent shall have received a solvency certificate from a Financial Officer substantially in the form attached hereto as Exhibit D.</w:t>
      </w:r>
    </w:p>
    <w:p>
      <w:pPr>
        <w:spacing w:after="0" w:line="176" w:lineRule="exact"/>
        <w:rPr>
          <w:rFonts w:ascii="Arial" w:cs="Arial" w:eastAsia="Arial" w:hAnsi="Arial"/>
          <w:sz w:val="20"/>
          <w:szCs w:val="20"/>
          <w:color w:val="auto"/>
        </w:rPr>
      </w:pPr>
    </w:p>
    <w:p>
      <w:pPr>
        <w:ind w:right="20" w:firstLine="1294"/>
        <w:spacing w:after="0" w:line="260" w:lineRule="auto"/>
        <w:tabs>
          <w:tab w:leader="none" w:pos="1707"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Administrative Agent shall have received a properly completed and signed IRS Form W-8 or W-9, as applicable, for each Loan Party.</w:t>
      </w:r>
    </w:p>
    <w:p>
      <w:pPr>
        <w:spacing w:after="0" w:line="176" w:lineRule="exact"/>
        <w:rPr>
          <w:rFonts w:ascii="Arial" w:cs="Arial" w:eastAsia="Arial" w:hAnsi="Arial"/>
          <w:sz w:val="20"/>
          <w:szCs w:val="20"/>
          <w:color w:val="auto"/>
        </w:rPr>
      </w:pPr>
    </w:p>
    <w:p>
      <w:pPr>
        <w:jc w:val="both"/>
        <w:ind w:firstLine="1294"/>
        <w:spacing w:after="0" w:line="244" w:lineRule="auto"/>
        <w:tabs>
          <w:tab w:leader="none" w:pos="169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USA PATRIOT Act, Etc</w:t>
      </w:r>
      <w:r>
        <w:rPr>
          <w:rFonts w:ascii="Arial" w:cs="Arial" w:eastAsia="Arial" w:hAnsi="Arial"/>
          <w:sz w:val="20"/>
          <w:szCs w:val="20"/>
          <w:color w:val="auto"/>
        </w:rPr>
        <w:t>. At least three Business Days prior to the Effective Date, the Borrower and each of the other Loan Parties shall have provided to the Administrative Agent or the Lenders the documentation and other information theretofore requested in writing by the Administrative Agent or the Lenders at least five business days prior to the Effective Date that is required by regulatory authorities under applicable “know your customer” and anti-money-laundering rules and regulations, including the USA PATRIOT Act.</w:t>
      </w:r>
    </w:p>
    <w:p>
      <w:pPr>
        <w:spacing w:after="0" w:line="194" w:lineRule="exact"/>
        <w:rPr>
          <w:rFonts w:ascii="Arial" w:cs="Arial" w:eastAsia="Arial" w:hAnsi="Arial"/>
          <w:sz w:val="20"/>
          <w:szCs w:val="20"/>
          <w:color w:val="auto"/>
        </w:rPr>
      </w:pPr>
    </w:p>
    <w:p>
      <w:pPr>
        <w:jc w:val="both"/>
        <w:ind w:firstLine="1294"/>
        <w:spacing w:after="0" w:line="250" w:lineRule="auto"/>
        <w:tabs>
          <w:tab w:leader="none" w:pos="181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Prior to or substantially contemporaneously with the Effective Date, all principal, premium, if any, interest, fees and other amounts due or outstanding under the Existing Credit Agreement, shall have been or shall be satisfied in full, the</w:t>
      </w:r>
    </w:p>
    <w:p>
      <w:pPr>
        <w:sectPr>
          <w:pgSz w:w="11900" w:h="16838" w:orient="portrait"/>
          <w:cols w:equalWidth="0" w:num="1">
            <w:col w:w="10680"/>
          </w:cols>
          <w:pgMar w:left="980" w:top="595" w:right="239" w:bottom="1440" w:gutter="0" w:footer="0" w:header="0"/>
        </w:sectPr>
      </w:pPr>
    </w:p>
    <w:bookmarkStart w:id="176" w:name="page177"/>
    <w:bookmarkEnd w:id="176"/>
    <w:p>
      <w:pPr>
        <w:jc w:val="both"/>
        <w:ind w:left="740"/>
        <w:spacing w:after="0" w:line="250" w:lineRule="auto"/>
        <w:rPr>
          <w:sz w:val="20"/>
          <w:szCs w:val="20"/>
          <w:color w:val="auto"/>
        </w:rPr>
      </w:pPr>
      <w:r>
        <w:rPr>
          <w:rFonts w:ascii="Arial" w:cs="Arial" w:eastAsia="Arial" w:hAnsi="Arial"/>
          <w:sz w:val="20"/>
          <w:szCs w:val="20"/>
          <w:color w:val="auto"/>
        </w:rPr>
        <w:t>commitments thereunder shall have been or shall be terminated and all guarantees and Liens existing in connection therewith shall have been or shall be discharged and released (the “</w:t>
      </w:r>
      <w:r>
        <w:rPr>
          <w:rFonts w:ascii="Arial" w:cs="Arial" w:eastAsia="Arial" w:hAnsi="Arial"/>
          <w:sz w:val="20"/>
          <w:szCs w:val="20"/>
          <w:u w:val="single" w:color="auto"/>
          <w:color w:val="auto"/>
        </w:rPr>
        <w:t>Refinancing</w:t>
      </w:r>
      <w:r>
        <w:rPr>
          <w:rFonts w:ascii="Arial" w:cs="Arial" w:eastAsia="Arial" w:hAnsi="Arial"/>
          <w:sz w:val="20"/>
          <w:szCs w:val="20"/>
          <w:color w:val="auto"/>
        </w:rPr>
        <w:t>”), and the Administrative Agent shall have received reasonably satisfactory evidence thereof.</w:t>
      </w:r>
    </w:p>
    <w:p>
      <w:pPr>
        <w:spacing w:after="0" w:line="186" w:lineRule="exact"/>
        <w:rPr>
          <w:sz w:val="20"/>
          <w:szCs w:val="20"/>
          <w:color w:val="auto"/>
        </w:rPr>
      </w:pPr>
    </w:p>
    <w:p>
      <w:pPr>
        <w:jc w:val="both"/>
        <w:ind w:left="740" w:firstLine="1294"/>
        <w:spacing w:after="0" w:line="246" w:lineRule="auto"/>
        <w:tabs>
          <w:tab w:leader="none" w:pos="2461"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The Administrative Agent shall have received a properly completed letter of credit application (whether standalone or pursuant to a master agreement, as applicable), and, to the extent required by the relevant Issuing Bank, the Borrower shall have executed the Issuing Bank’s master agreement for the issuance of commercial Letters of Credit, in each case if the issuance of a Letter of Credit will be required on the Effective Date.</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 the Lenders and the Issuing Banks of the Effective Date, and such notice shall be conclusive and binding.</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Each Credit Event</w:t>
      </w:r>
      <w:r>
        <w:rPr>
          <w:rFonts w:ascii="Arial" w:cs="Arial" w:eastAsia="Arial" w:hAnsi="Arial"/>
          <w:sz w:val="20"/>
          <w:szCs w:val="20"/>
          <w:color w:val="auto"/>
        </w:rPr>
        <w:t>. The obligation of each Lender to make any Loan, and of the Issuing Banks to issue or increase any Letter of Credit, is subject to the satisfaction of the following conditions:</w:t>
      </w:r>
    </w:p>
    <w:p>
      <w:pPr>
        <w:spacing w:after="0" w:line="177" w:lineRule="exact"/>
        <w:rPr>
          <w:sz w:val="20"/>
          <w:szCs w:val="20"/>
          <w:color w:val="auto"/>
        </w:rPr>
      </w:pPr>
    </w:p>
    <w:p>
      <w:pPr>
        <w:jc w:val="both"/>
        <w:ind w:left="740" w:firstLine="1294"/>
        <w:spacing w:after="0" w:line="260" w:lineRule="auto"/>
        <w:tabs>
          <w:tab w:leader="none" w:pos="249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(ii) any representation and warranty that is qualified as to “materiality” or “Material Adverse Effect” shall be true and correct in all respects.</w:t>
      </w:r>
    </w:p>
    <w:p>
      <w:pPr>
        <w:spacing w:after="0" w:line="180" w:lineRule="exact"/>
        <w:rPr>
          <w:rFonts w:ascii="Arial" w:cs="Arial" w:eastAsia="Arial" w:hAnsi="Arial"/>
          <w:sz w:val="19"/>
          <w:szCs w:val="19"/>
          <w:color w:val="auto"/>
        </w:rPr>
      </w:pPr>
    </w:p>
    <w:p>
      <w:pPr>
        <w:ind w:left="740" w:firstLine="1294"/>
        <w:spacing w:after="0" w:line="260" w:lineRule="auto"/>
        <w:tabs>
          <w:tab w:leader="none" w:pos="2515"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Loan or the issuance or increase of such Letter of Credit, as applicable, no Default shall have occurred and be continuing.</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Each Loan and each issuance or increase of a Letter of Credit shall be deemed to constitute a representation and warranty by the Borrower on the date thereof as to the matters specified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4.02</w:t>
      </w:r>
      <w:r>
        <w:rPr>
          <w:rFonts w:ascii="Arial" w:cs="Arial" w:eastAsia="Arial" w:hAnsi="Arial"/>
          <w:sz w:val="20"/>
          <w:szCs w:val="20"/>
          <w:color w:val="auto"/>
        </w:rPr>
        <w:t>.</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(or cash collateralized on terms reasonably acceptable to the Administrative Agent), each Loan Party executing this Agreement covenants and agrees, jointly and severally with all of the Loan Parties, with the Lenders that:</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and each Lender:</w:t>
      </w:r>
    </w:p>
    <w:p>
      <w:pPr>
        <w:spacing w:after="0" w:line="216" w:lineRule="exact"/>
        <w:rPr>
          <w:sz w:val="20"/>
          <w:szCs w:val="20"/>
          <w:color w:val="auto"/>
        </w:rPr>
      </w:pPr>
    </w:p>
    <w:p>
      <w:pPr>
        <w:jc w:val="both"/>
        <w:ind w:left="740" w:firstLine="1294"/>
        <w:spacing w:after="0" w:line="291" w:lineRule="auto"/>
        <w:tabs>
          <w:tab w:leader="none" w:pos="24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w:t>
      </w:r>
    </w:p>
    <w:p>
      <w:pPr>
        <w:sectPr>
          <w:pgSz w:w="11900" w:h="16838" w:orient="portrait"/>
          <w:cols w:equalWidth="0" w:num="1">
            <w:col w:w="11420"/>
          </w:cols>
          <w:pgMar w:left="240" w:top="595" w:right="239" w:bottom="1440" w:gutter="0" w:footer="0" w:header="0"/>
        </w:sectPr>
      </w:pPr>
    </w:p>
    <w:bookmarkStart w:id="177" w:name="page178"/>
    <w:bookmarkEnd w:id="177"/>
    <w:p>
      <w:pPr>
        <w:jc w:val="both"/>
        <w:ind w:left="3"/>
        <w:spacing w:after="0" w:line="258" w:lineRule="auto"/>
        <w:rPr>
          <w:sz w:val="20"/>
          <w:szCs w:val="20"/>
          <w:color w:val="auto"/>
        </w:rPr>
      </w:pPr>
      <w:r>
        <w:rPr>
          <w:rFonts w:ascii="Arial" w:cs="Arial" w:eastAsia="Arial" w:hAnsi="Arial"/>
          <w:sz w:val="19"/>
          <w:szCs w:val="19"/>
          <w:color w:val="auto"/>
        </w:rPr>
        <w:t>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spacing w:after="0" w:line="179" w:lineRule="exact"/>
        <w:rPr>
          <w:sz w:val="20"/>
          <w:szCs w:val="20"/>
          <w:color w:val="auto"/>
        </w:rPr>
      </w:pPr>
    </w:p>
    <w:p>
      <w:pPr>
        <w:jc w:val="both"/>
        <w:ind w:left="3" w:firstLine="1294"/>
        <w:spacing w:after="0" w:line="243" w:lineRule="auto"/>
        <w:tabs>
          <w:tab w:leader="none" w:pos="1791" w:val="left"/>
        </w:tabs>
        <w:numPr>
          <w:ilvl w:val="1"/>
          <w:numId w:val="103"/>
        </w:numPr>
        <w:rPr>
          <w:rFonts w:ascii="Arial" w:cs="Arial" w:eastAsia="Arial" w:hAnsi="Arial"/>
          <w:sz w:val="20"/>
          <w:szCs w:val="20"/>
          <w:color w:val="auto"/>
        </w:rPr>
      </w:pPr>
      <w:r>
        <w:rPr>
          <w:rFonts w:ascii="Arial" w:cs="Arial" w:eastAsia="Arial" w:hAnsi="Arial"/>
          <w:sz w:val="20"/>
          <w:szCs w:val="20"/>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93" w:lineRule="exact"/>
        <w:rPr>
          <w:rFonts w:ascii="Arial" w:cs="Arial" w:eastAsia="Arial" w:hAnsi="Arial"/>
          <w:sz w:val="20"/>
          <w:szCs w:val="20"/>
          <w:color w:val="auto"/>
        </w:rPr>
      </w:pPr>
    </w:p>
    <w:p>
      <w:pPr>
        <w:jc w:val="both"/>
        <w:ind w:left="3" w:firstLine="1294"/>
        <w:spacing w:after="0" w:line="270" w:lineRule="auto"/>
        <w:tabs>
          <w:tab w:leader="none" w:pos="173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 certificate of a Financial Officer of the Borrower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w:t>
      </w:r>
      <w:r>
        <w:rPr>
          <w:rFonts w:ascii="Arial" w:cs="Arial" w:eastAsia="Arial" w:hAnsi="Arial"/>
          <w:sz w:val="18"/>
          <w:szCs w:val="18"/>
          <w:u w:val="single" w:color="auto"/>
          <w:color w:val="auto"/>
        </w:rPr>
        <w:t>Sections 6.04(c)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jc w:val="both"/>
        <w:ind w:left="3" w:hanging="3"/>
        <w:spacing w:after="0" w:line="241" w:lineRule="auto"/>
        <w:tabs>
          <w:tab w:leader="none" w:pos="35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stating whether any change in GAAP or in the application thereof has occurred since the later of December 31, 2016 and the end date of the financial statements most recently delivered pursuant to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and, if any such change has occurred, specifying the effect of such change on the financial statements accompanying such certificate;</w:t>
      </w:r>
    </w:p>
    <w:p>
      <w:pPr>
        <w:spacing w:after="0" w:line="196" w:lineRule="exact"/>
        <w:rPr>
          <w:rFonts w:ascii="Arial" w:cs="Arial" w:eastAsia="Arial" w:hAnsi="Arial"/>
          <w:sz w:val="20"/>
          <w:szCs w:val="20"/>
          <w:color w:val="auto"/>
        </w:rPr>
      </w:pPr>
    </w:p>
    <w:p>
      <w:pPr>
        <w:ind w:left="1703" w:hanging="406"/>
        <w:spacing w:after="0"/>
        <w:tabs>
          <w:tab w:leader="none" w:pos="1703" w:val="left"/>
        </w:tabs>
        <w:numPr>
          <w:ilvl w:val="1"/>
          <w:numId w:val="10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3" w:firstLine="1294"/>
        <w:spacing w:after="0" w:line="291" w:lineRule="auto"/>
        <w:tabs>
          <w:tab w:leader="none" w:pos="17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w:t>
      </w:r>
    </w:p>
    <w:p>
      <w:pPr>
        <w:spacing w:after="0" w:line="151" w:lineRule="exact"/>
        <w:rPr>
          <w:rFonts w:ascii="Arial" w:cs="Arial" w:eastAsia="Arial" w:hAnsi="Arial"/>
          <w:sz w:val="18"/>
          <w:szCs w:val="18"/>
          <w:color w:val="auto"/>
        </w:rPr>
      </w:pPr>
    </w:p>
    <w:p>
      <w:pPr>
        <w:jc w:val="both"/>
        <w:ind w:left="3" w:firstLine="1294"/>
        <w:spacing w:after="0" w:line="246" w:lineRule="auto"/>
        <w:tabs>
          <w:tab w:leader="none" w:pos="167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 and</w:t>
      </w:r>
    </w:p>
    <w:p>
      <w:pPr>
        <w:spacing w:after="0" w:line="191" w:lineRule="exact"/>
        <w:rPr>
          <w:rFonts w:ascii="Arial" w:cs="Arial" w:eastAsia="Arial" w:hAnsi="Arial"/>
          <w:sz w:val="20"/>
          <w:szCs w:val="20"/>
          <w:color w:val="auto"/>
        </w:rPr>
      </w:pPr>
    </w:p>
    <w:p>
      <w:pPr>
        <w:jc w:val="both"/>
        <w:ind w:left="3" w:firstLine="1294"/>
        <w:spacing w:after="0" w:line="250" w:lineRule="auto"/>
        <w:tabs>
          <w:tab w:leader="none" w:pos="1764" w:val="left"/>
        </w:tabs>
        <w:numPr>
          <w:ilvl w:val="1"/>
          <w:numId w:val="104"/>
        </w:numPr>
        <w:rPr>
          <w:rFonts w:ascii="Arial" w:cs="Arial" w:eastAsia="Arial" w:hAnsi="Arial"/>
          <w:sz w:val="20"/>
          <w:szCs w:val="20"/>
          <w:color w:val="auto"/>
        </w:rPr>
      </w:pPr>
      <w:r>
        <w:rPr>
          <w:rFonts w:ascii="Arial" w:cs="Arial" w:eastAsia="Arial" w:hAnsi="Arial"/>
          <w:sz w:val="20"/>
          <w:szCs w:val="20"/>
          <w:color w:val="auto"/>
        </w:rPr>
        <w:t>promptly following any request therefor, such other information regarding the operations, business affairs and financial condition of the Borrower or any Subsidiary, or compliance with the terms of this Agreement, as the Administrative Agent or any Lender may reasonably request.</w:t>
      </w:r>
    </w:p>
    <w:p>
      <w:pPr>
        <w:sectPr>
          <w:pgSz w:w="11900" w:h="16838" w:orient="portrait"/>
          <w:cols w:equalWidth="0" w:num="1">
            <w:col w:w="10683"/>
          </w:cols>
          <w:pgMar w:left="977" w:top="596" w:right="239" w:bottom="1440" w:gutter="0" w:footer="0" w:header="0"/>
        </w:sectPr>
      </w:pPr>
    </w:p>
    <w:bookmarkStart w:id="178" w:name="page179"/>
    <w:bookmarkEnd w:id="178"/>
    <w:p>
      <w:pPr>
        <w:jc w:val="both"/>
        <w:spacing w:after="0" w:line="272"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(x) the Borrower shall be deemed to have complied with the terms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 quarterly report in Form 10-Q for the applicable fiscal quarter, respectively, that it has filed with the Securities and Exchange Commission, and (y) any documents required to be delivered pursuant to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shall be deemed to have been delivered on the date on which the Borrower provides notice to the Administrative Agent that such information has been posted on the Borrower’s website on the Internet (with such notice containing the link thereto), or posted on Borrower’s behalf on IntraLinks/IntraAgency or another relevant website, if any, to which each Lender and the Administrative Agent have access (whether a commercial, third-party website or whether sponsored by the Administrative Agent).</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The Borrower will furnish to the Administrative Agent and each Lender prompt written notice of the following:</w:t>
      </w:r>
    </w:p>
    <w:p>
      <w:pPr>
        <w:spacing w:after="0" w:line="177" w:lineRule="exact"/>
        <w:rPr>
          <w:sz w:val="20"/>
          <w:szCs w:val="20"/>
          <w:color w:val="auto"/>
        </w:rPr>
      </w:pPr>
    </w:p>
    <w:p>
      <w:pPr>
        <w:ind w:left="2440" w:hanging="406"/>
        <w:spacing w:after="0"/>
        <w:tabs>
          <w:tab w:leader="none" w:pos="24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jc w:val="both"/>
        <w:ind w:left="740" w:firstLine="1294"/>
        <w:spacing w:after="0" w:line="250" w:lineRule="auto"/>
        <w:tabs>
          <w:tab w:leader="none" w:pos="255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86" w:lineRule="exact"/>
        <w:rPr>
          <w:rFonts w:ascii="Arial" w:cs="Arial" w:eastAsia="Arial" w:hAnsi="Arial"/>
          <w:sz w:val="20"/>
          <w:szCs w:val="20"/>
          <w:color w:val="auto"/>
        </w:rPr>
      </w:pPr>
    </w:p>
    <w:p>
      <w:pPr>
        <w:ind w:left="740" w:firstLine="1294"/>
        <w:spacing w:after="0" w:line="316" w:lineRule="auto"/>
        <w:tabs>
          <w:tab w:leader="none" w:pos="25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$5 million;</w:t>
      </w:r>
    </w:p>
    <w:p>
      <w:pPr>
        <w:spacing w:after="0" w:line="130" w:lineRule="exact"/>
        <w:rPr>
          <w:rFonts w:ascii="Arial" w:cs="Arial" w:eastAsia="Arial" w:hAnsi="Arial"/>
          <w:sz w:val="18"/>
          <w:szCs w:val="18"/>
          <w:color w:val="auto"/>
        </w:rPr>
      </w:pPr>
    </w:p>
    <w:p>
      <w:pPr>
        <w:jc w:val="both"/>
        <w:ind w:left="740" w:firstLine="1294"/>
        <w:spacing w:after="0" w:line="246" w:lineRule="auto"/>
        <w:tabs>
          <w:tab w:leader="none" w:pos="26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within two (2) Business Days (or such longer period as the Administrative Agent may agree) after the occurrence thereof, any Loan Party entering into a Swap Agreement or an amendment to a Swap Agreement, in each case, to the extent such Swap Agreement relates to Secured Swap Obligations, together with copies of all agreements evidencing such Swap Agreement or amendment; and</w:t>
      </w:r>
    </w:p>
    <w:p>
      <w:pPr>
        <w:spacing w:after="0" w:line="191" w:lineRule="exact"/>
        <w:rPr>
          <w:rFonts w:ascii="Arial" w:cs="Arial" w:eastAsia="Arial" w:hAnsi="Arial"/>
          <w:sz w:val="20"/>
          <w:szCs w:val="20"/>
          <w:color w:val="auto"/>
        </w:rPr>
      </w:pPr>
    </w:p>
    <w:p>
      <w:pPr>
        <w:ind w:left="2440" w:hanging="406"/>
        <w:spacing w:after="0"/>
        <w:tabs>
          <w:tab w:leader="none" w:pos="24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delivered under this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(other than clause (d)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Existence; Conduct of Business</w:t>
      </w:r>
      <w:r>
        <w:rPr>
          <w:rFonts w:ascii="Arial" w:cs="Arial" w:eastAsia="Arial" w:hAnsi="Arial"/>
          <w:sz w:val="20"/>
          <w:szCs w:val="20"/>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any merger, consolidation, liquidation or dissolution permitted under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and (b) carry on and conduct its business in substantially the same manner and in substantially the same fields of enterprise as it is presently conducted or in fields which are, in the good faith judgment of the Board of Directors, similar, complimentary or substantially related thereto or are reasonable extensions thereof.</w:t>
      </w:r>
    </w:p>
    <w:p>
      <w:pPr>
        <w:sectPr>
          <w:pgSz w:w="11900" w:h="16838" w:orient="portrait"/>
          <w:cols w:equalWidth="0" w:num="1">
            <w:col w:w="11420"/>
          </w:cols>
          <w:pgMar w:left="240" w:top="595" w:right="239" w:bottom="1440" w:gutter="0" w:footer="0" w:header="0"/>
        </w:sectPr>
      </w:pPr>
    </w:p>
    <w:bookmarkStart w:id="179" w:name="page180"/>
    <w:bookmarkEnd w:id="179"/>
    <w:p>
      <w:pPr>
        <w:jc w:val="both"/>
        <w:ind w:firstLine="648"/>
        <w:spacing w:after="0" w:line="282"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Each Loan Party will, and will cause each Subsidiary to, pay or discharge all material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5.05</w:t>
      </w:r>
      <w:r>
        <w:rPr>
          <w:sz w:val="20"/>
          <w:szCs w:val="20"/>
          <w:color w:val="auto"/>
        </w:rPr>
        <w:tab/>
      </w:r>
      <w:r>
        <w:rPr>
          <w:rFonts w:ascii="Arial" w:cs="Arial" w:eastAsia="Arial" w:hAnsi="Arial"/>
          <w:sz w:val="16"/>
          <w:szCs w:val="16"/>
          <w:u w:val="single" w:color="auto"/>
          <w:color w:val="auto"/>
        </w:rPr>
        <w:t>Maintenance of Properties; Insurance; Casualty and Condemnation</w:t>
      </w:r>
      <w:r>
        <w:rPr>
          <w:rFonts w:ascii="Arial" w:cs="Arial" w:eastAsia="Arial" w:hAnsi="Arial"/>
          <w:sz w:val="16"/>
          <w:szCs w:val="16"/>
          <w:color w:val="auto"/>
        </w:rPr>
        <w:t>.</w:t>
      </w:r>
    </w:p>
    <w:p>
      <w:pPr>
        <w:spacing w:after="0" w:line="216" w:lineRule="exact"/>
        <w:rPr>
          <w:sz w:val="20"/>
          <w:szCs w:val="20"/>
          <w:color w:val="auto"/>
        </w:rPr>
      </w:pPr>
    </w:p>
    <w:p>
      <w:pPr>
        <w:jc w:val="both"/>
        <w:ind w:left="740" w:firstLine="1294"/>
        <w:spacing w:after="0" w:line="263" w:lineRule="auto"/>
        <w:tabs>
          <w:tab w:leader="none" w:pos="25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6" w:lineRule="exact"/>
        <w:rPr>
          <w:rFonts w:ascii="Arial" w:cs="Arial" w:eastAsia="Arial" w:hAnsi="Arial"/>
          <w:sz w:val="19"/>
          <w:szCs w:val="19"/>
          <w:color w:val="auto"/>
        </w:rPr>
      </w:pPr>
    </w:p>
    <w:p>
      <w:pPr>
        <w:jc w:val="both"/>
        <w:ind w:left="740" w:firstLine="1294"/>
        <w:spacing w:after="0" w:line="291" w:lineRule="auto"/>
        <w:tabs>
          <w:tab w:leader="none" w:pos="246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following any Event of Default, any Lender)(including employees of the Administrative Agent, such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5.06</w:t>
      </w:r>
      <w:r>
        <w:rPr>
          <w:rFonts w:ascii="Arial" w:cs="Arial" w:eastAsia="Arial" w:hAnsi="Arial"/>
          <w:sz w:val="18"/>
          <w:szCs w:val="18"/>
          <w:color w:val="auto"/>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Arial" w:cs="Arial" w:eastAsia="Arial" w:hAnsi="Arial"/>
          <w:sz w:val="18"/>
          <w:szCs w:val="18"/>
          <w:u w:val="single" w:color="auto"/>
          <w:color w:val="auto"/>
        </w:rPr>
        <w:t>Section 5.06</w:t>
      </w:r>
      <w:r>
        <w:rPr>
          <w:rFonts w:ascii="Arial" w:cs="Arial" w:eastAsia="Arial" w:hAnsi="Arial"/>
          <w:sz w:val="18"/>
          <w:szCs w:val="18"/>
          <w:color w:val="auto"/>
        </w:rPr>
        <w:t>); it being understood that the Borrower shall use its commercially reasonable efforts to communicate any requested information in a way that would not violate the applicable law or agreement or waive the applicable privilege.</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ectPr>
          <w:pgSz w:w="11900" w:h="16838" w:orient="portrait"/>
          <w:cols w:equalWidth="0" w:num="1">
            <w:col w:w="11420"/>
          </w:cols>
          <w:pgMar w:left="240" w:top="596" w:right="239" w:bottom="1440" w:gutter="0" w:footer="0" w:header="0"/>
        </w:sectPr>
      </w:pPr>
    </w:p>
    <w:bookmarkStart w:id="180" w:name="page181"/>
    <w:bookmarkEnd w:id="180"/>
    <w:p>
      <w:pPr>
        <w:spacing w:after="0"/>
        <w:tabs>
          <w:tab w:leader="none" w:pos="1380" w:val="left"/>
        </w:tabs>
        <w:rPr>
          <w:sz w:val="20"/>
          <w:szCs w:val="20"/>
          <w:color w:val="auto"/>
        </w:rPr>
      </w:pPr>
      <w:r>
        <w:rPr>
          <w:rFonts w:ascii="Arial" w:cs="Arial" w:eastAsia="Arial" w:hAnsi="Arial"/>
          <w:sz w:val="20"/>
          <w:szCs w:val="20"/>
          <w:color w:val="auto"/>
        </w:rPr>
        <w:t>SECTION 5.08</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left="80" w:firstLine="1294"/>
        <w:spacing w:after="0" w:line="246" w:lineRule="auto"/>
        <w:tabs>
          <w:tab w:leader="none" w:pos="177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proceeds of the Loans will be used on the Effective Date to consummate the Refinancing and otherwise used for working capital and general corporate purposes including Permitted Acquisitions. No part of the proceeds of any Loan and no Letter of Credit will be used, whether directly or indirectly, for any purpose that entails a violation of any of the Regulations of the Board, including Regulations T, U and X.</w:t>
      </w:r>
    </w:p>
    <w:p>
      <w:pPr>
        <w:spacing w:after="0" w:line="191" w:lineRule="exact"/>
        <w:rPr>
          <w:rFonts w:ascii="Arial" w:cs="Arial" w:eastAsia="Arial" w:hAnsi="Arial"/>
          <w:sz w:val="20"/>
          <w:szCs w:val="20"/>
          <w:color w:val="auto"/>
        </w:rPr>
      </w:pPr>
    </w:p>
    <w:p>
      <w:pPr>
        <w:jc w:val="both"/>
        <w:ind w:left="80" w:firstLine="1294"/>
        <w:spacing w:after="0" w:line="259" w:lineRule="auto"/>
        <w:tabs>
          <w:tab w:leader="none" w:pos="186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79"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5.09</w:t>
      </w:r>
      <w:r>
        <w:rPr>
          <w:sz w:val="20"/>
          <w:szCs w:val="20"/>
          <w:color w:val="auto"/>
        </w:rPr>
        <w:tab/>
      </w:r>
      <w:r>
        <w:rPr>
          <w:rFonts w:ascii="Arial" w:cs="Arial" w:eastAsia="Arial" w:hAnsi="Arial"/>
          <w:sz w:val="18"/>
          <w:szCs w:val="18"/>
          <w:u w:val="single" w:color="auto"/>
          <w:color w:val="auto"/>
        </w:rPr>
        <w:t>Additional Collateral; Further Assurances</w:t>
      </w:r>
      <w:r>
        <w:rPr>
          <w:rFonts w:ascii="Arial" w:cs="Arial" w:eastAsia="Arial" w:hAnsi="Arial"/>
          <w:sz w:val="18"/>
          <w:szCs w:val="18"/>
          <w:color w:val="auto"/>
        </w:rPr>
        <w:t>.</w:t>
      </w:r>
    </w:p>
    <w:p>
      <w:pPr>
        <w:spacing w:after="0" w:line="216" w:lineRule="exact"/>
        <w:rPr>
          <w:sz w:val="20"/>
          <w:szCs w:val="20"/>
          <w:color w:val="auto"/>
        </w:rPr>
      </w:pPr>
    </w:p>
    <w:p>
      <w:pPr>
        <w:jc w:val="both"/>
        <w:ind w:left="80" w:firstLine="1294"/>
        <w:spacing w:after="0" w:line="259" w:lineRule="auto"/>
        <w:tabs>
          <w:tab w:leader="none" w:pos="17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Subject to applicable law, the Borrower and each other Loan Party shall cause each of its wholly-owned Material Domestic Subsidiaries formed or acquired on or after the date of this Agreement in accordance with the terms of this Agreement to become a Loan Party, within 30 days (or such later date as the Administrative Agent may agree) after the date of such formation or acquisition, by executing the Joinder Agreement set forth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Joinder Agreement</w:t>
      </w:r>
      <w:r>
        <w:rPr>
          <w:rFonts w:ascii="Arial" w:cs="Arial" w:eastAsia="Arial" w:hAnsi="Arial"/>
          <w:sz w:val="19"/>
          <w:szCs w:val="19"/>
          <w:color w:val="auto"/>
        </w:rPr>
        <w:t>”). Upon execution and delivery thereof, each such Person shall automatically become a Loan Guarantor hereunder and thereupon shall have all of the rights, benefits, duties, and obligations in such capacity under the Loan Documents.</w:t>
      </w:r>
    </w:p>
    <w:p>
      <w:pPr>
        <w:spacing w:after="0" w:line="178" w:lineRule="exact"/>
        <w:rPr>
          <w:rFonts w:ascii="Arial" w:cs="Arial" w:eastAsia="Arial" w:hAnsi="Arial"/>
          <w:sz w:val="19"/>
          <w:szCs w:val="19"/>
          <w:color w:val="auto"/>
        </w:rPr>
      </w:pPr>
    </w:p>
    <w:p>
      <w:pPr>
        <w:jc w:val="both"/>
        <w:ind w:left="80" w:firstLine="1294"/>
        <w:spacing w:after="0" w:line="258" w:lineRule="auto"/>
        <w:tabs>
          <w:tab w:leader="none" w:pos="186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Subject to applicable law, the Borrower and other Loan Party shall cause each of its wholly-owned Material Domestic Subsidiaries formed or acquired after the date of this Agreement in accordance with the terms of this Agreement and each Subsidiary who hereafter becomes a Material Domestic Subsidiary, in each case, within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79" w:lineRule="exact"/>
        <w:rPr>
          <w:rFonts w:ascii="Arial" w:cs="Arial" w:eastAsia="Arial" w:hAnsi="Arial"/>
          <w:sz w:val="19"/>
          <w:szCs w:val="19"/>
          <w:color w:val="auto"/>
        </w:rPr>
      </w:pPr>
    </w:p>
    <w:p>
      <w:pPr>
        <w:jc w:val="both"/>
        <w:ind w:left="80" w:firstLine="1294"/>
        <w:spacing w:after="0" w:line="242" w:lineRule="auto"/>
        <w:tabs>
          <w:tab w:leader="none" w:pos="185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Subject to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Material Foreign Subsidiary (including any Subsidiary who becomes a Material Foreign Subsidiary after the Effective Date)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sectPr>
          <w:pgSz w:w="11900" w:h="16838" w:orient="portrait"/>
          <w:cols w:equalWidth="0" w:num="1">
            <w:col w:w="10760"/>
          </w:cols>
          <w:pgMar w:left="900" w:top="595" w:right="239" w:bottom="1440" w:gutter="0" w:footer="0" w:header="0"/>
        </w:sectPr>
      </w:pPr>
    </w:p>
    <w:bookmarkStart w:id="181" w:name="page182"/>
    <w:bookmarkEnd w:id="181"/>
    <w:p>
      <w:pPr>
        <w:jc w:val="both"/>
        <w:ind w:left="740" w:firstLine="1294"/>
        <w:spacing w:after="0" w:line="258" w:lineRule="auto"/>
        <w:tabs>
          <w:tab w:leader="none" w:pos="247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Arial" w:cs="Arial" w:eastAsia="Arial" w:hAnsi="Arial"/>
          <w:sz w:val="19"/>
          <w:szCs w:val="19"/>
          <w:u w:val="single" w:color="auto"/>
          <w:color w:val="auto"/>
        </w:rPr>
        <w:t>Section 4.01</w:t>
      </w:r>
      <w:r>
        <w:rPr>
          <w:rFonts w:ascii="Arial" w:cs="Arial" w:eastAsia="Arial" w:hAnsi="Arial"/>
          <w:sz w:val="19"/>
          <w:szCs w:val="19"/>
          <w:color w:val="auto"/>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(or cash collateralized on terms reasonably acceptable to the Administrative Agent), the Loan Parties covenant and agree, jointly and severally, with the Lenders that:</w:t>
      </w:r>
    </w:p>
    <w:p>
      <w:pPr>
        <w:spacing w:after="0" w:line="19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20"/>
          <w:szCs w:val="20"/>
          <w:u w:val="single" w:color="auto"/>
          <w:color w:val="auto"/>
        </w:rPr>
        <w:t>Indebtedness</w:t>
      </w:r>
      <w:r>
        <w:rPr>
          <w:rFonts w:ascii="Arial" w:cs="Arial" w:eastAsia="Arial" w:hAnsi="Arial"/>
          <w:sz w:val="20"/>
          <w:szCs w:val="20"/>
          <w:color w:val="auto"/>
        </w:rPr>
        <w:t>. No Loan Party will, nor will it permit any Subsidiary to, create, incur or suffer to exist any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Indebtedness, except:</w:t>
      </w:r>
    </w:p>
    <w:p>
      <w:pPr>
        <w:spacing w:after="0" w:line="200" w:lineRule="exact"/>
        <w:rPr>
          <w:sz w:val="20"/>
          <w:szCs w:val="20"/>
          <w:color w:val="auto"/>
        </w:rPr>
      </w:pPr>
    </w:p>
    <w:p>
      <w:pPr>
        <w:ind w:left="2440" w:hanging="406"/>
        <w:spacing w:after="0"/>
        <w:tabs>
          <w:tab w:leader="none" w:pos="24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Secured Obligations;</w:t>
      </w:r>
    </w:p>
    <w:p>
      <w:pPr>
        <w:spacing w:after="0" w:line="215" w:lineRule="exact"/>
        <w:rPr>
          <w:rFonts w:ascii="Arial" w:cs="Arial" w:eastAsia="Arial" w:hAnsi="Arial"/>
          <w:sz w:val="20"/>
          <w:szCs w:val="20"/>
          <w:color w:val="auto"/>
        </w:rPr>
      </w:pPr>
    </w:p>
    <w:p>
      <w:pPr>
        <w:ind w:left="740" w:firstLine="1294"/>
        <w:spacing w:after="0" w:line="260" w:lineRule="auto"/>
        <w:tabs>
          <w:tab w:leader="none" w:pos="265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Indebtedness existing on the date hereof and set forth in </w:t>
      </w:r>
      <w:r>
        <w:rPr>
          <w:rFonts w:ascii="Arial" w:cs="Arial" w:eastAsia="Arial" w:hAnsi="Arial"/>
          <w:sz w:val="20"/>
          <w:szCs w:val="20"/>
          <w:u w:val="single" w:color="auto"/>
          <w:color w:val="auto"/>
        </w:rPr>
        <w:t>Schedule 6.01</w:t>
      </w:r>
      <w:r>
        <w:rPr>
          <w:rFonts w:ascii="Arial" w:cs="Arial" w:eastAsia="Arial" w:hAnsi="Arial"/>
          <w:sz w:val="20"/>
          <w:szCs w:val="20"/>
          <w:color w:val="auto"/>
        </w:rPr>
        <w:t xml:space="preserve"> and extensions, renewals and replacements of any such Indebtedness that do not increase the outstanding principal amount thereof;</w:t>
      </w:r>
    </w:p>
    <w:p>
      <w:pPr>
        <w:spacing w:after="0" w:line="176" w:lineRule="exact"/>
        <w:rPr>
          <w:rFonts w:ascii="Arial" w:cs="Arial" w:eastAsia="Arial" w:hAnsi="Arial"/>
          <w:sz w:val="20"/>
          <w:szCs w:val="20"/>
          <w:color w:val="auto"/>
        </w:rPr>
      </w:pPr>
    </w:p>
    <w:p>
      <w:pPr>
        <w:jc w:val="both"/>
        <w:ind w:left="740" w:firstLine="1294"/>
        <w:spacing w:after="0" w:line="278" w:lineRule="auto"/>
        <w:tabs>
          <w:tab w:leader="none" w:pos="24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any Subsidiary and of any Subsidiary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Indebtedness of any Subsidiary that is not a Loan Party to the Borrower or to any Subsidiary that is a Loan Party shall be subject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(ii) 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spacing w:after="0" w:line="165" w:lineRule="exact"/>
        <w:rPr>
          <w:rFonts w:ascii="Arial" w:cs="Arial" w:eastAsia="Arial" w:hAnsi="Arial"/>
          <w:sz w:val="18"/>
          <w:szCs w:val="18"/>
          <w:color w:val="auto"/>
        </w:rPr>
      </w:pPr>
    </w:p>
    <w:p>
      <w:pPr>
        <w:jc w:val="both"/>
        <w:ind w:left="740" w:firstLine="1294"/>
        <w:spacing w:after="0" w:line="260" w:lineRule="auto"/>
        <w:tabs>
          <w:tab w:leader="none" w:pos="251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Guarantees by the Borrower of Indebtedness of any Subsidiary and by any Subsidiary of Indebtedness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Indebtedness so Guaranteed is permitted by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(ii) Guarantees by the Borrower or any Subsidiary that is a Loan Party of Indebtedness of any Subsidiary that is not a Loan Party shall be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(iii) Guarantees permitted under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be subordinated to the Obligations on the same terms as the Indebtedness so Guaranteed is subordinated to the Obligations;</w:t>
      </w:r>
    </w:p>
    <w:p>
      <w:pPr>
        <w:spacing w:after="0" w:line="180" w:lineRule="exact"/>
        <w:rPr>
          <w:rFonts w:ascii="Arial" w:cs="Arial" w:eastAsia="Arial" w:hAnsi="Arial"/>
          <w:sz w:val="19"/>
          <w:szCs w:val="19"/>
          <w:color w:val="auto"/>
        </w:rPr>
      </w:pPr>
    </w:p>
    <w:p>
      <w:pPr>
        <w:jc w:val="both"/>
        <w:ind w:left="740" w:firstLine="1294"/>
        <w:spacing w:after="0" w:line="246" w:lineRule="auto"/>
        <w:tabs>
          <w:tab w:leader="none" w:pos="24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w:t>
      </w:r>
    </w:p>
    <w:p>
      <w:pPr>
        <w:sectPr>
          <w:pgSz w:w="11900" w:h="16838" w:orient="portrait"/>
          <w:cols w:equalWidth="0" w:num="1">
            <w:col w:w="11420"/>
          </w:cols>
          <w:pgMar w:left="240" w:top="596" w:right="239" w:bottom="1440" w:gutter="0" w:footer="0" w:header="0"/>
        </w:sectPr>
      </w:pPr>
    </w:p>
    <w:bookmarkStart w:id="182" w:name="page183"/>
    <w:bookmarkEnd w:id="182"/>
    <w:p>
      <w:pPr>
        <w:jc w:val="both"/>
        <w:spacing w:after="0" w:line="246" w:lineRule="auto"/>
        <w:rPr>
          <w:sz w:val="20"/>
          <w:szCs w:val="20"/>
          <w:color w:val="auto"/>
        </w:rPr>
      </w:pPr>
      <w:r>
        <w:rPr>
          <w:rFonts w:ascii="Arial" w:cs="Arial" w:eastAsia="Arial" w:hAnsi="Arial"/>
          <w:sz w:val="20"/>
          <w:szCs w:val="20"/>
          <w:color w:val="auto"/>
        </w:rPr>
        <w:t xml:space="preserve">renewals and replacements of any such Indebtedness in accordance with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is incurred prior to or within 90 days after such acquisition or the completion of such construction or improvement and (ii) the aggregate principal amount of Indebtedness permitted by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(including any refinancing thereof permitted by </w:t>
      </w:r>
      <w:r>
        <w:rPr>
          <w:rFonts w:ascii="Arial" w:cs="Arial" w:eastAsia="Arial" w:hAnsi="Arial"/>
          <w:sz w:val="20"/>
          <w:szCs w:val="20"/>
          <w:u w:val="single" w:color="auto"/>
          <w:color w:val="auto"/>
        </w:rPr>
        <w:t>clause (f)</w:t>
      </w:r>
      <w:r>
        <w:rPr>
          <w:rFonts w:ascii="Arial" w:cs="Arial" w:eastAsia="Arial" w:hAnsi="Arial"/>
          <w:sz w:val="20"/>
          <w:szCs w:val="20"/>
          <w:color w:val="auto"/>
        </w:rPr>
        <w:t>) shall not exceed $20 million at any time outstanding;</w:t>
      </w:r>
    </w:p>
    <w:p>
      <w:pPr>
        <w:spacing w:after="0" w:line="192" w:lineRule="exact"/>
        <w:rPr>
          <w:sz w:val="20"/>
          <w:szCs w:val="20"/>
          <w:color w:val="auto"/>
        </w:rPr>
      </w:pPr>
    </w:p>
    <w:p>
      <w:pPr>
        <w:jc w:val="both"/>
        <w:ind w:firstLine="1294"/>
        <w:spacing w:after="0" w:line="270" w:lineRule="auto"/>
        <w:tabs>
          <w:tab w:leader="none" w:pos="176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Indebtedness which represents an extension, refinancing, or renewal of any of the Indebtedness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aggregate principal amount of such Indebtedness does not exceed the principal amount of such Indebtedness being refinancing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76" w:lineRule="exact"/>
        <w:rPr>
          <w:rFonts w:ascii="Arial" w:cs="Arial" w:eastAsia="Arial" w:hAnsi="Arial"/>
          <w:sz w:val="18"/>
          <w:szCs w:val="18"/>
          <w:color w:val="auto"/>
        </w:rPr>
      </w:pPr>
    </w:p>
    <w:p>
      <w:pPr>
        <w:jc w:val="both"/>
        <w:ind w:firstLine="1294"/>
        <w:spacing w:after="0" w:line="250" w:lineRule="auto"/>
        <w:tabs>
          <w:tab w:leader="none" w:pos="170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6" w:lineRule="exact"/>
        <w:rPr>
          <w:rFonts w:ascii="Arial" w:cs="Arial" w:eastAsia="Arial" w:hAnsi="Arial"/>
          <w:sz w:val="20"/>
          <w:szCs w:val="20"/>
          <w:color w:val="auto"/>
        </w:rPr>
      </w:pPr>
    </w:p>
    <w:p>
      <w:pPr>
        <w:ind w:firstLine="1294"/>
        <w:spacing w:after="0" w:line="260" w:lineRule="auto"/>
        <w:tabs>
          <w:tab w:leader="none" w:pos="181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Indebtedness of the Borrower or any Subsidiary in respect of performance bonds, bid bonds, appeal bonds, surety bonds and similar obligations, in each case provided in the ordinary course of business;</w:t>
      </w:r>
    </w:p>
    <w:p>
      <w:pPr>
        <w:spacing w:after="0" w:line="176" w:lineRule="exact"/>
        <w:rPr>
          <w:rFonts w:ascii="Arial" w:cs="Arial" w:eastAsia="Arial" w:hAnsi="Arial"/>
          <w:sz w:val="20"/>
          <w:szCs w:val="20"/>
          <w:color w:val="auto"/>
        </w:rPr>
      </w:pPr>
    </w:p>
    <w:p>
      <w:pPr>
        <w:ind w:left="1680" w:hanging="386"/>
        <w:spacing w:after="0"/>
        <w:tabs>
          <w:tab w:leader="none" w:pos="1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Subordinated Indebtedness of any Loan Party in an aggregate principal amount not exceeding $25 million at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 outstanding;</w:t>
      </w:r>
    </w:p>
    <w:p>
      <w:pPr>
        <w:spacing w:after="0" w:line="199" w:lineRule="exact"/>
        <w:rPr>
          <w:rFonts w:ascii="Arial" w:cs="Arial" w:eastAsia="Arial" w:hAnsi="Arial"/>
          <w:sz w:val="18"/>
          <w:szCs w:val="18"/>
          <w:color w:val="auto"/>
        </w:rPr>
      </w:pPr>
    </w:p>
    <w:p>
      <w:pPr>
        <w:ind w:right="20" w:firstLine="1294"/>
        <w:spacing w:after="0" w:line="260" w:lineRule="auto"/>
        <w:tabs>
          <w:tab w:leader="none" w:pos="183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Indebtedness or Guarantees of the Borrower or any Subsidiary in connection with any Swap Agreement permitted under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294"/>
        <w:spacing w:after="0" w:line="250" w:lineRule="auto"/>
        <w:tabs>
          <w:tab w:leader="none" w:pos="177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spacing w:after="0" w:line="186" w:lineRule="exact"/>
        <w:rPr>
          <w:rFonts w:ascii="Arial" w:cs="Arial" w:eastAsia="Arial" w:hAnsi="Arial"/>
          <w:sz w:val="20"/>
          <w:szCs w:val="20"/>
          <w:color w:val="auto"/>
        </w:rPr>
      </w:pPr>
    </w:p>
    <w:p>
      <w:pPr>
        <w:ind w:left="1660" w:hanging="366"/>
        <w:spacing w:after="0"/>
        <w:tabs>
          <w:tab w:leader="none" w:pos="1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Judgments entered against the Borrower or any Subsidiary to the extent not constituting an Event of Default;</w:t>
      </w:r>
    </w:p>
    <w:p>
      <w:pPr>
        <w:spacing w:after="0" w:line="238" w:lineRule="exact"/>
        <w:rPr>
          <w:rFonts w:ascii="Arial" w:cs="Arial" w:eastAsia="Arial" w:hAnsi="Arial"/>
          <w:sz w:val="18"/>
          <w:szCs w:val="18"/>
          <w:color w:val="auto"/>
        </w:rPr>
      </w:pPr>
    </w:p>
    <w:p>
      <w:pPr>
        <w:jc w:val="both"/>
        <w:ind w:firstLine="1294"/>
        <w:spacing w:after="0" w:line="291" w:lineRule="auto"/>
        <w:tabs>
          <w:tab w:leader="none" w:pos="17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 or Guarantees incurred in the ordinary course of business in connection with cash pooling, netting and cash management arrangements consisting of overdrafts or similar arrangements, providing that any such Indebtedness does not consist of Indebtedness for borrowed money and is owed to the financial institutions providing such arrangements and such</w:t>
      </w:r>
    </w:p>
    <w:p>
      <w:pPr>
        <w:sectPr>
          <w:pgSz w:w="11900" w:h="16838" w:orient="portrait"/>
          <w:cols w:equalWidth="0" w:num="1">
            <w:col w:w="10680"/>
          </w:cols>
          <w:pgMar w:left="980" w:top="596" w:right="239" w:bottom="1440" w:gutter="0" w:footer="0" w:header="0"/>
        </w:sectPr>
      </w:pPr>
    </w:p>
    <w:bookmarkStart w:id="183" w:name="page184"/>
    <w:bookmarkEnd w:id="183"/>
    <w:p>
      <w:pPr>
        <w:ind w:left="740" w:right="20"/>
        <w:spacing w:after="0" w:line="260" w:lineRule="auto"/>
        <w:rPr>
          <w:sz w:val="20"/>
          <w:szCs w:val="20"/>
          <w:color w:val="auto"/>
        </w:rPr>
      </w:pPr>
      <w:r>
        <w:rPr>
          <w:rFonts w:ascii="Arial" w:cs="Arial" w:eastAsia="Arial" w:hAnsi="Arial"/>
          <w:sz w:val="20"/>
          <w:szCs w:val="20"/>
          <w:color w:val="auto"/>
        </w:rPr>
        <w:t>Indebtedness is extinguished within five (5) Business Days following the Borrower or any Subsidiary becoming aware of the incurrence thereof;</w:t>
      </w:r>
    </w:p>
    <w:p>
      <w:pPr>
        <w:spacing w:after="0" w:line="177" w:lineRule="exact"/>
        <w:rPr>
          <w:sz w:val="20"/>
          <w:szCs w:val="20"/>
          <w:color w:val="auto"/>
        </w:rPr>
      </w:pPr>
    </w:p>
    <w:p>
      <w:pPr>
        <w:jc w:val="both"/>
        <w:ind w:left="740" w:firstLine="1294"/>
        <w:spacing w:after="0" w:line="250" w:lineRule="auto"/>
        <w:tabs>
          <w:tab w:leader="none" w:pos="244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Indebtedness of foreign Subsidiaries to finance the working capital needs of such foreign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outstanding principal amount of such Indebtedness shall not exceed $20 million (or the equivalent thereof) at any time;</w:t>
      </w:r>
    </w:p>
    <w:p>
      <w:pPr>
        <w:spacing w:after="0" w:line="186" w:lineRule="exact"/>
        <w:rPr>
          <w:rFonts w:ascii="Arial" w:cs="Arial" w:eastAsia="Arial" w:hAnsi="Arial"/>
          <w:sz w:val="20"/>
          <w:szCs w:val="20"/>
          <w:color w:val="auto"/>
        </w:rPr>
      </w:pPr>
    </w:p>
    <w:p>
      <w:pPr>
        <w:ind w:left="2440" w:hanging="406"/>
        <w:spacing w:after="0"/>
        <w:tabs>
          <w:tab w:leader="none" w:pos="24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owed to sellers constituting consideration for Permitted Acquisitions;</w:t>
      </w:r>
    </w:p>
    <w:p>
      <w:pPr>
        <w:spacing w:after="0" w:line="215" w:lineRule="exact"/>
        <w:rPr>
          <w:rFonts w:ascii="Arial" w:cs="Arial" w:eastAsia="Arial" w:hAnsi="Arial"/>
          <w:sz w:val="20"/>
          <w:szCs w:val="20"/>
          <w:color w:val="auto"/>
        </w:rPr>
      </w:pPr>
    </w:p>
    <w:p>
      <w:pPr>
        <w:jc w:val="both"/>
        <w:ind w:left="740" w:firstLine="1294"/>
        <w:spacing w:after="0" w:line="246" w:lineRule="auto"/>
        <w:tabs>
          <w:tab w:leader="none" w:pos="260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Indebtedness of a Person or Indebtedness attaching to assets of a Person that, in either case, becomes a Subsidiary or Indebtedness attaching to assets that are acquired by Borrower or any of its Subsidiaries, in each case as the result of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existed at the time such Person became a Subsidiary or at the time such assets were acquired and, in each case, was not created in anticipation thereof;</w:t>
      </w:r>
    </w:p>
    <w:p>
      <w:pPr>
        <w:spacing w:after="0" w:line="191" w:lineRule="exact"/>
        <w:rPr>
          <w:rFonts w:ascii="Arial" w:cs="Arial" w:eastAsia="Arial" w:hAnsi="Arial"/>
          <w:sz w:val="20"/>
          <w:szCs w:val="20"/>
          <w:color w:val="auto"/>
        </w:rPr>
      </w:pPr>
    </w:p>
    <w:p>
      <w:pPr>
        <w:jc w:val="both"/>
        <w:ind w:left="740" w:firstLine="1294"/>
        <w:spacing w:after="0" w:line="250" w:lineRule="auto"/>
        <w:tabs>
          <w:tab w:leader="none" w:pos="256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or Guarantees in an aggregate amount not exceeding $1 million consisting of reimbursement obligations owed to banks providing the Borrower or any of its Subsidiaries with backstop, letter of credit, guarantee or equivalent services in connection with its leased properties;</w:t>
      </w:r>
    </w:p>
    <w:p>
      <w:pPr>
        <w:spacing w:after="0" w:line="186" w:lineRule="exact"/>
        <w:rPr>
          <w:rFonts w:ascii="Arial" w:cs="Arial" w:eastAsia="Arial" w:hAnsi="Arial"/>
          <w:sz w:val="20"/>
          <w:szCs w:val="20"/>
          <w:color w:val="auto"/>
        </w:rPr>
      </w:pPr>
    </w:p>
    <w:p>
      <w:pPr>
        <w:jc w:val="both"/>
        <w:ind w:left="740" w:firstLine="1294"/>
        <w:spacing w:after="0" w:line="250" w:lineRule="auto"/>
        <w:tabs>
          <w:tab w:leader="none" w:pos="242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86" w:lineRule="exact"/>
        <w:rPr>
          <w:rFonts w:ascii="Arial" w:cs="Arial" w:eastAsia="Arial" w:hAnsi="Arial"/>
          <w:sz w:val="20"/>
          <w:szCs w:val="20"/>
          <w:color w:val="auto"/>
        </w:rPr>
      </w:pPr>
    </w:p>
    <w:p>
      <w:pPr>
        <w:jc w:val="both"/>
        <w:ind w:left="740" w:firstLine="1294"/>
        <w:spacing w:after="0" w:line="250" w:lineRule="auto"/>
        <w:tabs>
          <w:tab w:leader="none" w:pos="246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spacing w:after="0" w:line="186" w:lineRule="exact"/>
        <w:rPr>
          <w:rFonts w:ascii="Arial" w:cs="Arial" w:eastAsia="Arial" w:hAnsi="Arial"/>
          <w:sz w:val="20"/>
          <w:szCs w:val="20"/>
          <w:color w:val="auto"/>
        </w:rPr>
      </w:pPr>
    </w:p>
    <w:p>
      <w:pPr>
        <w:ind w:left="740" w:firstLine="1294"/>
        <w:spacing w:after="0" w:line="260" w:lineRule="auto"/>
        <w:tabs>
          <w:tab w:leader="none" w:pos="245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of the Borrower or any Subsidiary in respect of Capital Lease Obligations incurred in connection with employee vehicle financing arrangements in India; and</w:t>
      </w:r>
    </w:p>
    <w:p>
      <w:pPr>
        <w:spacing w:after="0" w:line="176" w:lineRule="exact"/>
        <w:rPr>
          <w:rFonts w:ascii="Arial" w:cs="Arial" w:eastAsia="Arial" w:hAnsi="Arial"/>
          <w:sz w:val="20"/>
          <w:szCs w:val="20"/>
          <w:color w:val="auto"/>
        </w:rPr>
      </w:pPr>
    </w:p>
    <w:p>
      <w:pPr>
        <w:ind w:left="2440" w:hanging="406"/>
        <w:spacing w:after="0"/>
        <w:tabs>
          <w:tab w:leader="none" w:pos="24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other Indebtedness in an aggregate principal amount not exceeding $20 million at any time outstanding.</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Liens</w:t>
      </w:r>
      <w:r>
        <w:rPr>
          <w:rFonts w:ascii="Arial" w:cs="Arial" w:eastAsia="Arial" w:hAnsi="Arial"/>
          <w:sz w:val="20"/>
          <w:szCs w:val="20"/>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ind w:left="2440" w:hanging="406"/>
        <w:spacing w:after="0"/>
        <w:tabs>
          <w:tab w:leader="none" w:pos="24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Liens created pursuant to any Loan Document;</w:t>
      </w:r>
    </w:p>
    <w:p>
      <w:pPr>
        <w:spacing w:after="0" w:line="215" w:lineRule="exact"/>
        <w:rPr>
          <w:rFonts w:ascii="Arial" w:cs="Arial" w:eastAsia="Arial" w:hAnsi="Arial"/>
          <w:sz w:val="20"/>
          <w:szCs w:val="20"/>
          <w:color w:val="auto"/>
        </w:rPr>
      </w:pPr>
    </w:p>
    <w:p>
      <w:pPr>
        <w:ind w:left="2440" w:hanging="406"/>
        <w:spacing w:after="0"/>
        <w:tabs>
          <w:tab w:leader="none" w:pos="24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left="740" w:firstLine="1294"/>
        <w:spacing w:after="0" w:line="246" w:lineRule="auto"/>
        <w:tabs>
          <w:tab w:leader="none" w:pos="246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any Lien on any property or asset of the Borrower or any Subsidiary existing on the date hereof and set forth in </w:t>
      </w:r>
      <w:r>
        <w:rPr>
          <w:rFonts w:ascii="Arial" w:cs="Arial" w:eastAsia="Arial" w:hAnsi="Arial"/>
          <w:sz w:val="20"/>
          <w:szCs w:val="20"/>
          <w:u w:val="single" w:color="auto"/>
          <w:color w:val="auto"/>
        </w:rPr>
        <w:t>Schedule 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(i) such Lien shall not apply to any other property or asset of the Borrower or such Subsidiary and (ii) such Lien shall secure only those obligations which it secures on the date hereof and extensions, renewals and replacements thereof that do not increase the outstanding principal amount thereof;</w:t>
      </w:r>
    </w:p>
    <w:p>
      <w:pPr>
        <w:sectPr>
          <w:pgSz w:w="11900" w:h="16838" w:orient="portrait"/>
          <w:cols w:equalWidth="0" w:num="1">
            <w:col w:w="11420"/>
          </w:cols>
          <w:pgMar w:left="240" w:top="595" w:right="239" w:bottom="1440" w:gutter="0" w:footer="0" w:header="0"/>
        </w:sectPr>
      </w:pPr>
    </w:p>
    <w:bookmarkStart w:id="184" w:name="page185"/>
    <w:bookmarkEnd w:id="184"/>
    <w:p>
      <w:pPr>
        <w:jc w:val="both"/>
        <w:ind w:firstLine="1294"/>
        <w:spacing w:after="0" w:line="258" w:lineRule="auto"/>
        <w:tabs>
          <w:tab w:leader="none" w:pos="176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(including by way of any Permitted Acquisition) by the Borrower or any Subsidiary or existing on any property or asset of any Person that becomes a Subsidiary after the date hereof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Lien is not created in contemplation of or in connection with such 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79" w:lineRule="exact"/>
        <w:rPr>
          <w:rFonts w:ascii="Arial" w:cs="Arial" w:eastAsia="Arial" w:hAnsi="Arial"/>
          <w:sz w:val="19"/>
          <w:szCs w:val="19"/>
          <w:color w:val="auto"/>
        </w:rPr>
      </w:pPr>
    </w:p>
    <w:p>
      <w:pPr>
        <w:jc w:val="both"/>
        <w:ind w:firstLine="1294"/>
        <w:spacing w:after="0" w:line="278" w:lineRule="auto"/>
        <w:tabs>
          <w:tab w:leader="none" w:pos="17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Indebtedness permitted by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(t)</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65" w:lineRule="exact"/>
        <w:rPr>
          <w:rFonts w:ascii="Arial" w:cs="Arial" w:eastAsia="Arial" w:hAnsi="Arial"/>
          <w:sz w:val="18"/>
          <w:szCs w:val="18"/>
          <w:color w:val="auto"/>
        </w:rPr>
      </w:pPr>
    </w:p>
    <w:p>
      <w:pPr>
        <w:ind w:firstLine="1294"/>
        <w:spacing w:after="0" w:line="240" w:lineRule="exact"/>
        <w:tabs>
          <w:tab w:leader="none" w:pos="180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of a collecting bank arising in the ordinary course of business under Section 4</w:t>
      </w:r>
      <w:r>
        <w:rPr>
          <w:rFonts w:ascii="MS PGothic" w:cs="MS PGothic" w:eastAsia="MS PGothic" w:hAnsi="MS PGothic"/>
          <w:sz w:val="20"/>
          <w:szCs w:val="20"/>
          <w:color w:val="auto"/>
        </w:rPr>
        <w:t>‑</w:t>
      </w:r>
      <w:r>
        <w:rPr>
          <w:rFonts w:ascii="Arial" w:cs="Arial" w:eastAsia="Arial" w:hAnsi="Arial"/>
          <w:sz w:val="20"/>
          <w:szCs w:val="20"/>
          <w:color w:val="auto"/>
        </w:rPr>
        <w:t>208 of the Uniform Commercial Code in effect in the relevant jurisdiction covering only the items being collected upon;</w:t>
      </w:r>
    </w:p>
    <w:p>
      <w:pPr>
        <w:spacing w:after="0" w:line="196" w:lineRule="exact"/>
        <w:rPr>
          <w:rFonts w:ascii="Arial" w:cs="Arial" w:eastAsia="Arial" w:hAnsi="Arial"/>
          <w:sz w:val="20"/>
          <w:szCs w:val="20"/>
          <w:color w:val="auto"/>
        </w:rPr>
      </w:pPr>
    </w:p>
    <w:p>
      <w:pPr>
        <w:ind w:firstLine="1294"/>
        <w:spacing w:after="0" w:line="260" w:lineRule="auto"/>
        <w:tabs>
          <w:tab w:leader="none" w:pos="172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granted by a Subsidiary that is not a Loan Party in favor of the Borrower or another Loan Party in respect of Indebtedness owed by such Subsidiary;</w:t>
      </w:r>
    </w:p>
    <w:p>
      <w:pPr>
        <w:spacing w:after="0" w:line="176" w:lineRule="exact"/>
        <w:rPr>
          <w:rFonts w:ascii="Arial" w:cs="Arial" w:eastAsia="Arial" w:hAnsi="Arial"/>
          <w:sz w:val="20"/>
          <w:szCs w:val="20"/>
          <w:color w:val="auto"/>
        </w:rPr>
      </w:pPr>
    </w:p>
    <w:p>
      <w:pPr>
        <w:ind w:right="20" w:firstLine="1294"/>
        <w:spacing w:after="0" w:line="260" w:lineRule="auto"/>
        <w:tabs>
          <w:tab w:leader="none" w:pos="178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arising by operation of law under Article 2 of the Uniform Commercial Code in favor of a reclaiming seller of goods or buyer of goods;</w:t>
      </w:r>
    </w:p>
    <w:p>
      <w:pPr>
        <w:spacing w:after="0" w:line="176" w:lineRule="exact"/>
        <w:rPr>
          <w:rFonts w:ascii="Arial" w:cs="Arial" w:eastAsia="Arial" w:hAnsi="Arial"/>
          <w:sz w:val="20"/>
          <w:szCs w:val="20"/>
          <w:color w:val="auto"/>
        </w:rPr>
      </w:pPr>
    </w:p>
    <w:p>
      <w:pPr>
        <w:jc w:val="both"/>
        <w:ind w:firstLine="1294"/>
        <w:spacing w:after="0" w:line="260" w:lineRule="auto"/>
        <w:tabs>
          <w:tab w:leader="none" w:pos="171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80" w:lineRule="exact"/>
        <w:rPr>
          <w:rFonts w:ascii="Arial" w:cs="Arial" w:eastAsia="Arial" w:hAnsi="Arial"/>
          <w:sz w:val="19"/>
          <w:szCs w:val="19"/>
          <w:color w:val="auto"/>
        </w:rPr>
      </w:pPr>
    </w:p>
    <w:p>
      <w:pPr>
        <w:jc w:val="both"/>
        <w:ind w:firstLine="1294"/>
        <w:spacing w:after="0" w:line="250" w:lineRule="auto"/>
        <w:tabs>
          <w:tab w:leader="none" w:pos="174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86" w:lineRule="exact"/>
        <w:rPr>
          <w:rFonts w:ascii="Arial" w:cs="Arial" w:eastAsia="Arial" w:hAnsi="Arial"/>
          <w:sz w:val="20"/>
          <w:szCs w:val="20"/>
          <w:color w:val="auto"/>
        </w:rPr>
      </w:pPr>
    </w:p>
    <w:p>
      <w:pPr>
        <w:ind w:left="1820" w:hanging="526"/>
        <w:spacing w:after="0"/>
        <w:tabs>
          <w:tab w:leader="none" w:pos="1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Liens on assets of foreign Subsidiaries to secure Indebtedness of such foreign Subsidiaries permitted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6.01(n)</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1294"/>
        <w:spacing w:after="0" w:line="260" w:lineRule="auto"/>
        <w:tabs>
          <w:tab w:leader="none" w:pos="169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on cash or Cash Equivalents constituting earnest money deposits made by the Borrower or any Subsidiary in connection with any letter of intent or purchase agreement for a Permitted Acquisition;</w:t>
      </w:r>
    </w:p>
    <w:p>
      <w:pPr>
        <w:spacing w:after="0" w:line="176" w:lineRule="exact"/>
        <w:rPr>
          <w:rFonts w:ascii="Arial" w:cs="Arial" w:eastAsia="Arial" w:hAnsi="Arial"/>
          <w:sz w:val="20"/>
          <w:szCs w:val="20"/>
          <w:color w:val="auto"/>
        </w:rPr>
      </w:pPr>
    </w:p>
    <w:p>
      <w:pPr>
        <w:ind w:left="1760" w:hanging="466"/>
        <w:spacing w:after="0"/>
        <w:tabs>
          <w:tab w:leader="none" w:pos="17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Liens on cash collateral securing the Indebtedness described in </w:t>
      </w:r>
      <w:r>
        <w:rPr>
          <w:rFonts w:ascii="Arial" w:cs="Arial" w:eastAsia="Arial" w:hAnsi="Arial"/>
          <w:sz w:val="20"/>
          <w:szCs w:val="20"/>
          <w:u w:val="single" w:color="auto"/>
          <w:color w:val="auto"/>
        </w:rPr>
        <w:t>Section 6.01(q)</w:t>
      </w:r>
      <w:r>
        <w:rPr>
          <w:rFonts w:ascii="Arial" w:cs="Arial" w:eastAsia="Arial" w:hAnsi="Arial"/>
          <w:sz w:val="20"/>
          <w:szCs w:val="20"/>
          <w:color w:val="auto"/>
        </w:rPr>
        <w:t>;</w:t>
      </w:r>
    </w:p>
    <w:p>
      <w:pPr>
        <w:sectPr>
          <w:pgSz w:w="11900" w:h="16838" w:orient="portrait"/>
          <w:cols w:equalWidth="0" w:num="1">
            <w:col w:w="10680"/>
          </w:cols>
          <w:pgMar w:left="980" w:top="596" w:right="239" w:bottom="1440" w:gutter="0" w:footer="0" w:header="0"/>
        </w:sectPr>
      </w:pPr>
    </w:p>
    <w:bookmarkStart w:id="185" w:name="page186"/>
    <w:bookmarkEnd w:id="185"/>
    <w:p>
      <w:pPr>
        <w:ind w:left="2440" w:hanging="406"/>
        <w:spacing w:after="0"/>
        <w:tabs>
          <w:tab w:leader="none" w:pos="2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Liens on cash collateral of foreign Subsidiaries securing the Indebtedness described in </w:t>
      </w:r>
      <w:r>
        <w:rPr>
          <w:rFonts w:ascii="Arial" w:cs="Arial" w:eastAsia="Arial" w:hAnsi="Arial"/>
          <w:sz w:val="18"/>
          <w:szCs w:val="18"/>
          <w:u w:val="single" w:color="auto"/>
          <w:color w:val="auto"/>
        </w:rPr>
        <w:t>Section 6.01(r)</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740" w:right="20" w:firstLine="1294"/>
        <w:spacing w:after="0" w:line="260" w:lineRule="auto"/>
        <w:tabs>
          <w:tab w:leader="none" w:pos="248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Liens on cash collateral to secure any Swap Agreement permitted under </w:t>
      </w:r>
      <w:r>
        <w:rPr>
          <w:rFonts w:ascii="Arial" w:cs="Arial" w:eastAsia="Arial" w:hAnsi="Arial"/>
          <w:sz w:val="20"/>
          <w:szCs w:val="20"/>
          <w:u w:val="single" w:color="auto"/>
          <w:color w:val="auto"/>
        </w:rPr>
        <w:t>Section 6.06</w:t>
      </w:r>
      <w:r>
        <w:rPr>
          <w:rFonts w:ascii="Arial" w:cs="Arial" w:eastAsia="Arial" w:hAnsi="Arial"/>
          <w:sz w:val="20"/>
          <w:szCs w:val="20"/>
          <w:color w:val="auto"/>
        </w:rPr>
        <w:t>, so long as the aggregate amount of such cash collateral does not, as of any date of determination, exceed $20 million.</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16" w:lineRule="exact"/>
        <w:rPr>
          <w:sz w:val="20"/>
          <w:szCs w:val="20"/>
          <w:color w:val="auto"/>
        </w:rPr>
      </w:pPr>
    </w:p>
    <w:p>
      <w:pPr>
        <w:jc w:val="both"/>
        <w:ind w:left="740" w:firstLine="1294"/>
        <w:spacing w:after="0" w:line="270" w:lineRule="auto"/>
        <w:tabs>
          <w:tab w:leader="none" w:pos="25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 (v)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involving a Person that is not a wholly owned Subsidiary immediately prior to such merger shall not be permitted unless also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at a future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shall be conditioned on (i) obtaining requisite approvals permitting the respective transaction (and any related financing or other transactions) in accordance with the requirements of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(ii) the satisfaction and discharge of all outstanding Obligations under this Agreement and the other Loan Documents;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such agreement shall (x) not contain any provision imposing fees or damages on any Loan Party or its Subsidiary for failure to meet the conditions set forth above and (y) contain termination provisions which will provide for the termination of the agreement within a reasonable time if the conditions described in the preceding proviso have not been satisfied by such time.</w:t>
      </w:r>
    </w:p>
    <w:p>
      <w:pPr>
        <w:spacing w:after="0" w:line="198" w:lineRule="exact"/>
        <w:rPr>
          <w:sz w:val="20"/>
          <w:szCs w:val="20"/>
          <w:color w:val="auto"/>
        </w:rPr>
      </w:pPr>
    </w:p>
    <w:p>
      <w:pPr>
        <w:jc w:val="both"/>
        <w:ind w:left="740" w:firstLine="1294"/>
        <w:spacing w:after="0" w:line="246" w:lineRule="auto"/>
        <w:tabs>
          <w:tab w:leader="none" w:pos="248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Board of Directors, similar, complimentary or substantially related thereto or are reasonable extensions thereof.</w:t>
      </w:r>
    </w:p>
    <w:p>
      <w:pPr>
        <w:spacing w:after="0" w:line="191" w:lineRule="exact"/>
        <w:rPr>
          <w:rFonts w:ascii="Arial" w:cs="Arial" w:eastAsia="Arial" w:hAnsi="Arial"/>
          <w:sz w:val="20"/>
          <w:szCs w:val="20"/>
          <w:color w:val="auto"/>
        </w:rPr>
      </w:pPr>
    </w:p>
    <w:p>
      <w:pPr>
        <w:ind w:left="2440" w:hanging="406"/>
        <w:spacing w:after="0"/>
        <w:tabs>
          <w:tab w:leader="none" w:pos="24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Borrower will not change its fiscal year which currently ends on December 31 of each year.</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Investments, Loans, Advances, Guarantees and Acquisitions</w:t>
      </w:r>
      <w:r>
        <w:rPr>
          <w:rFonts w:ascii="Arial" w:cs="Arial" w:eastAsia="Arial" w:hAnsi="Arial"/>
          <w:sz w:val="20"/>
          <w:szCs w:val="20"/>
          <w:color w:val="auto"/>
        </w:rPr>
        <w:t>. No Loan Party will, nor will it permit any Subsidiary to, purchase, hold or acquire (including pursuant to any merger with</w:t>
      </w:r>
    </w:p>
    <w:p>
      <w:pPr>
        <w:sectPr>
          <w:pgSz w:w="11900" w:h="16838" w:orient="portrait"/>
          <w:cols w:equalWidth="0" w:num="1">
            <w:col w:w="11420"/>
          </w:cols>
          <w:pgMar w:left="240" w:top="595" w:right="239" w:bottom="1440" w:gutter="0" w:footer="0" w:header="0"/>
        </w:sectPr>
      </w:pPr>
    </w:p>
    <w:bookmarkStart w:id="186" w:name="page187"/>
    <w:bookmarkEnd w:id="186"/>
    <w:p>
      <w:pPr>
        <w:jc w:val="both"/>
        <w:spacing w:after="0" w:line="282" w:lineRule="auto"/>
        <w:rPr>
          <w:sz w:val="20"/>
          <w:szCs w:val="20"/>
          <w:color w:val="auto"/>
        </w:rPr>
      </w:pPr>
      <w:r>
        <w:rPr>
          <w:rFonts w:ascii="Arial" w:cs="Arial" w:eastAsia="Arial" w:hAnsi="Arial"/>
          <w:sz w:val="18"/>
          <w:szCs w:val="18"/>
          <w:color w:val="auto"/>
        </w:rPr>
        <w:t>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62" w:lineRule="exact"/>
        <w:rPr>
          <w:sz w:val="20"/>
          <w:szCs w:val="20"/>
          <w:color w:val="auto"/>
        </w:rPr>
      </w:pPr>
    </w:p>
    <w:p>
      <w:pPr>
        <w:ind w:left="2440" w:hanging="406"/>
        <w:spacing w:after="0"/>
        <w:tabs>
          <w:tab w:leader="none" w:pos="24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5" w:lineRule="exact"/>
        <w:rPr>
          <w:rFonts w:ascii="Arial" w:cs="Arial" w:eastAsia="Arial" w:hAnsi="Arial"/>
          <w:sz w:val="20"/>
          <w:szCs w:val="20"/>
          <w:color w:val="auto"/>
        </w:rPr>
      </w:pPr>
    </w:p>
    <w:p>
      <w:pPr>
        <w:ind w:left="2440" w:hanging="406"/>
        <w:spacing w:after="0"/>
        <w:tabs>
          <w:tab w:leader="none" w:pos="24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investments in existence on the date of this Agreement and described in </w:t>
      </w:r>
      <w:r>
        <w:rPr>
          <w:rFonts w:ascii="Arial" w:cs="Arial" w:eastAsia="Arial" w:hAnsi="Arial"/>
          <w:sz w:val="20"/>
          <w:szCs w:val="20"/>
          <w:u w:val="single" w:color="auto"/>
          <w:color w:val="auto"/>
        </w:rPr>
        <w:t>Schedule 6.04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40" w:firstLine="1294"/>
        <w:spacing w:after="0" w:line="273" w:lineRule="auto"/>
        <w:tabs>
          <w:tab w:leader="none" w:pos="24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investments by the Borrower and its Subsidiaries in the capital stock of their respective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investments (together with the aggregate amount of loans and advances described in </w:t>
      </w:r>
      <w:r>
        <w:rPr>
          <w:rFonts w:ascii="Arial" w:cs="Arial" w:eastAsia="Arial" w:hAnsi="Arial"/>
          <w:sz w:val="18"/>
          <w:szCs w:val="18"/>
          <w:u w:val="single" w:color="auto"/>
          <w:color w:val="auto"/>
        </w:rPr>
        <w:t>Section 6.04(d)</w:t>
      </w:r>
      <w:r>
        <w:rPr>
          <w:rFonts w:ascii="Arial" w:cs="Arial" w:eastAsia="Arial" w:hAnsi="Arial"/>
          <w:sz w:val="18"/>
          <w:szCs w:val="18"/>
          <w:color w:val="auto"/>
        </w:rPr>
        <w:t>),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69" w:lineRule="exact"/>
        <w:rPr>
          <w:rFonts w:ascii="Arial" w:cs="Arial" w:eastAsia="Arial" w:hAnsi="Arial"/>
          <w:sz w:val="18"/>
          <w:szCs w:val="18"/>
          <w:color w:val="auto"/>
        </w:rPr>
      </w:pPr>
    </w:p>
    <w:p>
      <w:pPr>
        <w:jc w:val="both"/>
        <w:ind w:left="740" w:firstLine="1294"/>
        <w:spacing w:after="0" w:line="278" w:lineRule="auto"/>
        <w:tabs>
          <w:tab w:leader="none" w:pos="25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loans or advances made by the Borrower or any of its Subsidiaries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loans and advances (together with the aggregate amount of investments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6.04(c)</w:t>
      </w:r>
      <w:r>
        <w:rPr>
          <w:rFonts w:ascii="Arial" w:cs="Arial" w:eastAsia="Arial" w:hAnsi="Arial"/>
          <w:sz w:val="18"/>
          <w:szCs w:val="18"/>
          <w:color w:val="auto"/>
        </w:rPr>
        <w:t>)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w:t>
      </w:r>
    </w:p>
    <w:p>
      <w:pPr>
        <w:spacing w:after="0" w:line="165" w:lineRule="exact"/>
        <w:rPr>
          <w:rFonts w:ascii="Arial" w:cs="Arial" w:eastAsia="Arial" w:hAnsi="Arial"/>
          <w:sz w:val="18"/>
          <w:szCs w:val="18"/>
          <w:color w:val="auto"/>
        </w:rPr>
      </w:pPr>
    </w:p>
    <w:p>
      <w:pPr>
        <w:ind w:left="2440" w:hanging="406"/>
        <w:spacing w:after="0"/>
        <w:tabs>
          <w:tab w:leader="none" w:pos="24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Guarantees constituting Indebtedness permitted by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420" w:hanging="386"/>
        <w:spacing w:after="0"/>
        <w:tabs>
          <w:tab w:leader="none" w:pos="24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jc w:val="both"/>
        <w:ind w:left="740" w:firstLine="1294"/>
        <w:spacing w:after="0" w:line="269" w:lineRule="auto"/>
        <w:tabs>
          <w:tab w:leader="none" w:pos="25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$5 million at any time outstanding;</w:t>
      </w:r>
    </w:p>
    <w:p>
      <w:pPr>
        <w:spacing w:after="0" w:line="170" w:lineRule="exact"/>
        <w:rPr>
          <w:rFonts w:ascii="Arial" w:cs="Arial" w:eastAsia="Arial" w:hAnsi="Arial"/>
          <w:sz w:val="19"/>
          <w:szCs w:val="19"/>
          <w:color w:val="auto"/>
        </w:rPr>
      </w:pPr>
    </w:p>
    <w:p>
      <w:pPr>
        <w:ind w:left="740" w:firstLine="1294"/>
        <w:spacing w:after="0" w:line="260" w:lineRule="auto"/>
        <w:tabs>
          <w:tab w:leader="none" w:pos="255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any Person or in settlement of obligations of, or disputes with, any Person arising in the ordinary course of business;</w:t>
      </w:r>
    </w:p>
    <w:p>
      <w:pPr>
        <w:spacing w:after="0" w:line="176" w:lineRule="exact"/>
        <w:rPr>
          <w:rFonts w:ascii="Arial" w:cs="Arial" w:eastAsia="Arial" w:hAnsi="Arial"/>
          <w:sz w:val="20"/>
          <w:szCs w:val="20"/>
          <w:color w:val="auto"/>
        </w:rPr>
      </w:pPr>
    </w:p>
    <w:p>
      <w:pPr>
        <w:ind w:left="2400" w:hanging="366"/>
        <w:spacing w:after="0"/>
        <w:tabs>
          <w:tab w:leader="none" w:pos="24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Swap Agreements permitted by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400" w:hanging="366"/>
        <w:spacing w:after="0"/>
        <w:tabs>
          <w:tab w:leader="none" w:pos="24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Transfer Pricing Transactions;</w:t>
      </w:r>
    </w:p>
    <w:p>
      <w:pPr>
        <w:sectPr>
          <w:pgSz w:w="11900" w:h="16838" w:orient="portrait"/>
          <w:cols w:equalWidth="0" w:num="1">
            <w:col w:w="11420"/>
          </w:cols>
          <w:pgMar w:left="240" w:top="595" w:right="239" w:bottom="1440" w:gutter="0" w:footer="0" w:header="0"/>
        </w:sectPr>
      </w:pPr>
    </w:p>
    <w:bookmarkStart w:id="187" w:name="page188"/>
    <w:bookmarkEnd w:id="187"/>
    <w:p>
      <w:pPr>
        <w:ind w:left="84" w:firstLine="1294"/>
        <w:spacing w:after="0" w:line="260" w:lineRule="auto"/>
        <w:tabs>
          <w:tab w:leader="none" w:pos="185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w:t>
      </w:r>
    </w:p>
    <w:p>
      <w:pPr>
        <w:spacing w:after="0" w:line="176" w:lineRule="exact"/>
        <w:rPr>
          <w:rFonts w:ascii="Arial" w:cs="Arial" w:eastAsia="Arial" w:hAnsi="Arial"/>
          <w:sz w:val="20"/>
          <w:szCs w:val="20"/>
          <w:color w:val="auto"/>
        </w:rPr>
      </w:pPr>
    </w:p>
    <w:p>
      <w:pPr>
        <w:ind w:left="84" w:firstLine="1294"/>
        <w:spacing w:after="0" w:line="260" w:lineRule="auto"/>
        <w:tabs>
          <w:tab w:leader="none" w:pos="180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the extent constituting investments, performance guarantees of obligations of the Borrower’s Subsidiaries in the ordinary course of business; and</w:t>
      </w:r>
    </w:p>
    <w:p>
      <w:pPr>
        <w:spacing w:after="0" w:line="176" w:lineRule="exact"/>
        <w:rPr>
          <w:rFonts w:ascii="Arial" w:cs="Arial" w:eastAsia="Arial" w:hAnsi="Arial"/>
          <w:sz w:val="20"/>
          <w:szCs w:val="20"/>
          <w:color w:val="auto"/>
        </w:rPr>
      </w:pPr>
    </w:p>
    <w:p>
      <w:pPr>
        <w:jc w:val="both"/>
        <w:ind w:left="84" w:firstLine="1294"/>
        <w:spacing w:after="0" w:line="250" w:lineRule="auto"/>
        <w:tabs>
          <w:tab w:leader="none" w:pos="1873"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in addition to investments otherwise expressly permitted by this </w:t>
      </w:r>
      <w:r>
        <w:rPr>
          <w:rFonts w:ascii="Arial" w:cs="Arial" w:eastAsia="Arial" w:hAnsi="Arial"/>
          <w:sz w:val="20"/>
          <w:szCs w:val="20"/>
          <w:u w:val="single" w:color="auto"/>
          <w:color w:val="auto"/>
        </w:rPr>
        <w:t>Section 6.04</w:t>
      </w:r>
      <w:r>
        <w:rPr>
          <w:rFonts w:ascii="Arial" w:cs="Arial" w:eastAsia="Arial" w:hAnsi="Arial"/>
          <w:sz w:val="20"/>
          <w:szCs w:val="20"/>
          <w:color w:val="auto"/>
        </w:rPr>
        <w:t>, investments, loans and advances by the Borrower or any of its Subsidiaries in an aggregate amount (valued at cost) not to exceed $30 million during the term of this Agreement.</w:t>
      </w:r>
    </w:p>
    <w:p>
      <w:pPr>
        <w:spacing w:after="0" w:line="186" w:lineRule="exact"/>
        <w:rPr>
          <w:sz w:val="20"/>
          <w:szCs w:val="20"/>
          <w:color w:val="auto"/>
        </w:rPr>
      </w:pPr>
    </w:p>
    <w:p>
      <w:pPr>
        <w:ind w:left="4"/>
        <w:spacing w:after="0"/>
        <w:tabs>
          <w:tab w:leader="none" w:pos="1383"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6"/>
          <w:szCs w:val="16"/>
          <w:u w:val="single" w:color="auto"/>
          <w:color w:val="auto"/>
        </w:rPr>
        <w:t>Asset Dispositions; Sale and Leaseback Transactions</w:t>
      </w:r>
      <w:r>
        <w:rPr>
          <w:rFonts w:ascii="Arial" w:cs="Arial" w:eastAsia="Arial" w:hAnsi="Arial"/>
          <w:sz w:val="16"/>
          <w:szCs w:val="16"/>
          <w:color w:val="auto"/>
        </w:rPr>
        <w:t>.</w:t>
      </w:r>
    </w:p>
    <w:p>
      <w:pPr>
        <w:spacing w:after="0" w:line="216" w:lineRule="exact"/>
        <w:rPr>
          <w:sz w:val="20"/>
          <w:szCs w:val="20"/>
          <w:color w:val="auto"/>
        </w:rPr>
      </w:pPr>
    </w:p>
    <w:p>
      <w:pPr>
        <w:ind w:left="1784" w:hanging="406"/>
        <w:spacing w:after="0"/>
        <w:tabs>
          <w:tab w:leader="none" w:pos="178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No Loan Party will, nor will it permit any Subsidiary to, make any Disposition except:</w:t>
      </w:r>
    </w:p>
    <w:p>
      <w:pPr>
        <w:spacing w:after="0" w:line="215" w:lineRule="exact"/>
        <w:rPr>
          <w:rFonts w:ascii="Arial" w:cs="Arial" w:eastAsia="Arial" w:hAnsi="Arial"/>
          <w:sz w:val="20"/>
          <w:szCs w:val="20"/>
          <w:color w:val="auto"/>
        </w:rPr>
      </w:pPr>
    </w:p>
    <w:p>
      <w:pPr>
        <w:ind w:left="1664" w:hanging="367"/>
        <w:spacing w:after="0"/>
        <w:tabs>
          <w:tab w:leader="none" w:pos="16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20"/>
          <w:szCs w:val="20"/>
          <w:color w:val="auto"/>
        </w:rPr>
        <w:t>business;</w:t>
      </w:r>
    </w:p>
    <w:p>
      <w:pPr>
        <w:spacing w:after="0" w:line="200" w:lineRule="exact"/>
        <w:rPr>
          <w:sz w:val="20"/>
          <w:szCs w:val="20"/>
          <w:color w:val="auto"/>
        </w:rPr>
      </w:pPr>
    </w:p>
    <w:p>
      <w:pPr>
        <w:ind w:left="1724" w:hanging="427"/>
        <w:spacing w:after="0"/>
        <w:tabs>
          <w:tab w:leader="none" w:pos="172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Dispositions (including non-exclusive licenses) of inventory in the ordinary course of business;</w:t>
      </w:r>
    </w:p>
    <w:p>
      <w:pPr>
        <w:spacing w:after="0" w:line="215" w:lineRule="exact"/>
        <w:rPr>
          <w:rFonts w:ascii="Arial" w:cs="Arial" w:eastAsia="Arial" w:hAnsi="Arial"/>
          <w:sz w:val="20"/>
          <w:szCs w:val="20"/>
          <w:color w:val="auto"/>
        </w:rPr>
      </w:pPr>
    </w:p>
    <w:p>
      <w:pPr>
        <w:jc w:val="both"/>
        <w:ind w:left="4" w:firstLine="1293"/>
        <w:spacing w:after="0" w:line="250" w:lineRule="auto"/>
        <w:tabs>
          <w:tab w:leader="none" w:pos="1777"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186" w:lineRule="exact"/>
        <w:rPr>
          <w:rFonts w:ascii="Arial" w:cs="Arial" w:eastAsia="Arial" w:hAnsi="Arial"/>
          <w:sz w:val="20"/>
          <w:szCs w:val="20"/>
          <w:color w:val="auto"/>
        </w:rPr>
      </w:pPr>
    </w:p>
    <w:p>
      <w:pPr>
        <w:jc w:val="both"/>
        <w:ind w:left="4" w:firstLine="1293"/>
        <w:spacing w:after="0" w:line="269" w:lineRule="auto"/>
        <w:tabs>
          <w:tab w:leader="none" w:pos="1915"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Dispositions of property by Borrower to any Subsidiary and by any Subsidiary to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property is subject to any Lien under any Collateral Document prior to any such Disposition, such property shall remain subject to valid and perfected Liens under the Collateral Documents after such Disposition;</w:t>
      </w:r>
    </w:p>
    <w:p>
      <w:pPr>
        <w:spacing w:after="0" w:line="170" w:lineRule="exact"/>
        <w:rPr>
          <w:rFonts w:ascii="Arial" w:cs="Arial" w:eastAsia="Arial" w:hAnsi="Arial"/>
          <w:sz w:val="19"/>
          <w:szCs w:val="19"/>
          <w:color w:val="auto"/>
        </w:rPr>
      </w:pPr>
    </w:p>
    <w:p>
      <w:pPr>
        <w:ind w:left="1704" w:hanging="407"/>
        <w:spacing w:after="0"/>
        <w:tabs>
          <w:tab w:leader="none" w:pos="170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6.05(b)</w:t>
      </w:r>
      <w:r>
        <w:rPr>
          <w:rFonts w:ascii="Arial" w:cs="Arial" w:eastAsia="Arial" w:hAnsi="Arial"/>
          <w:sz w:val="20"/>
          <w:szCs w:val="20"/>
          <w:color w:val="auto"/>
        </w:rPr>
        <w:t xml:space="preserve">, </w:t>
      </w:r>
      <w:r>
        <w:rPr>
          <w:rFonts w:ascii="Arial" w:cs="Arial" w:eastAsia="Arial" w:hAnsi="Arial"/>
          <w:sz w:val="20"/>
          <w:szCs w:val="20"/>
          <w:u w:val="single" w:color="auto"/>
          <w:color w:val="auto"/>
        </w:rPr>
        <w:t>6.07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6.08</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64" w:hanging="467"/>
        <w:spacing w:after="0"/>
        <w:tabs>
          <w:tab w:leader="none" w:pos="176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Dispositions of overdue accounts receivable solely in connection with the collection or compromise thereof;</w:t>
      </w:r>
    </w:p>
    <w:p>
      <w:pPr>
        <w:spacing w:after="0" w:line="227" w:lineRule="exact"/>
        <w:rPr>
          <w:rFonts w:ascii="Arial" w:cs="Arial" w:eastAsia="Arial" w:hAnsi="Arial"/>
          <w:sz w:val="19"/>
          <w:szCs w:val="19"/>
          <w:color w:val="auto"/>
        </w:rPr>
      </w:pPr>
    </w:p>
    <w:p>
      <w:pPr>
        <w:ind w:left="4" w:firstLine="1293"/>
        <w:spacing w:after="0" w:line="260" w:lineRule="auto"/>
        <w:tabs>
          <w:tab w:leader="none" w:pos="1875"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Dispositions pursuant to operating leases (not in connection with any sale and leaseback transactions or other Capital Lease Obligations) entered into in the ordinary course of business;</w:t>
      </w:r>
    </w:p>
    <w:p>
      <w:pPr>
        <w:spacing w:after="0" w:line="176" w:lineRule="exact"/>
        <w:rPr>
          <w:rFonts w:ascii="Arial" w:cs="Arial" w:eastAsia="Arial" w:hAnsi="Arial"/>
          <w:sz w:val="20"/>
          <w:szCs w:val="20"/>
          <w:color w:val="auto"/>
        </w:rPr>
      </w:pPr>
    </w:p>
    <w:p>
      <w:pPr>
        <w:ind w:left="1864" w:hanging="567"/>
        <w:spacing w:after="0"/>
        <w:tabs>
          <w:tab w:leader="none" w:pos="186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Dispositions of property and assets subject to condemnation and casualty events;</w:t>
      </w:r>
    </w:p>
    <w:p>
      <w:pPr>
        <w:spacing w:after="0" w:line="215" w:lineRule="exact"/>
        <w:rPr>
          <w:rFonts w:ascii="Arial" w:cs="Arial" w:eastAsia="Arial" w:hAnsi="Arial"/>
          <w:sz w:val="20"/>
          <w:szCs w:val="20"/>
          <w:color w:val="auto"/>
        </w:rPr>
      </w:pPr>
    </w:p>
    <w:p>
      <w:pPr>
        <w:ind w:left="1764" w:hanging="467"/>
        <w:spacing w:after="0"/>
        <w:tabs>
          <w:tab w:leader="none" w:pos="176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Dispositions of cash and Cash Equivalents in the ordinary course of business;</w:t>
      </w:r>
    </w:p>
    <w:p>
      <w:pPr>
        <w:spacing w:after="0" w:line="215" w:lineRule="exact"/>
        <w:rPr>
          <w:rFonts w:ascii="Arial" w:cs="Arial" w:eastAsia="Arial" w:hAnsi="Arial"/>
          <w:sz w:val="20"/>
          <w:szCs w:val="20"/>
          <w:color w:val="auto"/>
        </w:rPr>
      </w:pPr>
    </w:p>
    <w:p>
      <w:pPr>
        <w:ind w:left="1744" w:hanging="447"/>
        <w:spacing w:after="0"/>
        <w:tabs>
          <w:tab w:leader="none" w:pos="174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Dispositions by Borrower and any Subsidiary not otherwise permitted under this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38" w:lineRule="exact"/>
        <w:rPr>
          <w:rFonts w:ascii="Arial" w:cs="Arial" w:eastAsia="Arial" w:hAnsi="Arial"/>
          <w:sz w:val="18"/>
          <w:szCs w:val="18"/>
          <w:color w:val="auto"/>
        </w:rPr>
      </w:pPr>
    </w:p>
    <w:p>
      <w:pPr>
        <w:ind w:left="4" w:hanging="4"/>
        <w:spacing w:after="0" w:line="298" w:lineRule="auto"/>
        <w:tabs>
          <w:tab w:leader="none" w:pos="3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at the time of such Disposition, no Default shall exist or would result from such Disposition, and (B) the aggregate fair market value of all property Disposed of in reliance on this </w:t>
      </w:r>
      <w:r>
        <w:rPr>
          <w:rFonts w:ascii="Arial" w:cs="Arial" w:eastAsia="Arial" w:hAnsi="Arial"/>
          <w:sz w:val="18"/>
          <w:szCs w:val="18"/>
          <w:u w:val="single" w:color="auto"/>
          <w:color w:val="auto"/>
        </w:rPr>
        <w:t>subclause (x)</w:t>
      </w:r>
      <w:r>
        <w:rPr>
          <w:rFonts w:ascii="Arial" w:cs="Arial" w:eastAsia="Arial" w:hAnsi="Arial"/>
          <w:sz w:val="18"/>
          <w:szCs w:val="18"/>
          <w:color w:val="auto"/>
        </w:rPr>
        <w:t xml:space="preserve"> in any fiscal year (or in the case of any Disposition for which the</w:t>
      </w:r>
    </w:p>
    <w:p>
      <w:pPr>
        <w:sectPr>
          <w:pgSz w:w="11900" w:h="16838" w:orient="portrait"/>
          <w:cols w:equalWidth="0" w:num="1">
            <w:col w:w="10764"/>
          </w:cols>
          <w:pgMar w:left="896" w:top="596" w:right="239" w:bottom="1440" w:gutter="0" w:footer="0" w:header="0"/>
        </w:sectPr>
      </w:pPr>
    </w:p>
    <w:bookmarkStart w:id="188" w:name="page189"/>
    <w:bookmarkEnd w:id="188"/>
    <w:p>
      <w:pPr>
        <w:ind w:left="660"/>
        <w:spacing w:after="0"/>
        <w:rPr>
          <w:sz w:val="20"/>
          <w:szCs w:val="20"/>
          <w:color w:val="auto"/>
        </w:rPr>
      </w:pPr>
      <w:r>
        <w:rPr>
          <w:rFonts w:ascii="Arial" w:cs="Arial" w:eastAsia="Arial" w:hAnsi="Arial"/>
          <w:sz w:val="19"/>
          <w:szCs w:val="19"/>
          <w:color w:val="auto"/>
        </w:rPr>
        <w:t>fair market value cannot reasonably be determined, the aggregate purchase price therefor) shall not exceed $10 million; and</w:t>
      </w:r>
    </w:p>
    <w:p>
      <w:pPr>
        <w:spacing w:after="0" w:line="227"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(xi)</w:t>
      </w:r>
      <w:r>
        <w:rPr>
          <w:sz w:val="20"/>
          <w:szCs w:val="20"/>
          <w:color w:val="auto"/>
        </w:rPr>
        <w:tab/>
      </w:r>
      <w:r>
        <w:rPr>
          <w:rFonts w:ascii="Arial" w:cs="Arial" w:eastAsia="Arial" w:hAnsi="Arial"/>
          <w:sz w:val="16"/>
          <w:szCs w:val="16"/>
          <w:color w:val="auto"/>
        </w:rPr>
        <w:t>Dispositions pursuant to any Transfer Pricing Transactions;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Disposition pursuant to </w:t>
      </w:r>
      <w:r>
        <w:rPr>
          <w:rFonts w:ascii="Arial" w:cs="Arial" w:eastAsia="Arial" w:hAnsi="Arial"/>
          <w:sz w:val="19"/>
          <w:szCs w:val="19"/>
          <w:u w:val="single" w:color="auto"/>
          <w:color w:val="auto"/>
        </w:rPr>
        <w:t>Section 6.05(a)(i)</w:t>
      </w:r>
      <w:r>
        <w:rPr>
          <w:rFonts w:ascii="Arial" w:cs="Arial" w:eastAsia="Arial" w:hAnsi="Arial"/>
          <w:sz w:val="19"/>
          <w:szCs w:val="19"/>
          <w:color w:val="auto"/>
        </w:rPr>
        <w:t xml:space="preserve"> through (a)(iii), </w:t>
      </w:r>
      <w:r>
        <w:rPr>
          <w:rFonts w:ascii="Arial" w:cs="Arial" w:eastAsia="Arial" w:hAnsi="Arial"/>
          <w:sz w:val="19"/>
          <w:szCs w:val="19"/>
          <w:u w:val="single" w:color="auto"/>
          <w:color w:val="auto"/>
        </w:rPr>
        <w:t>Section 6.05(a)(v)</w:t>
      </w:r>
      <w:r>
        <w:rPr>
          <w:rFonts w:ascii="Arial" w:cs="Arial" w:eastAsia="Arial" w:hAnsi="Arial"/>
          <w:sz w:val="19"/>
          <w:szCs w:val="19"/>
          <w:color w:val="auto"/>
        </w:rPr>
        <w:t xml:space="preserve"> (except insofar as it relates to any transaction solely between the Borrower and any Subsidiary or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6.05(a)(vi)</w:t>
      </w:r>
      <w:r>
        <w:rPr>
          <w:rFonts w:ascii="Arial" w:cs="Arial" w:eastAsia="Arial" w:hAnsi="Arial"/>
          <w:sz w:val="19"/>
          <w:szCs w:val="19"/>
          <w:color w:val="auto"/>
        </w:rPr>
        <w:t xml:space="preserve"> (except to the extent determined by the applicable Person making such Disposition in good faith to be appropriate in accordance with its usual practice), </w:t>
      </w:r>
      <w:r>
        <w:rPr>
          <w:rFonts w:ascii="Arial" w:cs="Arial" w:eastAsia="Arial" w:hAnsi="Arial"/>
          <w:sz w:val="19"/>
          <w:szCs w:val="19"/>
          <w:u w:val="single" w:color="auto"/>
          <w:color w:val="auto"/>
        </w:rPr>
        <w:t>Section 6.05(a)(vii)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6.05(a)(x)</w:t>
      </w:r>
      <w:r>
        <w:rPr>
          <w:rFonts w:ascii="Arial" w:cs="Arial" w:eastAsia="Arial" w:hAnsi="Arial"/>
          <w:sz w:val="19"/>
          <w:szCs w:val="19"/>
          <w:color w:val="auto"/>
        </w:rPr>
        <w:t xml:space="preserve"> shall be for fair market value (or, in respect of </w:t>
      </w:r>
      <w:r>
        <w:rPr>
          <w:rFonts w:ascii="Arial" w:cs="Arial" w:eastAsia="Arial" w:hAnsi="Arial"/>
          <w:sz w:val="19"/>
          <w:szCs w:val="19"/>
          <w:u w:val="single" w:color="auto"/>
          <w:color w:val="auto"/>
        </w:rPr>
        <w:t>Section 6.05(a)(x)</w:t>
      </w:r>
      <w:r>
        <w:rPr>
          <w:rFonts w:ascii="Arial" w:cs="Arial" w:eastAsia="Arial" w:hAnsi="Arial"/>
          <w:sz w:val="19"/>
          <w:szCs w:val="19"/>
          <w:color w:val="auto"/>
        </w:rPr>
        <w:t xml:space="preserve">, where the fair market value cannot reasonably be determined, such disposition shall otherwise be in accordance with the terms of </w:t>
      </w:r>
      <w:r>
        <w:rPr>
          <w:rFonts w:ascii="Arial" w:cs="Arial" w:eastAsia="Arial" w:hAnsi="Arial"/>
          <w:sz w:val="19"/>
          <w:szCs w:val="19"/>
          <w:u w:val="single" w:color="auto"/>
          <w:color w:val="auto"/>
        </w:rPr>
        <w:t>Section 6.05(a)(x)</w:t>
      </w:r>
      <w:r>
        <w:rPr>
          <w:rFonts w:ascii="Arial" w:cs="Arial" w:eastAsia="Arial" w:hAnsi="Arial"/>
          <w:sz w:val="19"/>
          <w:szCs w:val="19"/>
          <w:color w:val="auto"/>
        </w:rPr>
        <w:t>).</w:t>
      </w:r>
    </w:p>
    <w:p>
      <w:pPr>
        <w:spacing w:after="0" w:line="181" w:lineRule="exact"/>
        <w:rPr>
          <w:sz w:val="20"/>
          <w:szCs w:val="20"/>
          <w:color w:val="auto"/>
        </w:rPr>
      </w:pPr>
    </w:p>
    <w:p>
      <w:pPr>
        <w:jc w:val="both"/>
        <w:ind w:left="740" w:firstLine="1294"/>
        <w:spacing w:after="0" w:line="276" w:lineRule="auto"/>
        <w:tabs>
          <w:tab w:leader="none" w:pos="25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any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spacing w:after="0" w:line="16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8"/>
          <w:szCs w:val="18"/>
          <w:u w:val="single" w:color="auto"/>
          <w:color w:val="auto"/>
        </w:rPr>
        <w:t>Swap Agreements</w:t>
      </w:r>
      <w:r>
        <w:rPr>
          <w:rFonts w:ascii="Arial" w:cs="Arial" w:eastAsia="Arial" w:hAnsi="Arial"/>
          <w:sz w:val="18"/>
          <w:szCs w:val="18"/>
          <w:color w:val="auto"/>
        </w:rPr>
        <w:t>. No Loan Party will, nor will it permit any Subsidiary to, enter into any Swap Agreement, except</w:t>
      </w:r>
    </w:p>
    <w:p>
      <w:pPr>
        <w:spacing w:after="0" w:line="16" w:lineRule="exact"/>
        <w:rPr>
          <w:sz w:val="20"/>
          <w:szCs w:val="20"/>
          <w:color w:val="auto"/>
        </w:rPr>
      </w:pPr>
    </w:p>
    <w:p>
      <w:pPr>
        <w:jc w:val="both"/>
        <w:ind w:firstLine="8"/>
        <w:spacing w:after="0"/>
        <w:tabs>
          <w:tab w:leader="none" w:pos="30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9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No Loan Party will, nor will it permit any Subsidiary to, declare or make, or agree to pay or make, directly or indirectly, any Restricted Payment, or incur any obligation (contingent or otherwise) to do so, except:</w:t>
      </w:r>
    </w:p>
    <w:p>
      <w:pPr>
        <w:spacing w:after="0" w:line="177" w:lineRule="exact"/>
        <w:rPr>
          <w:sz w:val="20"/>
          <w:szCs w:val="20"/>
          <w:color w:val="auto"/>
        </w:rPr>
      </w:pPr>
    </w:p>
    <w:p>
      <w:pPr>
        <w:jc w:val="both"/>
        <w:ind w:left="740" w:firstLine="1294"/>
        <w:spacing w:after="0" w:line="291" w:lineRule="auto"/>
        <w:tabs>
          <w:tab w:leader="none" w:pos="25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 and (ii) Subsidiaries may declare and pay dividends ratably with respect to their Equity Interests;</w:t>
      </w:r>
    </w:p>
    <w:p>
      <w:pPr>
        <w:spacing w:after="0" w:line="151" w:lineRule="exact"/>
        <w:rPr>
          <w:rFonts w:ascii="Arial" w:cs="Arial" w:eastAsia="Arial" w:hAnsi="Arial"/>
          <w:sz w:val="18"/>
          <w:szCs w:val="18"/>
          <w:color w:val="auto"/>
        </w:rPr>
      </w:pPr>
    </w:p>
    <w:p>
      <w:pPr>
        <w:jc w:val="both"/>
        <w:ind w:left="740" w:firstLine="1294"/>
        <w:spacing w:after="0" w:line="250" w:lineRule="auto"/>
        <w:tabs>
          <w:tab w:leader="none" w:pos="247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without limitation of the exception in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6.07</w:t>
      </w:r>
      <w:r>
        <w:rPr>
          <w:rFonts w:ascii="Arial" w:cs="Arial" w:eastAsia="Arial" w:hAnsi="Arial"/>
          <w:sz w:val="20"/>
          <w:szCs w:val="20"/>
          <w:color w:val="auto"/>
        </w:rPr>
        <w:t>, so long as the Total Leverage Ratio is less than 1.50 to 1.00 after giving effect thereto, and no Event of Default has occurred and is continuing, other Restricted Payments paid to shareholders of the Borrower;</w:t>
      </w:r>
    </w:p>
    <w:p>
      <w:pPr>
        <w:spacing w:after="0" w:line="186" w:lineRule="exact"/>
        <w:rPr>
          <w:rFonts w:ascii="Arial" w:cs="Arial" w:eastAsia="Arial" w:hAnsi="Arial"/>
          <w:sz w:val="20"/>
          <w:szCs w:val="20"/>
          <w:color w:val="auto"/>
        </w:rPr>
      </w:pPr>
    </w:p>
    <w:p>
      <w:pPr>
        <w:jc w:val="both"/>
        <w:ind w:left="740" w:firstLine="1294"/>
        <w:spacing w:after="0" w:line="263" w:lineRule="auto"/>
        <w:tabs>
          <w:tab w:leader="none" w:pos="247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Restricted Payments paid in cash to shareholders of the Borrower, whether in connection with a share buyback plan or otherwise, so long as (i) no Event of Default has occurred and is continuing, (ii) the aggregate annual amount of such Restricted Payments after the Effective Date does not exceed 50% of the previous fiscal year’s EBITDA for any fiscal year, and (iii) the aggregate annual amount of such Restricted Payments (together with (A) the aggregate outstanding</w:t>
      </w:r>
    </w:p>
    <w:p>
      <w:pPr>
        <w:sectPr>
          <w:pgSz w:w="11900" w:h="16838" w:orient="portrait"/>
          <w:cols w:equalWidth="0" w:num="1">
            <w:col w:w="11420"/>
          </w:cols>
          <w:pgMar w:left="240" w:top="596" w:right="239" w:bottom="1440" w:gutter="0" w:footer="0" w:header="0"/>
        </w:sectPr>
      </w:pPr>
    </w:p>
    <w:bookmarkStart w:id="189" w:name="page190"/>
    <w:bookmarkEnd w:id="189"/>
    <w:p>
      <w:pPr>
        <w:ind w:left="740" w:right="20"/>
        <w:spacing w:after="0" w:line="260" w:lineRule="auto"/>
        <w:rPr>
          <w:sz w:val="20"/>
          <w:szCs w:val="20"/>
          <w:color w:val="auto"/>
        </w:rPr>
      </w:pPr>
      <w:r>
        <w:rPr>
          <w:rFonts w:ascii="Arial" w:cs="Arial" w:eastAsia="Arial" w:hAnsi="Arial"/>
          <w:sz w:val="20"/>
          <w:szCs w:val="20"/>
          <w:color w:val="auto"/>
        </w:rPr>
        <w:t xml:space="preserve">amount of investments described in </w:t>
      </w:r>
      <w:r>
        <w:rPr>
          <w:rFonts w:ascii="Arial" w:cs="Arial" w:eastAsia="Arial" w:hAnsi="Arial"/>
          <w:sz w:val="20"/>
          <w:szCs w:val="20"/>
          <w:u w:val="single" w:color="auto"/>
          <w:color w:val="auto"/>
        </w:rPr>
        <w:t>Section 6.04(c)</w:t>
      </w:r>
      <w:r>
        <w:rPr>
          <w:rFonts w:ascii="Arial" w:cs="Arial" w:eastAsia="Arial" w:hAnsi="Arial"/>
          <w:sz w:val="20"/>
          <w:szCs w:val="20"/>
          <w:color w:val="auto"/>
        </w:rPr>
        <w:t xml:space="preserve"> and (B) the aggregate outstanding amount of loans and advances described in </w:t>
      </w:r>
      <w:r>
        <w:rPr>
          <w:rFonts w:ascii="Arial" w:cs="Arial" w:eastAsia="Arial" w:hAnsi="Arial"/>
          <w:sz w:val="20"/>
          <w:szCs w:val="20"/>
          <w:u w:val="single" w:color="auto"/>
          <w:color w:val="auto"/>
        </w:rPr>
        <w:t>Section 6.04(d)</w:t>
      </w:r>
      <w:r>
        <w:rPr>
          <w:rFonts w:ascii="Arial" w:cs="Arial" w:eastAsia="Arial" w:hAnsi="Arial"/>
          <w:sz w:val="20"/>
          <w:szCs w:val="20"/>
          <w:color w:val="auto"/>
        </w:rPr>
        <w:t>) does not exceed 75% of the previous fiscal year’s EBITDA for any fiscal year;</w:t>
      </w:r>
    </w:p>
    <w:p>
      <w:pPr>
        <w:spacing w:after="0" w:line="177" w:lineRule="exact"/>
        <w:rPr>
          <w:sz w:val="20"/>
          <w:szCs w:val="20"/>
          <w:color w:val="auto"/>
        </w:rPr>
      </w:pPr>
    </w:p>
    <w:p>
      <w:pPr>
        <w:ind w:left="740" w:firstLine="1294"/>
        <w:spacing w:after="0" w:line="260" w:lineRule="auto"/>
        <w:tabs>
          <w:tab w:leader="none" w:pos="258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issuances of Equity Interests to sellers of Permitted Acquisitions in satisfaction of obligations of the type described in </w:t>
      </w:r>
      <w:r>
        <w:rPr>
          <w:rFonts w:ascii="Arial" w:cs="Arial" w:eastAsia="Arial" w:hAnsi="Arial"/>
          <w:sz w:val="20"/>
          <w:szCs w:val="20"/>
          <w:u w:val="single" w:color="auto"/>
          <w:color w:val="auto"/>
        </w:rPr>
        <w:t>Section 6.01(k)</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740" w:firstLine="1294"/>
        <w:spacing w:after="0" w:line="291" w:lineRule="auto"/>
        <w:tabs>
          <w:tab w:leader="none" w:pos="24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Borrower may repurchase, redeem, retire or otherwise acquire for value Equity Interests (including any stock appreciation rights in respect thereof) of the Borrower from current or former employees or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annual cash payments in respect of such repurchases, redemptions, retirements and acquisitions shall not exceed $10 million.</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w:t>
      </w:r>
    </w:p>
    <w:p>
      <w:pPr>
        <w:spacing w:after="0" w:line="3" w:lineRule="exact"/>
        <w:rPr>
          <w:sz w:val="20"/>
          <w:szCs w:val="20"/>
          <w:color w:val="auto"/>
        </w:rPr>
      </w:pPr>
    </w:p>
    <w:p>
      <w:pPr>
        <w:jc w:val="both"/>
        <w:ind w:firstLine="8"/>
        <w:spacing w:after="0" w:line="241" w:lineRule="auto"/>
        <w:tabs>
          <w:tab w:leader="none" w:pos="28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transactions between or among the Borrower and any Subsidiary not involving any other Affiliate, (c) any Restricted Payment permitted by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(d) reasonable and customary director, officer and employee compensation (including bonuses) and other benefits (including retirement, health, stock option and other benefit plans) and indemnification arrangements, (e) Transfer Pricing Transactions, and (f) transactions described in </w:t>
      </w:r>
      <w:r>
        <w:rPr>
          <w:rFonts w:ascii="Arial" w:cs="Arial" w:eastAsia="Arial" w:hAnsi="Arial"/>
          <w:sz w:val="20"/>
          <w:szCs w:val="20"/>
          <w:u w:val="single" w:color="auto"/>
          <w:color w:val="auto"/>
        </w:rPr>
        <w:t>Schedule 6.08</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date hereof identified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restricting the transfer of the property subject thereto; (x) without affecting the Loan Parties’ obligations under </w:t>
      </w:r>
      <w:r>
        <w:rPr>
          <w:rFonts w:ascii="Arial" w:cs="Arial" w:eastAsia="Arial" w:hAnsi="Arial"/>
          <w:sz w:val="18"/>
          <w:szCs w:val="18"/>
          <w:u w:val="single" w:color="auto"/>
          <w:color w:val="auto"/>
        </w:rPr>
        <w:t>Section 5.09</w:t>
      </w:r>
      <w:r>
        <w:rPr>
          <w:rFonts w:ascii="Arial" w:cs="Arial" w:eastAsia="Arial" w:hAnsi="Arial"/>
          <w:sz w:val="18"/>
          <w:szCs w:val="18"/>
          <w:color w:val="auto"/>
        </w:rPr>
        <w:t>,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w:t>
      </w:r>
    </w:p>
    <w:p>
      <w:pPr>
        <w:sectPr>
          <w:pgSz w:w="11900" w:h="16838" w:orient="portrait"/>
          <w:cols w:equalWidth="0" w:num="1">
            <w:col w:w="11420"/>
          </w:cols>
          <w:pgMar w:left="240" w:top="595" w:right="239" w:bottom="1440" w:gutter="0" w:footer="0" w:header="0"/>
        </w:sectPr>
      </w:pPr>
    </w:p>
    <w:bookmarkStart w:id="190" w:name="page191"/>
    <w:bookmarkEnd w:id="190"/>
    <w:p>
      <w:pPr>
        <w:jc w:val="both"/>
        <w:spacing w:after="0" w:line="282" w:lineRule="auto"/>
        <w:rPr>
          <w:sz w:val="20"/>
          <w:szCs w:val="20"/>
          <w:color w:val="auto"/>
        </w:rPr>
      </w:pPr>
      <w:r>
        <w:rPr>
          <w:rFonts w:ascii="Arial" w:cs="Arial" w:eastAsia="Arial" w:hAnsi="Arial"/>
          <w:sz w:val="18"/>
          <w:szCs w:val="18"/>
          <w:color w:val="auto"/>
        </w:rPr>
        <w:t xml:space="preserve">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or (xii) without affecting the Loan Parties’ obligations under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restrictions imposed solely on foreign Subsidiaries pursuant to any Swap Agreement entered into by the Borrower or any Subsidiary and permitted pursuant to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Amendment of Material Documents</w:t>
      </w:r>
      <w:r>
        <w:rPr>
          <w:rFonts w:ascii="Arial" w:cs="Arial" w:eastAsia="Arial" w:hAnsi="Arial"/>
          <w:sz w:val="20"/>
          <w:szCs w:val="20"/>
          <w:color w:val="auto"/>
        </w:rPr>
        <w:t>.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Administrative Agent.</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ind w:left="740" w:firstLine="1294"/>
        <w:spacing w:after="0" w:line="260" w:lineRule="auto"/>
        <w:tabs>
          <w:tab w:leader="none" w:pos="2531"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Interest Coverage Ratio</w:t>
      </w:r>
      <w:r>
        <w:rPr>
          <w:rFonts w:ascii="Arial" w:cs="Arial" w:eastAsia="Arial" w:hAnsi="Arial"/>
          <w:sz w:val="20"/>
          <w:szCs w:val="20"/>
          <w:color w:val="auto"/>
        </w:rPr>
        <w:t>. The Borrower will not permit the Interest Coverage Ratio, determined for the four consecutive fiscal quarter period ending on the last day of each fiscal quarter, to be less than 3.50 to 1.00.</w:t>
      </w:r>
    </w:p>
    <w:p>
      <w:pPr>
        <w:spacing w:after="0" w:line="176" w:lineRule="exact"/>
        <w:rPr>
          <w:rFonts w:ascii="Arial" w:cs="Arial" w:eastAsia="Arial" w:hAnsi="Arial"/>
          <w:sz w:val="20"/>
          <w:szCs w:val="20"/>
          <w:color w:val="auto"/>
        </w:rPr>
      </w:pPr>
    </w:p>
    <w:p>
      <w:pPr>
        <w:ind w:left="740" w:firstLine="1294"/>
        <w:spacing w:after="0" w:line="260" w:lineRule="auto"/>
        <w:tabs>
          <w:tab w:leader="none" w:pos="2488"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The Borrower will not permit the Total Net Leverage Ratio, determined for the four consecutive fiscal quarter period ending on the last day of each fiscal quarter, to be greater than 3.00 to 1.00.</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 and be continuing:</w:t>
      </w:r>
    </w:p>
    <w:p>
      <w:pPr>
        <w:spacing w:after="0" w:line="216" w:lineRule="exact"/>
        <w:rPr>
          <w:sz w:val="20"/>
          <w:szCs w:val="20"/>
          <w:color w:val="auto"/>
        </w:rPr>
      </w:pPr>
    </w:p>
    <w:p>
      <w:pPr>
        <w:jc w:val="both"/>
        <w:ind w:left="740" w:firstLine="1294"/>
        <w:spacing w:after="0" w:line="250" w:lineRule="auto"/>
        <w:tabs>
          <w:tab w:leader="none" w:pos="247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6" w:lineRule="exact"/>
        <w:rPr>
          <w:rFonts w:ascii="Arial" w:cs="Arial" w:eastAsia="Arial" w:hAnsi="Arial"/>
          <w:sz w:val="20"/>
          <w:szCs w:val="20"/>
          <w:color w:val="auto"/>
        </w:rPr>
      </w:pPr>
    </w:p>
    <w:p>
      <w:pPr>
        <w:jc w:val="both"/>
        <w:ind w:left="740" w:firstLine="1294"/>
        <w:spacing w:after="0" w:line="250" w:lineRule="auto"/>
        <w:tabs>
          <w:tab w:leader="none" w:pos="250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interest on any Loan or any fee or any other amount (other than an amount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Article VII</w:t>
      </w:r>
      <w:r>
        <w:rPr>
          <w:rFonts w:ascii="Arial" w:cs="Arial" w:eastAsia="Arial" w:hAnsi="Arial"/>
          <w:sz w:val="20"/>
          <w:szCs w:val="20"/>
          <w:color w:val="auto"/>
        </w:rPr>
        <w:t>) payable under this Agreement, when and as the same shall become due and payable, and such failure shall continue unremedied for a period of five Business Days;</w:t>
      </w:r>
    </w:p>
    <w:p>
      <w:pPr>
        <w:spacing w:after="0" w:line="186" w:lineRule="exact"/>
        <w:rPr>
          <w:rFonts w:ascii="Arial" w:cs="Arial" w:eastAsia="Arial" w:hAnsi="Arial"/>
          <w:sz w:val="20"/>
          <w:szCs w:val="20"/>
          <w:color w:val="auto"/>
        </w:rPr>
      </w:pPr>
    </w:p>
    <w:p>
      <w:pPr>
        <w:jc w:val="both"/>
        <w:ind w:left="740" w:firstLine="1294"/>
        <w:spacing w:after="0" w:line="243" w:lineRule="auto"/>
        <w:tabs>
          <w:tab w:leader="none" w:pos="245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w:t>
      </w:r>
      <w:r>
        <w:rPr>
          <w:rFonts w:ascii="Arial" w:cs="Arial" w:eastAsia="Arial" w:hAnsi="Arial"/>
          <w:sz w:val="20"/>
          <w:szCs w:val="20"/>
          <w:u w:val="single" w:color="auto"/>
          <w:color w:val="auto"/>
        </w:rPr>
        <w:t>Section 3.13</w:t>
      </w:r>
      <w:r>
        <w:rPr>
          <w:rFonts w:ascii="Arial" w:cs="Arial" w:eastAsia="Arial" w:hAnsi="Arial"/>
          <w:sz w:val="20"/>
          <w:szCs w:val="20"/>
          <w:color w:val="auto"/>
        </w:rPr>
        <w:t xml:space="preserve"> of this Agreement or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the Security Agreement, such misstatement was made with respect to Collateral having a book value not exceeding $2 million);</w:t>
      </w:r>
    </w:p>
    <w:p>
      <w:pPr>
        <w:sectPr>
          <w:pgSz w:w="11900" w:h="16838" w:orient="portrait"/>
          <w:cols w:equalWidth="0" w:num="1">
            <w:col w:w="11420"/>
          </w:cols>
          <w:pgMar w:left="240" w:top="595" w:right="239" w:bottom="1440" w:gutter="0" w:footer="0" w:header="0"/>
        </w:sectPr>
      </w:pPr>
    </w:p>
    <w:bookmarkStart w:id="191" w:name="page192"/>
    <w:bookmarkEnd w:id="191"/>
    <w:p>
      <w:pPr>
        <w:ind w:left="-460" w:firstLine="1294"/>
        <w:spacing w:after="0" w:line="260" w:lineRule="auto"/>
        <w:tabs>
          <w:tab w:leader="none" w:pos="149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any Loan Party shall fail to observe or perform any covenant, condition or agreement contained in </w:t>
      </w:r>
      <w:r>
        <w:rPr>
          <w:rFonts w:ascii="Arial" w:cs="Arial" w:eastAsia="Arial" w:hAnsi="Arial"/>
          <w:sz w:val="20"/>
          <w:szCs w:val="20"/>
          <w:u w:val="single" w:color="auto"/>
          <w:color w:val="auto"/>
        </w:rPr>
        <w:t>Section 5.02(a)</w:t>
      </w:r>
      <w:r>
        <w:rPr>
          <w:rFonts w:ascii="Arial" w:cs="Arial" w:eastAsia="Arial" w:hAnsi="Arial"/>
          <w:sz w:val="20"/>
          <w:szCs w:val="20"/>
          <w:color w:val="auto"/>
        </w:rPr>
        <w:t xml:space="preserve">, </w:t>
      </w:r>
      <w:r>
        <w:rPr>
          <w:rFonts w:ascii="Arial" w:cs="Arial" w:eastAsia="Arial" w:hAnsi="Arial"/>
          <w:sz w:val="20"/>
          <w:szCs w:val="20"/>
          <w:u w:val="single" w:color="auto"/>
          <w:color w:val="auto"/>
        </w:rPr>
        <w:t>5.03</w:t>
      </w:r>
      <w:r>
        <w:rPr>
          <w:rFonts w:ascii="Arial" w:cs="Arial" w:eastAsia="Arial" w:hAnsi="Arial"/>
          <w:sz w:val="20"/>
          <w:szCs w:val="20"/>
          <w:color w:val="auto"/>
        </w:rPr>
        <w:t xml:space="preserve"> (with respect to maintaining a Loan Party’s existence), </w:t>
      </w:r>
      <w:r>
        <w:rPr>
          <w:rFonts w:ascii="Arial" w:cs="Arial" w:eastAsia="Arial" w:hAnsi="Arial"/>
          <w:sz w:val="20"/>
          <w:szCs w:val="20"/>
          <w:u w:val="single" w:color="auto"/>
          <w:color w:val="auto"/>
        </w:rPr>
        <w:t>5.08</w:t>
      </w:r>
      <w:r>
        <w:rPr>
          <w:rFonts w:ascii="Arial" w:cs="Arial" w:eastAsia="Arial" w:hAnsi="Arial"/>
          <w:sz w:val="20"/>
          <w:szCs w:val="20"/>
          <w:color w:val="auto"/>
        </w:rPr>
        <w:t xml:space="preserve">, </w:t>
      </w:r>
      <w:r>
        <w:rPr>
          <w:rFonts w:ascii="Arial" w:cs="Arial" w:eastAsia="Arial" w:hAnsi="Arial"/>
          <w:sz w:val="20"/>
          <w:szCs w:val="20"/>
          <w:u w:val="single" w:color="auto"/>
          <w:color w:val="auto"/>
        </w:rPr>
        <w:t>5.09(a)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5.09(b)</w:t>
      </w:r>
      <w:r>
        <w:rPr>
          <w:rFonts w:ascii="Arial" w:cs="Arial" w:eastAsia="Arial" w:hAnsi="Arial"/>
          <w:sz w:val="20"/>
          <w:szCs w:val="20"/>
          <w:color w:val="auto"/>
        </w:rPr>
        <w:t xml:space="preserve"> or in </w:t>
      </w:r>
      <w:r>
        <w:rPr>
          <w:rFonts w:ascii="Arial" w:cs="Arial" w:eastAsia="Arial" w:hAnsi="Arial"/>
          <w:sz w:val="20"/>
          <w:szCs w:val="20"/>
          <w:u w:val="single" w:color="auto"/>
          <w:color w:val="auto"/>
        </w:rPr>
        <w:t>Article VI</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460" w:firstLine="1294"/>
        <w:spacing w:after="0" w:line="244" w:lineRule="auto"/>
        <w:tabs>
          <w:tab w:leader="none" w:pos="14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any Loan Party shall fail to observe or perform any covenant, condition or agreement contained in this Agreement (other than those which constitute a default under another Section of this </w:t>
      </w:r>
      <w:r>
        <w:rPr>
          <w:rFonts w:ascii="Arial" w:cs="Arial" w:eastAsia="Arial" w:hAnsi="Arial"/>
          <w:sz w:val="20"/>
          <w:szCs w:val="20"/>
          <w:u w:val="single" w:color="auto"/>
          <w:color w:val="auto"/>
        </w:rPr>
        <w:t>Article VII</w:t>
      </w:r>
      <w:r>
        <w:rPr>
          <w:rFonts w:ascii="Arial" w:cs="Arial" w:eastAsia="Arial" w:hAnsi="Arial"/>
          <w:sz w:val="20"/>
          <w:szCs w:val="20"/>
          <w:color w:val="auto"/>
        </w:rPr>
        <w:t>),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94" w:lineRule="exact"/>
        <w:rPr>
          <w:rFonts w:ascii="Arial" w:cs="Arial" w:eastAsia="Arial" w:hAnsi="Arial"/>
          <w:sz w:val="20"/>
          <w:szCs w:val="20"/>
          <w:color w:val="auto"/>
        </w:rPr>
      </w:pPr>
    </w:p>
    <w:p>
      <w:pPr>
        <w:ind w:left="-460" w:firstLine="1294"/>
        <w:spacing w:after="0" w:line="260" w:lineRule="auto"/>
        <w:tabs>
          <w:tab w:leader="none" w:pos="122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Loan Party or any Subsidiary shall fail to make any payment (whether of principal or interest and regardless of amount) in respect of any Material Indebtedness, when and as the same shall become due and payable;</w:t>
      </w:r>
    </w:p>
    <w:p>
      <w:pPr>
        <w:spacing w:after="0" w:line="176" w:lineRule="exact"/>
        <w:rPr>
          <w:rFonts w:ascii="Arial" w:cs="Arial" w:eastAsia="Arial" w:hAnsi="Arial"/>
          <w:sz w:val="20"/>
          <w:szCs w:val="20"/>
          <w:color w:val="auto"/>
        </w:rPr>
      </w:pPr>
    </w:p>
    <w:p>
      <w:pPr>
        <w:jc w:val="both"/>
        <w:ind w:left="-460" w:firstLine="1294"/>
        <w:spacing w:after="0" w:line="243" w:lineRule="auto"/>
        <w:tabs>
          <w:tab w:leader="none" w:pos="134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(g)</w:t>
      </w:r>
      <w:r>
        <w:rPr>
          <w:rFonts w:ascii="Arial" w:cs="Arial" w:eastAsia="Arial" w:hAnsi="Arial"/>
          <w:sz w:val="20"/>
          <w:szCs w:val="20"/>
          <w:color w:val="auto"/>
        </w:rPr>
        <w:t xml:space="preserve"> shall not apply to secured Indebtedness that becomes due as a result of the voluntary sale or transfer of the property or assets securing such Indebtedness;</w:t>
      </w:r>
    </w:p>
    <w:p>
      <w:pPr>
        <w:spacing w:after="0" w:line="196" w:lineRule="exact"/>
        <w:rPr>
          <w:rFonts w:ascii="Arial" w:cs="Arial" w:eastAsia="Arial" w:hAnsi="Arial"/>
          <w:sz w:val="20"/>
          <w:szCs w:val="20"/>
          <w:color w:val="auto"/>
        </w:rPr>
      </w:pPr>
    </w:p>
    <w:p>
      <w:pPr>
        <w:jc w:val="both"/>
        <w:ind w:left="-460" w:firstLine="1294"/>
        <w:spacing w:after="0" w:line="243" w:lineRule="auto"/>
        <w:tabs>
          <w:tab w:leader="none" w:pos="128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60 days (or 90 days in the case of any Material Foreign Subsidiary) or an order or decree approving or ordering any of the foregoing shall be entered;</w:t>
      </w:r>
    </w:p>
    <w:p>
      <w:pPr>
        <w:spacing w:after="0" w:line="193" w:lineRule="exact"/>
        <w:rPr>
          <w:rFonts w:ascii="Arial" w:cs="Arial" w:eastAsia="Arial" w:hAnsi="Arial"/>
          <w:sz w:val="20"/>
          <w:szCs w:val="20"/>
          <w:color w:val="auto"/>
        </w:rPr>
      </w:pPr>
    </w:p>
    <w:p>
      <w:pPr>
        <w:jc w:val="both"/>
        <w:ind w:left="-460" w:firstLine="1294"/>
        <w:spacing w:after="0" w:line="274" w:lineRule="auto"/>
        <w:tabs>
          <w:tab w:leader="none" w:pos="127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69" w:lineRule="exact"/>
        <w:rPr>
          <w:rFonts w:ascii="Arial" w:cs="Arial" w:eastAsia="Arial" w:hAnsi="Arial"/>
          <w:sz w:val="18"/>
          <w:szCs w:val="18"/>
          <w:color w:val="auto"/>
        </w:rPr>
      </w:pPr>
    </w:p>
    <w:p>
      <w:pPr>
        <w:ind w:left="-460" w:firstLine="1294"/>
        <w:spacing w:after="0" w:line="260" w:lineRule="auto"/>
        <w:tabs>
          <w:tab w:leader="none" w:pos="125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Loan Party or any Subsidiary of any Loan Party shall become unable, admit in writing its inability or fail generally to pay its debts as they become due;</w:t>
      </w:r>
    </w:p>
    <w:p>
      <w:pPr>
        <w:spacing w:after="0" w:line="176" w:lineRule="exact"/>
        <w:rPr>
          <w:rFonts w:ascii="Arial" w:cs="Arial" w:eastAsia="Arial" w:hAnsi="Arial"/>
          <w:sz w:val="20"/>
          <w:szCs w:val="20"/>
          <w:color w:val="auto"/>
        </w:rPr>
      </w:pPr>
    </w:p>
    <w:p>
      <w:pPr>
        <w:jc w:val="both"/>
        <w:ind w:left="-460" w:right="20" w:firstLine="1294"/>
        <w:spacing w:after="0" w:line="250" w:lineRule="auto"/>
        <w:tabs>
          <w:tab w:leader="none" w:pos="127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one or more judgments for the payment of money in an aggregate amount in excess of $10 million (not paid or fully covered by insurance company as to which the relevant insurance company has acknowledged coverage) shall be rendered against any Loan Party, any</w:t>
      </w:r>
    </w:p>
    <w:p>
      <w:pPr>
        <w:sectPr>
          <w:pgSz w:w="11900" w:h="16838" w:orient="portrait"/>
          <w:cols w:equalWidth="0" w:num="1">
            <w:col w:w="10220"/>
          </w:cols>
          <w:pgMar w:left="1440" w:top="595" w:right="239" w:bottom="1440" w:gutter="0" w:footer="0" w:header="0"/>
        </w:sectPr>
      </w:pPr>
    </w:p>
    <w:bookmarkStart w:id="192" w:name="page193"/>
    <w:bookmarkEnd w:id="192"/>
    <w:p>
      <w:pPr>
        <w:jc w:val="both"/>
        <w:ind w:left="740"/>
        <w:spacing w:after="0" w:line="269" w:lineRule="auto"/>
        <w:rPr>
          <w:sz w:val="20"/>
          <w:szCs w:val="20"/>
          <w:color w:val="auto"/>
        </w:rPr>
      </w:pPr>
      <w:r>
        <w:rPr>
          <w:rFonts w:ascii="Arial" w:cs="Arial" w:eastAsia="Arial" w:hAnsi="Arial"/>
          <w:sz w:val="19"/>
          <w:szCs w:val="19"/>
          <w:color w:val="auto"/>
        </w:rPr>
        <w:t>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spacing w:after="0" w:line="170" w:lineRule="exact"/>
        <w:rPr>
          <w:sz w:val="20"/>
          <w:szCs w:val="20"/>
          <w:color w:val="auto"/>
        </w:rPr>
      </w:pPr>
    </w:p>
    <w:p>
      <w:pPr>
        <w:ind w:left="740" w:right="20" w:firstLine="1294"/>
        <w:spacing w:after="0" w:line="316" w:lineRule="auto"/>
        <w:tabs>
          <w:tab w:leader="none" w:pos="243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aggregate liability of the Borrower and its Subsidiaries in excess of $10 million;</w:t>
      </w:r>
    </w:p>
    <w:p>
      <w:pPr>
        <w:spacing w:after="0" w:line="130" w:lineRule="exact"/>
        <w:rPr>
          <w:rFonts w:ascii="Arial" w:cs="Arial" w:eastAsia="Arial" w:hAnsi="Arial"/>
          <w:sz w:val="18"/>
          <w:szCs w:val="18"/>
          <w:color w:val="auto"/>
        </w:rPr>
      </w:pPr>
    </w:p>
    <w:p>
      <w:pPr>
        <w:ind w:left="2500" w:hanging="466"/>
        <w:spacing w:after="0"/>
        <w:tabs>
          <w:tab w:leader="none" w:pos="25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215" w:lineRule="exact"/>
        <w:rPr>
          <w:rFonts w:ascii="Arial" w:cs="Arial" w:eastAsia="Arial" w:hAnsi="Arial"/>
          <w:sz w:val="20"/>
          <w:szCs w:val="20"/>
          <w:color w:val="auto"/>
        </w:rPr>
      </w:pPr>
    </w:p>
    <w:p>
      <w:pPr>
        <w:jc w:val="both"/>
        <w:ind w:left="740" w:firstLine="1294"/>
        <w:spacing w:after="0" w:line="250" w:lineRule="auto"/>
        <w:tabs>
          <w:tab w:leader="none" w:pos="247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86" w:lineRule="exact"/>
        <w:rPr>
          <w:rFonts w:ascii="Arial" w:cs="Arial" w:eastAsia="Arial" w:hAnsi="Arial"/>
          <w:sz w:val="20"/>
          <w:szCs w:val="20"/>
          <w:color w:val="auto"/>
        </w:rPr>
      </w:pPr>
    </w:p>
    <w:p>
      <w:pPr>
        <w:jc w:val="both"/>
        <w:ind w:left="740" w:firstLine="1294"/>
        <w:spacing w:after="0" w:line="250" w:lineRule="auto"/>
        <w:tabs>
          <w:tab w:leader="none" w:pos="251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86" w:lineRule="exact"/>
        <w:rPr>
          <w:rFonts w:ascii="Arial" w:cs="Arial" w:eastAsia="Arial" w:hAnsi="Arial"/>
          <w:sz w:val="20"/>
          <w:szCs w:val="20"/>
          <w:color w:val="auto"/>
        </w:rPr>
      </w:pPr>
    </w:p>
    <w:p>
      <w:pPr>
        <w:jc w:val="both"/>
        <w:ind w:left="740" w:firstLine="1294"/>
        <w:spacing w:after="0" w:line="243" w:lineRule="auto"/>
        <w:tabs>
          <w:tab w:leader="none" w:pos="246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Collateral Document shall for any reason fail to create a valid and perfected first priority security interest in any Collateral purported to be covered thereby (other than with respect to Collateral having a book value not exceeding $2 million),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spacing w:after="0" w:line="193" w:lineRule="exact"/>
        <w:rPr>
          <w:rFonts w:ascii="Arial" w:cs="Arial" w:eastAsia="Arial" w:hAnsi="Arial"/>
          <w:sz w:val="20"/>
          <w:szCs w:val="20"/>
          <w:color w:val="auto"/>
        </w:rPr>
      </w:pPr>
    </w:p>
    <w:p>
      <w:pPr>
        <w:jc w:val="both"/>
        <w:ind w:left="740" w:firstLine="1294"/>
        <w:spacing w:after="0" w:line="246" w:lineRule="auto"/>
        <w:tabs>
          <w:tab w:leader="none" w:pos="252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then, and in every such event (other than an event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(i)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Commitments shall automatically terminate and the principal of the Loans then outstanding, together with accrued interest thereon and all fees and other obligations of the Borrower accrued hereunder, shall automatically become due and payable, without</w:t>
      </w:r>
    </w:p>
    <w:p>
      <w:pPr>
        <w:sectPr>
          <w:pgSz w:w="11900" w:h="16838" w:orient="portrait"/>
          <w:cols w:equalWidth="0" w:num="1">
            <w:col w:w="11420"/>
          </w:cols>
          <w:pgMar w:left="240" w:top="596" w:right="239" w:bottom="1440" w:gutter="0" w:footer="0" w:header="0"/>
        </w:sectPr>
      </w:pPr>
    </w:p>
    <w:bookmarkStart w:id="193" w:name="page194"/>
    <w:bookmarkEnd w:id="193"/>
    <w:p>
      <w:pPr>
        <w:jc w:val="both"/>
        <w:ind w:right="20"/>
        <w:spacing w:after="0" w:line="291" w:lineRule="auto"/>
        <w:rPr>
          <w:sz w:val="20"/>
          <w:szCs w:val="20"/>
          <w:color w:val="auto"/>
        </w:rPr>
      </w:pPr>
      <w:r>
        <w:rPr>
          <w:rFonts w:ascii="Arial" w:cs="Arial" w:eastAsia="Arial" w:hAnsi="Arial"/>
          <w:sz w:val="18"/>
          <w:szCs w:val="18"/>
          <w:color w:val="auto"/>
        </w:rPr>
        <w:t>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Duties and Obligations</w:t>
      </w:r>
      <w:r>
        <w:rPr>
          <w:rFonts w:ascii="Arial" w:cs="Arial" w:eastAsia="Arial" w:hAnsi="Arial"/>
          <w:sz w:val="18"/>
          <w:szCs w:val="18"/>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w:t>
      </w:r>
    </w:p>
    <w:p>
      <w:pPr>
        <w:sectPr>
          <w:pgSz w:w="11900" w:h="16838" w:orient="portrait"/>
          <w:cols w:equalWidth="0" w:num="1">
            <w:col w:w="11420"/>
          </w:cols>
          <w:pgMar w:left="240" w:top="596" w:right="239" w:bottom="1440" w:gutter="0" w:footer="0" w:header="0"/>
        </w:sectPr>
      </w:pPr>
    </w:p>
    <w:bookmarkStart w:id="194" w:name="page195"/>
    <w:bookmarkEnd w:id="194"/>
    <w:p>
      <w:pPr>
        <w:jc w:val="both"/>
        <w:spacing w:after="0" w:line="270" w:lineRule="auto"/>
        <w:rPr>
          <w:sz w:val="20"/>
          <w:szCs w:val="20"/>
          <w:color w:val="auto"/>
        </w:rPr>
      </w:pPr>
      <w:r>
        <w:rPr>
          <w:rFonts w:ascii="Arial" w:cs="Arial" w:eastAsia="Arial" w:hAnsi="Arial"/>
          <w:sz w:val="18"/>
          <w:szCs w:val="18"/>
          <w:color w:val="auto"/>
        </w:rPr>
        <w:t>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w:t>
      </w:r>
    </w:p>
    <w:p>
      <w:pPr>
        <w:spacing w:after="0" w:line="3" w:lineRule="exact"/>
        <w:rPr>
          <w:sz w:val="20"/>
          <w:szCs w:val="20"/>
          <w:color w:val="auto"/>
        </w:rPr>
      </w:pPr>
    </w:p>
    <w:p>
      <w:pPr>
        <w:jc w:val="both"/>
        <w:ind w:firstLine="8"/>
        <w:spacing w:after="0" w:line="255" w:lineRule="auto"/>
        <w:tabs>
          <w:tab w:leader="none" w:pos="36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Actions through Sub-Agents</w:t>
      </w:r>
      <w:r>
        <w:rPr>
          <w:rFonts w:ascii="Arial" w:cs="Arial" w:eastAsia="Arial" w:hAnsi="Arial"/>
          <w:sz w:val="20"/>
          <w:szCs w:val="20"/>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commercial bank or an Affiliate of any such commercial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w:t>
      </w:r>
    </w:p>
    <w:p>
      <w:pPr>
        <w:sectPr>
          <w:pgSz w:w="11900" w:h="16838" w:orient="portrait"/>
          <w:cols w:equalWidth="0" w:num="1">
            <w:col w:w="11420"/>
          </w:cols>
          <w:pgMar w:left="240" w:top="595" w:right="239" w:bottom="1440" w:gutter="0" w:footer="0" w:header="0"/>
        </w:sectPr>
      </w:pPr>
    </w:p>
    <w:bookmarkStart w:id="195" w:name="page196"/>
    <w:bookmarkEnd w:id="195"/>
    <w:p>
      <w:pPr>
        <w:jc w:val="both"/>
        <w:spacing w:after="0" w:line="231" w:lineRule="exact"/>
        <w:rPr>
          <w:sz w:val="20"/>
          <w:szCs w:val="20"/>
          <w:color w:val="auto"/>
        </w:rPr>
      </w:pPr>
      <w:r>
        <w:rPr>
          <w:rFonts w:ascii="Arial" w:cs="Arial" w:eastAsia="Arial" w:hAnsi="Arial"/>
          <w:sz w:val="18"/>
          <w:szCs w:val="18"/>
          <w:color w:val="auto"/>
        </w:rPr>
        <w:t xml:space="preserve">stated in such notice, (a) the retiring Administrative Agent shall be discharged from its duties and obligations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9.03</w:t>
      </w:r>
      <w:r>
        <w:rPr>
          <w:rFonts w:ascii="Arial" w:cs="Arial" w:eastAsia="Arial" w:hAnsi="Arial"/>
          <w:sz w:val="18"/>
          <w:szCs w:val="18"/>
          <w:color w:val="auto"/>
        </w:rPr>
        <w:t>,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 xml:space="preserve">agents and their respective Related Parties in respect of any actions taken or omitted to be taken by any of them while it was acting as Administrative Agent and in respect of the matters referred to in the proviso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2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8.07</w:t>
      </w:r>
      <w:r>
        <w:rPr>
          <w:sz w:val="20"/>
          <w:szCs w:val="20"/>
          <w:color w:val="auto"/>
        </w:rPr>
        <w:tab/>
      </w:r>
      <w:r>
        <w:rPr>
          <w:rFonts w:ascii="Arial" w:cs="Arial" w:eastAsia="Arial" w:hAnsi="Arial"/>
          <w:sz w:val="18"/>
          <w:szCs w:val="18"/>
          <w:u w:val="single" w:color="auto"/>
          <w:color w:val="auto"/>
        </w:rPr>
        <w:t>Non-Reliance</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55" w:lineRule="auto"/>
        <w:tabs>
          <w:tab w:leader="none" w:pos="249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7" w:lineRule="exact"/>
        <w:rPr>
          <w:rFonts w:ascii="Arial" w:cs="Arial" w:eastAsia="Arial" w:hAnsi="Arial"/>
          <w:sz w:val="19"/>
          <w:szCs w:val="19"/>
          <w:color w:val="auto"/>
        </w:rPr>
      </w:pPr>
    </w:p>
    <w:p>
      <w:pPr>
        <w:jc w:val="both"/>
        <w:ind w:left="740" w:firstLine="1294"/>
        <w:spacing w:after="0" w:line="257" w:lineRule="auto"/>
        <w:tabs>
          <w:tab w:leader="none" w:pos="255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w:t>
      </w:r>
    </w:p>
    <w:p>
      <w:pPr>
        <w:sectPr>
          <w:pgSz w:w="11900" w:h="16838" w:orient="portrait"/>
          <w:cols w:equalWidth="0" w:num="1">
            <w:col w:w="11420"/>
          </w:cols>
          <w:pgMar w:left="240" w:top="596" w:right="239" w:bottom="1440" w:gutter="0" w:footer="0" w:header="0"/>
        </w:sectPr>
      </w:pPr>
    </w:p>
    <w:bookmarkStart w:id="196" w:name="page197"/>
    <w:bookmarkEnd w:id="196"/>
    <w:p>
      <w:pPr>
        <w:jc w:val="both"/>
        <w:ind w:left="740"/>
        <w:spacing w:after="0" w:line="272" w:lineRule="auto"/>
        <w:rPr>
          <w:sz w:val="20"/>
          <w:szCs w:val="20"/>
          <w:color w:val="auto"/>
        </w:rPr>
      </w:pPr>
      <w:r>
        <w:rPr>
          <w:rFonts w:ascii="Arial" w:cs="Arial" w:eastAsia="Arial" w:hAnsi="Arial"/>
          <w:sz w:val="18"/>
          <w:szCs w:val="18"/>
          <w:color w:val="auto"/>
        </w:rPr>
        <w:t>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8.08</w:t>
      </w:r>
      <w:r>
        <w:rPr>
          <w:sz w:val="20"/>
          <w:szCs w:val="20"/>
          <w:color w:val="auto"/>
        </w:rPr>
        <w:tab/>
      </w:r>
      <w:r>
        <w:rPr>
          <w:rFonts w:ascii="Arial" w:cs="Arial" w:eastAsia="Arial" w:hAnsi="Arial"/>
          <w:sz w:val="16"/>
          <w:szCs w:val="16"/>
          <w:u w:val="single" w:color="auto"/>
          <w:color w:val="auto"/>
        </w:rPr>
        <w:t>Not Partners or Co-Venturers; Administrative Agent as Representative of the Secured Parties</w:t>
      </w:r>
      <w:r>
        <w:rPr>
          <w:rFonts w:ascii="Arial" w:cs="Arial" w:eastAsia="Arial" w:hAnsi="Arial"/>
          <w:sz w:val="16"/>
          <w:szCs w:val="16"/>
          <w:color w:val="auto"/>
        </w:rPr>
        <w:t>.</w:t>
      </w:r>
    </w:p>
    <w:p>
      <w:pPr>
        <w:spacing w:after="0" w:line="216" w:lineRule="exact"/>
        <w:rPr>
          <w:sz w:val="20"/>
          <w:szCs w:val="20"/>
          <w:color w:val="auto"/>
        </w:rPr>
      </w:pPr>
    </w:p>
    <w:p>
      <w:pPr>
        <w:jc w:val="both"/>
        <w:ind w:left="740" w:firstLine="1294"/>
        <w:spacing w:after="0" w:line="282" w:lineRule="auto"/>
        <w:tabs>
          <w:tab w:leader="none" w:pos="253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61" w:lineRule="exact"/>
        <w:rPr>
          <w:rFonts w:ascii="Arial" w:cs="Arial" w:eastAsia="Arial" w:hAnsi="Arial"/>
          <w:sz w:val="18"/>
          <w:szCs w:val="18"/>
          <w:color w:val="auto"/>
        </w:rPr>
      </w:pPr>
    </w:p>
    <w:p>
      <w:pPr>
        <w:jc w:val="both"/>
        <w:ind w:left="740" w:firstLine="1294"/>
        <w:spacing w:after="0" w:line="255" w:lineRule="auto"/>
        <w:tabs>
          <w:tab w:leader="none" w:pos="248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Lenders Not Subject to ERISA</w:t>
      </w:r>
      <w:r>
        <w:rPr>
          <w:rFonts w:ascii="Arial" w:cs="Arial" w:eastAsia="Arial" w:hAnsi="Arial"/>
          <w:sz w:val="20"/>
          <w:szCs w:val="20"/>
          <w:color w:val="auto"/>
        </w:rPr>
        <w:t>. Each Lender as of the Effective Date represents and warrants to the Administrative Agent, the Lead Arrangers and their respective Affiliates, and not, for the avoidance of doubt, for the benefit of the Borrower or any other Loan Party,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95"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ectPr>
          <w:pgSz w:w="11900" w:h="16838" w:orient="portrait"/>
          <w:cols w:equalWidth="0" w:num="1">
            <w:col w:w="11420"/>
          </w:cols>
          <w:pgMar w:left="240" w:top="595" w:right="239" w:bottom="1440" w:gutter="0" w:footer="0" w:header="0"/>
        </w:sectPr>
      </w:pPr>
    </w:p>
    <w:bookmarkStart w:id="197" w:name="page198"/>
    <w:bookmarkEnd w:id="197"/>
    <w:p>
      <w:pPr>
        <w:spacing w:after="0"/>
        <w:tabs>
          <w:tab w:leader="none" w:pos="138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left="80" w:firstLine="1294"/>
        <w:spacing w:after="0" w:line="291" w:lineRule="auto"/>
        <w:tabs>
          <w:tab w:leader="none" w:pos="192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or Electronic Systems (and subject in each case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151" w:lineRule="exact"/>
        <w:rPr>
          <w:rFonts w:ascii="Arial" w:cs="Arial" w:eastAsia="Arial" w:hAnsi="Arial"/>
          <w:sz w:val="18"/>
          <w:szCs w:val="18"/>
          <w:color w:val="auto"/>
        </w:rPr>
      </w:pPr>
    </w:p>
    <w:p>
      <w:pPr>
        <w:ind w:left="1660" w:hanging="367"/>
        <w:spacing w:after="0"/>
        <w:tabs>
          <w:tab w:leader="none" w:pos="16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to any Loan Party, to the Borrower at:</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ExlService Holdings,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280 Park Avenue, 38th Floor</w:t>
      </w:r>
    </w:p>
    <w:p>
      <w:pPr>
        <w:ind w:left="1940"/>
        <w:spacing w:after="0"/>
        <w:rPr>
          <w:sz w:val="20"/>
          <w:szCs w:val="20"/>
          <w:color w:val="auto"/>
        </w:rPr>
      </w:pPr>
      <w:r>
        <w:rPr>
          <w:rFonts w:ascii="Arial" w:cs="Arial" w:eastAsia="Arial" w:hAnsi="Arial"/>
          <w:sz w:val="20"/>
          <w:szCs w:val="20"/>
          <w:color w:val="auto"/>
        </w:rPr>
        <w:t>New York, New York</w:t>
      </w:r>
    </w:p>
    <w:p>
      <w:pPr>
        <w:ind w:left="1940"/>
        <w:spacing w:after="0"/>
        <w:rPr>
          <w:sz w:val="20"/>
          <w:szCs w:val="20"/>
          <w:color w:val="auto"/>
        </w:rPr>
      </w:pPr>
      <w:r>
        <w:rPr>
          <w:rFonts w:ascii="Arial" w:cs="Arial" w:eastAsia="Arial" w:hAnsi="Arial"/>
          <w:sz w:val="20"/>
          <w:szCs w:val="20"/>
          <w:color w:val="auto"/>
        </w:rPr>
        <w:t>Attention: Executive Vice President</w:t>
      </w:r>
    </w:p>
    <w:p>
      <w:pPr>
        <w:ind w:left="1940"/>
        <w:spacing w:after="0"/>
        <w:rPr>
          <w:sz w:val="20"/>
          <w:szCs w:val="20"/>
          <w:color w:val="auto"/>
        </w:rPr>
      </w:pPr>
      <w:r>
        <w:rPr>
          <w:rFonts w:ascii="Arial" w:cs="Arial" w:eastAsia="Arial" w:hAnsi="Arial"/>
          <w:sz w:val="20"/>
          <w:szCs w:val="20"/>
          <w:color w:val="auto"/>
        </w:rPr>
        <w:t>General Counsel, Chief Compliance Officer</w:t>
      </w:r>
    </w:p>
    <w:p>
      <w:pPr>
        <w:ind w:left="1940"/>
        <w:spacing w:after="0"/>
        <w:rPr>
          <w:sz w:val="20"/>
          <w:szCs w:val="20"/>
          <w:color w:val="auto"/>
        </w:rPr>
      </w:pPr>
      <w:r>
        <w:rPr>
          <w:rFonts w:ascii="Arial" w:cs="Arial" w:eastAsia="Arial" w:hAnsi="Arial"/>
          <w:sz w:val="20"/>
          <w:szCs w:val="20"/>
          <w:color w:val="auto"/>
        </w:rPr>
        <w:t>E-mail Address: Nancy.Saltzman@exlservice.com</w:t>
      </w:r>
    </w:p>
    <w:p>
      <w:pPr>
        <w:ind w:left="1940"/>
        <w:spacing w:after="0"/>
        <w:rPr>
          <w:sz w:val="20"/>
          <w:szCs w:val="20"/>
          <w:color w:val="auto"/>
        </w:rPr>
      </w:pPr>
      <w:r>
        <w:rPr>
          <w:rFonts w:ascii="Arial" w:cs="Arial" w:eastAsia="Arial" w:hAnsi="Arial"/>
          <w:sz w:val="20"/>
          <w:szCs w:val="20"/>
          <w:color w:val="auto"/>
        </w:rPr>
        <w:t>Fax Number: (212) 624-5933</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Ropes &amp; Gray LLP</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1211 Avenue of the Americas</w:t>
      </w:r>
    </w:p>
    <w:p>
      <w:pPr>
        <w:ind w:left="1940"/>
        <w:spacing w:after="0"/>
        <w:rPr>
          <w:sz w:val="20"/>
          <w:szCs w:val="20"/>
          <w:color w:val="auto"/>
        </w:rPr>
      </w:pPr>
      <w:r>
        <w:rPr>
          <w:rFonts w:ascii="Arial" w:cs="Arial" w:eastAsia="Arial" w:hAnsi="Arial"/>
          <w:sz w:val="20"/>
          <w:szCs w:val="20"/>
          <w:color w:val="auto"/>
        </w:rPr>
        <w:t>New York, New York 10036</w:t>
      </w:r>
    </w:p>
    <w:p>
      <w:pPr>
        <w:ind w:left="1940"/>
        <w:spacing w:after="0"/>
        <w:rPr>
          <w:sz w:val="20"/>
          <w:szCs w:val="20"/>
          <w:color w:val="auto"/>
        </w:rPr>
      </w:pPr>
      <w:r>
        <w:rPr>
          <w:rFonts w:ascii="Arial" w:cs="Arial" w:eastAsia="Arial" w:hAnsi="Arial"/>
          <w:sz w:val="20"/>
          <w:szCs w:val="20"/>
          <w:color w:val="auto"/>
        </w:rPr>
        <w:t>Attention: Sunil Savkar</w:t>
      </w:r>
    </w:p>
    <w:p>
      <w:pPr>
        <w:ind w:left="1940"/>
        <w:spacing w:after="0"/>
        <w:rPr>
          <w:sz w:val="20"/>
          <w:szCs w:val="20"/>
          <w:color w:val="auto"/>
        </w:rPr>
      </w:pPr>
      <w:r>
        <w:rPr>
          <w:rFonts w:ascii="Arial" w:cs="Arial" w:eastAsia="Arial" w:hAnsi="Arial"/>
          <w:sz w:val="20"/>
          <w:szCs w:val="20"/>
          <w:color w:val="auto"/>
        </w:rPr>
        <w:t>E-mail Address: Sunil.Savkar@ropesgray.com</w:t>
      </w:r>
    </w:p>
    <w:p>
      <w:pPr>
        <w:ind w:left="1940"/>
        <w:spacing w:after="0"/>
        <w:rPr>
          <w:sz w:val="20"/>
          <w:szCs w:val="20"/>
          <w:color w:val="auto"/>
        </w:rPr>
      </w:pPr>
      <w:r>
        <w:rPr>
          <w:rFonts w:ascii="Arial" w:cs="Arial" w:eastAsia="Arial" w:hAnsi="Arial"/>
          <w:sz w:val="20"/>
          <w:szCs w:val="20"/>
          <w:color w:val="auto"/>
        </w:rPr>
        <w:t>Fax Number: (646) 728-1533</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Ropes &amp; Gray LLP</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1211 Avenue of the Americas</w:t>
      </w:r>
    </w:p>
    <w:p>
      <w:pPr>
        <w:ind w:left="1940"/>
        <w:spacing w:after="0"/>
        <w:rPr>
          <w:sz w:val="20"/>
          <w:szCs w:val="20"/>
          <w:color w:val="auto"/>
        </w:rPr>
      </w:pPr>
      <w:r>
        <w:rPr>
          <w:rFonts w:ascii="Arial" w:cs="Arial" w:eastAsia="Arial" w:hAnsi="Arial"/>
          <w:sz w:val="20"/>
          <w:szCs w:val="20"/>
          <w:color w:val="auto"/>
        </w:rPr>
        <w:t>New York, New York 10036</w:t>
      </w:r>
    </w:p>
    <w:p>
      <w:pPr>
        <w:ind w:left="1940"/>
        <w:spacing w:after="0"/>
        <w:rPr>
          <w:sz w:val="20"/>
          <w:szCs w:val="20"/>
          <w:color w:val="auto"/>
        </w:rPr>
      </w:pPr>
      <w:r>
        <w:rPr>
          <w:rFonts w:ascii="Arial" w:cs="Arial" w:eastAsia="Arial" w:hAnsi="Arial"/>
          <w:sz w:val="20"/>
          <w:szCs w:val="20"/>
          <w:color w:val="auto"/>
        </w:rPr>
        <w:t>Attention: Michael R. Littenberg</w:t>
      </w:r>
    </w:p>
    <w:p>
      <w:pPr>
        <w:ind w:left="1940"/>
        <w:spacing w:after="0"/>
        <w:rPr>
          <w:sz w:val="20"/>
          <w:szCs w:val="20"/>
          <w:color w:val="auto"/>
        </w:rPr>
      </w:pPr>
      <w:r>
        <w:rPr>
          <w:rFonts w:ascii="Arial" w:cs="Arial" w:eastAsia="Arial" w:hAnsi="Arial"/>
          <w:sz w:val="20"/>
          <w:szCs w:val="20"/>
          <w:color w:val="auto"/>
        </w:rPr>
        <w:t>E-mail Address: Michael.Littenberg@ropesgray.com</w:t>
      </w:r>
    </w:p>
    <w:p>
      <w:pPr>
        <w:ind w:left="1940"/>
        <w:spacing w:after="0"/>
        <w:rPr>
          <w:sz w:val="20"/>
          <w:szCs w:val="20"/>
          <w:color w:val="auto"/>
        </w:rPr>
      </w:pPr>
      <w:r>
        <w:rPr>
          <w:rFonts w:ascii="Arial" w:cs="Arial" w:eastAsia="Arial" w:hAnsi="Arial"/>
          <w:sz w:val="20"/>
          <w:szCs w:val="20"/>
          <w:color w:val="auto"/>
        </w:rPr>
        <w:t>Fax Number: (646) 728-2554</w:t>
      </w:r>
    </w:p>
    <w:p>
      <w:pPr>
        <w:spacing w:after="0" w:line="20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if to the Administrative Agent or to Citi, in its capacity as Issuing Bank, to Citibank, N.A. at:</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Citibank, N.A.</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1 Sansome Street, 22nd Floor</w:t>
      </w:r>
    </w:p>
    <w:p>
      <w:pPr>
        <w:ind w:left="1940"/>
        <w:spacing w:after="0"/>
        <w:rPr>
          <w:sz w:val="20"/>
          <w:szCs w:val="20"/>
          <w:color w:val="auto"/>
        </w:rPr>
      </w:pPr>
      <w:r>
        <w:rPr>
          <w:rFonts w:ascii="Arial" w:cs="Arial" w:eastAsia="Arial" w:hAnsi="Arial"/>
          <w:sz w:val="20"/>
          <w:szCs w:val="20"/>
          <w:color w:val="auto"/>
        </w:rPr>
        <w:t>San Francisco, CA 94104</w:t>
      </w:r>
    </w:p>
    <w:p>
      <w:pPr>
        <w:ind w:left="1940"/>
        <w:spacing w:after="0"/>
        <w:rPr>
          <w:sz w:val="20"/>
          <w:szCs w:val="20"/>
          <w:color w:val="auto"/>
        </w:rPr>
      </w:pPr>
      <w:r>
        <w:rPr>
          <w:rFonts w:ascii="Arial" w:cs="Arial" w:eastAsia="Arial" w:hAnsi="Arial"/>
          <w:sz w:val="20"/>
          <w:szCs w:val="20"/>
          <w:color w:val="auto"/>
        </w:rPr>
        <w:t>Attention: Jim Haack, Technology, Media and Telecom Banking Group</w:t>
      </w:r>
    </w:p>
    <w:p>
      <w:pPr>
        <w:ind w:left="1940"/>
        <w:spacing w:after="0"/>
        <w:rPr>
          <w:sz w:val="20"/>
          <w:szCs w:val="20"/>
          <w:color w:val="auto"/>
        </w:rPr>
      </w:pPr>
      <w:r>
        <w:rPr>
          <w:rFonts w:ascii="Arial" w:cs="Arial" w:eastAsia="Arial" w:hAnsi="Arial"/>
          <w:sz w:val="20"/>
          <w:szCs w:val="20"/>
          <w:color w:val="auto"/>
        </w:rPr>
        <w:t>E-mail Address: James.Haack@citi.com</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Weil, Gotshal &amp; Manges LLP</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767 Fifth Avenue</w:t>
      </w:r>
    </w:p>
    <w:p>
      <w:pPr>
        <w:ind w:left="1940"/>
        <w:spacing w:after="0"/>
        <w:rPr>
          <w:sz w:val="20"/>
          <w:szCs w:val="20"/>
          <w:color w:val="auto"/>
        </w:rPr>
      </w:pPr>
      <w:r>
        <w:rPr>
          <w:rFonts w:ascii="Arial" w:cs="Arial" w:eastAsia="Arial" w:hAnsi="Arial"/>
          <w:sz w:val="20"/>
          <w:szCs w:val="20"/>
          <w:color w:val="auto"/>
        </w:rPr>
        <w:t>New York, New York 10036</w:t>
      </w:r>
    </w:p>
    <w:p>
      <w:pPr>
        <w:ind w:left="1940"/>
        <w:spacing w:after="0"/>
        <w:rPr>
          <w:sz w:val="20"/>
          <w:szCs w:val="20"/>
          <w:color w:val="auto"/>
        </w:rPr>
      </w:pPr>
      <w:r>
        <w:rPr>
          <w:rFonts w:ascii="Arial" w:cs="Arial" w:eastAsia="Arial" w:hAnsi="Arial"/>
          <w:sz w:val="20"/>
          <w:szCs w:val="20"/>
          <w:color w:val="auto"/>
        </w:rPr>
        <w:t>Attention: Daniel S. Dokos</w:t>
      </w:r>
    </w:p>
    <w:p>
      <w:pPr>
        <w:ind w:left="1940"/>
        <w:spacing w:after="0"/>
        <w:rPr>
          <w:sz w:val="20"/>
          <w:szCs w:val="20"/>
          <w:color w:val="auto"/>
        </w:rPr>
      </w:pPr>
      <w:r>
        <w:rPr>
          <w:rFonts w:ascii="Arial" w:cs="Arial" w:eastAsia="Arial" w:hAnsi="Arial"/>
          <w:sz w:val="20"/>
          <w:szCs w:val="20"/>
          <w:color w:val="auto"/>
        </w:rPr>
        <w:t>E-mail Address: Daniel.Dokos@weil.com</w:t>
      </w:r>
    </w:p>
    <w:p>
      <w:pPr>
        <w:ind w:left="1940"/>
        <w:spacing w:after="0"/>
        <w:rPr>
          <w:sz w:val="20"/>
          <w:szCs w:val="20"/>
          <w:color w:val="auto"/>
        </w:rPr>
      </w:pPr>
      <w:r>
        <w:rPr>
          <w:rFonts w:ascii="Arial" w:cs="Arial" w:eastAsia="Arial" w:hAnsi="Arial"/>
          <w:sz w:val="20"/>
          <w:szCs w:val="20"/>
          <w:color w:val="auto"/>
        </w:rPr>
        <w:t>Fax Number: (212) 310-6862</w:t>
      </w:r>
    </w:p>
    <w:p>
      <w:pPr>
        <w:sectPr>
          <w:pgSz w:w="11900" w:h="16838" w:orient="portrait"/>
          <w:cols w:equalWidth="0" w:num="1">
            <w:col w:w="10760"/>
          </w:cols>
          <w:pgMar w:left="900" w:top="595" w:right="239" w:bottom="1440" w:gutter="0" w:footer="0" w:header="0"/>
        </w:sectPr>
      </w:pPr>
    </w:p>
    <w:bookmarkStart w:id="198" w:name="page199"/>
    <w:bookmarkEnd w:id="198"/>
    <w:p>
      <w:pPr>
        <w:ind w:left="1960"/>
        <w:spacing w:after="0"/>
        <w:tabs>
          <w:tab w:leader="none" w:pos="24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if to any other Lender, to it at its address or fax number set forth in its Administrative Questionnaire.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clause (b)</w:t>
      </w:r>
      <w:r>
        <w:rPr>
          <w:rFonts w:ascii="Arial" w:cs="Arial" w:eastAsia="Arial" w:hAnsi="Arial"/>
          <w:sz w:val="20"/>
          <w:szCs w:val="20"/>
          <w:color w:val="auto"/>
        </w:rPr>
        <w:t>.</w:t>
      </w:r>
    </w:p>
    <w:p>
      <w:pPr>
        <w:spacing w:after="0" w:line="195" w:lineRule="exact"/>
        <w:rPr>
          <w:sz w:val="20"/>
          <w:szCs w:val="20"/>
          <w:color w:val="auto"/>
        </w:rPr>
      </w:pPr>
    </w:p>
    <w:p>
      <w:pPr>
        <w:jc w:val="both"/>
        <w:ind w:left="740" w:firstLine="1294"/>
        <w:spacing w:after="0" w:line="269" w:lineRule="auto"/>
        <w:tabs>
          <w:tab w:leader="none" w:pos="258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to compliance and no Event of Default certificates delivered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79" w:lineRule="exact"/>
        <w:rPr>
          <w:rFonts w:ascii="Arial" w:cs="Arial" w:eastAsia="Arial" w:hAnsi="Arial"/>
          <w:sz w:val="18"/>
          <w:szCs w:val="18"/>
          <w:color w:val="auto"/>
        </w:rPr>
      </w:pPr>
    </w:p>
    <w:p>
      <w:pPr>
        <w:ind w:left="740" w:right="20" w:firstLine="1294"/>
        <w:spacing w:after="0" w:line="260" w:lineRule="auto"/>
        <w:tabs>
          <w:tab w:leader="none" w:pos="249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Any party hereto may change its address, fax number or e-mail address for notices and other communications hereunder by notice to the other parties hereto.</w:t>
      </w:r>
    </w:p>
    <w:p>
      <w:pPr>
        <w:spacing w:after="0" w:line="176" w:lineRule="exact"/>
        <w:rPr>
          <w:rFonts w:ascii="Arial" w:cs="Arial" w:eastAsia="Arial" w:hAnsi="Arial"/>
          <w:sz w:val="20"/>
          <w:szCs w:val="20"/>
          <w:color w:val="auto"/>
        </w:rPr>
      </w:pPr>
    </w:p>
    <w:p>
      <w:pPr>
        <w:ind w:left="2440" w:hanging="406"/>
        <w:spacing w:after="0"/>
        <w:tabs>
          <w:tab w:leader="none" w:pos="2440"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3"/>
        <w:spacing w:after="0" w:line="250" w:lineRule="auto"/>
        <w:tabs>
          <w:tab w:leader="none" w:pos="236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6" w:lineRule="exact"/>
        <w:rPr>
          <w:rFonts w:ascii="Arial" w:cs="Arial" w:eastAsia="Arial" w:hAnsi="Arial"/>
          <w:sz w:val="20"/>
          <w:szCs w:val="20"/>
          <w:color w:val="auto"/>
        </w:rPr>
      </w:pPr>
    </w:p>
    <w:p>
      <w:pPr>
        <w:jc w:val="both"/>
        <w:ind w:left="660" w:firstLine="1293"/>
        <w:spacing w:after="0" w:line="276" w:lineRule="auto"/>
        <w:tabs>
          <w:tab w:leader="none" w:pos="248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or the other Loan Parties, any</w:t>
      </w:r>
    </w:p>
    <w:p>
      <w:pPr>
        <w:sectPr>
          <w:pgSz w:w="11900" w:h="16838" w:orient="portrait"/>
          <w:cols w:equalWidth="0" w:num="1">
            <w:col w:w="11420"/>
          </w:cols>
          <w:pgMar w:left="240" w:top="596" w:right="239" w:bottom="1440" w:gutter="0" w:footer="0" w:header="0"/>
        </w:sectPr>
      </w:pPr>
    </w:p>
    <w:bookmarkStart w:id="199" w:name="page200"/>
    <w:bookmarkEnd w:id="199"/>
    <w:p>
      <w:pPr>
        <w:jc w:val="both"/>
        <w:spacing w:after="0" w:line="276" w:lineRule="auto"/>
        <w:rPr>
          <w:sz w:val="20"/>
          <w:szCs w:val="20"/>
          <w:color w:val="auto"/>
        </w:rPr>
      </w:pPr>
      <w:r>
        <w:rPr>
          <w:rFonts w:ascii="Arial" w:cs="Arial" w:eastAsia="Arial" w:hAnsi="Arial"/>
          <w:sz w:val="18"/>
          <w:szCs w:val="18"/>
          <w:color w:val="auto"/>
        </w:rPr>
        <w:t>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Arial" w:cs="Arial" w:eastAsia="Arial" w:hAnsi="Arial"/>
          <w:sz w:val="18"/>
          <w:szCs w:val="18"/>
          <w:u w:val="single" w:color="auto"/>
          <w:color w:val="auto"/>
        </w:rPr>
        <w:t>Section 9.01</w:t>
      </w:r>
      <w:r>
        <w:rPr>
          <w:rFonts w:ascii="Arial" w:cs="Arial" w:eastAsia="Arial" w:hAnsi="Arial"/>
          <w:sz w:val="18"/>
          <w:szCs w:val="18"/>
          <w:color w:val="auto"/>
        </w:rPr>
        <w:t>, including through an Electronic System.</w:t>
      </w:r>
    </w:p>
    <w:p>
      <w:pPr>
        <w:spacing w:after="0" w:line="165"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16" w:lineRule="exact"/>
        <w:rPr>
          <w:sz w:val="20"/>
          <w:szCs w:val="20"/>
          <w:color w:val="auto"/>
        </w:rPr>
      </w:pPr>
    </w:p>
    <w:p>
      <w:pPr>
        <w:jc w:val="both"/>
        <w:ind w:left="80" w:firstLine="1294"/>
        <w:spacing w:after="0" w:line="271" w:lineRule="auto"/>
        <w:tabs>
          <w:tab w:leader="none" w:pos="18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9.02</w:t>
      </w:r>
      <w:r>
        <w:rPr>
          <w:rFonts w:ascii="Arial" w:cs="Arial" w:eastAsia="Arial" w:hAnsi="Arial"/>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74" w:lineRule="exact"/>
        <w:rPr>
          <w:rFonts w:ascii="Arial" w:cs="Arial" w:eastAsia="Arial" w:hAnsi="Arial"/>
          <w:sz w:val="18"/>
          <w:szCs w:val="18"/>
          <w:color w:val="auto"/>
        </w:rPr>
      </w:pPr>
    </w:p>
    <w:p>
      <w:pPr>
        <w:jc w:val="both"/>
        <w:ind w:left="80" w:firstLine="1294"/>
        <w:spacing w:after="0" w:line="269" w:lineRule="auto"/>
        <w:tabs>
          <w:tab w:leader="none" w:pos="18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(with respect to any commitment increase),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or (d) in a manner that would alter the manner in which payments are shared, without the written consent of each Lender (other than any Defaulting Lender), (v) change any of the provisions of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 change </w:t>
      </w:r>
      <w:r>
        <w:rPr>
          <w:rFonts w:ascii="Arial" w:cs="Arial" w:eastAsia="Arial" w:hAnsi="Arial"/>
          <w:sz w:val="18"/>
          <w:szCs w:val="18"/>
          <w:u w:val="single" w:color="auto"/>
          <w:color w:val="auto"/>
        </w:rPr>
        <w:t>Section 2.20</w:t>
      </w:r>
      <w:r>
        <w:rPr>
          <w:rFonts w:ascii="Arial" w:cs="Arial" w:eastAsia="Arial" w:hAnsi="Arial"/>
          <w:sz w:val="18"/>
          <w:szCs w:val="18"/>
          <w:color w:val="auto"/>
        </w:rPr>
        <w:t>, without the consent of each Lender (other than any</w:t>
      </w:r>
    </w:p>
    <w:p>
      <w:pPr>
        <w:sectPr>
          <w:pgSz w:w="11900" w:h="16838" w:orient="portrait"/>
          <w:cols w:equalWidth="0" w:num="1">
            <w:col w:w="10760"/>
          </w:cols>
          <w:pgMar w:left="900" w:top="595" w:right="239" w:bottom="1440" w:gutter="0" w:footer="0" w:header="0"/>
        </w:sectPr>
      </w:pPr>
    </w:p>
    <w:bookmarkStart w:id="200" w:name="page201"/>
    <w:bookmarkEnd w:id="200"/>
    <w:p>
      <w:pPr>
        <w:jc w:val="both"/>
        <w:spacing w:after="0" w:line="256" w:lineRule="auto"/>
        <w:rPr>
          <w:sz w:val="20"/>
          <w:szCs w:val="20"/>
          <w:color w:val="auto"/>
        </w:rPr>
      </w:pPr>
      <w:r>
        <w:rPr>
          <w:rFonts w:ascii="Arial" w:cs="Arial" w:eastAsia="Arial" w:hAnsi="Arial"/>
          <w:sz w:val="19"/>
          <w:szCs w:val="19"/>
          <w:color w:val="auto"/>
        </w:rPr>
        <w:t xml:space="preserve">Defaulting Lender), (vii) release any Loan Guarantor from its obligation under its Loan Guaranty (except as otherwise permitted herein or in the other Loan Documents), without the written consent of each Lender (other than any Defaulting Lender), (ix) except as provided in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in any Collateral Document, release all or substantially all of the Collateral, without the written consent of each Lender, or (x) increase the aggregate Commitments in excess of $100 million,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or the Issuing Banks hereunder without the prior written consent of the Administrative Agent or the Issuing Banks, as the case may be (it being understood that any change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require the consent of the Administrative Agent and the Issuing Banks). The Administrative Agent may also amend the </w:t>
      </w:r>
      <w:r>
        <w:rPr>
          <w:rFonts w:ascii="Arial" w:cs="Arial" w:eastAsia="Arial" w:hAnsi="Arial"/>
          <w:sz w:val="19"/>
          <w:szCs w:val="19"/>
          <w:u w:val="single" w:color="auto"/>
          <w:color w:val="auto"/>
        </w:rPr>
        <w:t>Commitment Schedule</w:t>
      </w:r>
      <w:r>
        <w:rPr>
          <w:rFonts w:ascii="Arial" w:cs="Arial" w:eastAsia="Arial" w:hAnsi="Arial"/>
          <w:sz w:val="19"/>
          <w:szCs w:val="19"/>
          <w:color w:val="auto"/>
        </w:rPr>
        <w:t xml:space="preserve"> to reflect assignments entered into pursuant to </w:t>
      </w:r>
      <w:r>
        <w:rPr>
          <w:rFonts w:ascii="Arial" w:cs="Arial" w:eastAsia="Arial" w:hAnsi="Arial"/>
          <w:sz w:val="19"/>
          <w:szCs w:val="19"/>
          <w:u w:val="single" w:color="auto"/>
          <w:color w:val="auto"/>
        </w:rPr>
        <w:t>Section 9.04</w:t>
      </w:r>
    </w:p>
    <w:p>
      <w:pPr>
        <w:spacing w:after="0" w:line="185" w:lineRule="exact"/>
        <w:rPr>
          <w:sz w:val="20"/>
          <w:szCs w:val="20"/>
          <w:color w:val="auto"/>
        </w:rPr>
      </w:pPr>
    </w:p>
    <w:p>
      <w:pPr>
        <w:jc w:val="both"/>
        <w:ind w:firstLine="1294"/>
        <w:spacing w:after="0" w:line="269" w:lineRule="auto"/>
        <w:tabs>
          <w:tab w:leader="none" w:pos="17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Except as provided in the preceding sentence, the Administrative Agent will not release any Liens on Collateral without the prior written authorization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may, in its discretion, release its Liens on Collateral valued in the aggregate not in excess of $1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70" w:lineRule="exact"/>
        <w:rPr>
          <w:rFonts w:ascii="Arial" w:cs="Arial" w:eastAsia="Arial" w:hAnsi="Arial"/>
          <w:sz w:val="18"/>
          <w:szCs w:val="18"/>
          <w:color w:val="auto"/>
        </w:rPr>
      </w:pPr>
    </w:p>
    <w:p>
      <w:pPr>
        <w:jc w:val="both"/>
        <w:ind w:firstLine="1294"/>
        <w:spacing w:after="0" w:line="257" w:lineRule="auto"/>
        <w:tabs>
          <w:tab w:leader="none" w:pos="176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9"/>
          <w:szCs w:val="19"/>
          <w:u w:val="single" w:color="auto"/>
          <w:color w:val="auto"/>
        </w:rPr>
        <w:t>Non-Consenting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then the Borrower may elect to replace a Non-Consenting Lender as a Lender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w:t>
      </w:r>
    </w:p>
    <w:p>
      <w:pPr>
        <w:sectPr>
          <w:pgSz w:w="11900" w:h="16838" w:orient="portrait"/>
          <w:cols w:equalWidth="0" w:num="1">
            <w:col w:w="10680"/>
          </w:cols>
          <w:pgMar w:left="980" w:top="596" w:right="239" w:bottom="1440" w:gutter="0" w:footer="0" w:header="0"/>
        </w:sectPr>
      </w:pPr>
    </w:p>
    <w:bookmarkStart w:id="201" w:name="page202"/>
    <w:bookmarkEnd w:id="201"/>
    <w:p>
      <w:pPr>
        <w:jc w:val="both"/>
        <w:ind w:left="740"/>
        <w:spacing w:after="0" w:line="259" w:lineRule="auto"/>
        <w:rPr>
          <w:sz w:val="20"/>
          <w:szCs w:val="20"/>
          <w:color w:val="auto"/>
        </w:rPr>
      </w:pPr>
      <w:r>
        <w:rPr>
          <w:rFonts w:ascii="Arial" w:cs="Arial" w:eastAsia="Arial" w:hAnsi="Arial"/>
          <w:sz w:val="19"/>
          <w:szCs w:val="19"/>
          <w:color w:val="auto"/>
        </w:rPr>
        <w:t xml:space="preserve">terminated as of such date and to comply with the requirements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(2) an amount, if any, equal to the payment which would have been due to such Lender on the day of such replacement under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had the Loans of such Non-Consenting Lender been prepaid on such date rather than sold to the replacement Lender.</w:t>
      </w:r>
    </w:p>
    <w:p>
      <w:pPr>
        <w:spacing w:after="0" w:line="179" w:lineRule="exact"/>
        <w:rPr>
          <w:sz w:val="20"/>
          <w:szCs w:val="20"/>
          <w:color w:val="auto"/>
        </w:rPr>
      </w:pPr>
    </w:p>
    <w:p>
      <w:pPr>
        <w:jc w:val="both"/>
        <w:ind w:left="740" w:firstLine="1294"/>
        <w:spacing w:after="0" w:line="250" w:lineRule="auto"/>
        <w:tabs>
          <w:tab w:leader="none" w:pos="243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left="740" w:firstLine="1294"/>
        <w:spacing w:after="0" w:line="232" w:lineRule="exact"/>
        <w:tabs>
          <w:tab w:leader="none" w:pos="243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Borrower shall pay (i) all reasonable and documented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 xml:space="preserve">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collection or protection of its rights in connection with the Loan Documents, including its rights under this </w:t>
      </w:r>
      <w:r>
        <w:rPr>
          <w:rFonts w:ascii="Arial" w:cs="Arial" w:eastAsia="Arial" w:hAnsi="Arial"/>
          <w:sz w:val="18"/>
          <w:szCs w:val="18"/>
          <w:u w:val="single" w:color="auto"/>
          <w:color w:val="auto"/>
        </w:rPr>
        <w:t>Section 9.03</w:t>
      </w:r>
      <w:r>
        <w:rPr>
          <w:rFonts w:ascii="Arial" w:cs="Arial" w:eastAsia="Arial" w:hAnsi="Arial"/>
          <w:sz w:val="18"/>
          <w:szCs w:val="18"/>
          <w:color w:val="auto"/>
        </w:rPr>
        <w:t>, or in connection with the Loans made or Letters of Credit issued hereunder, including all such out-of</w:t>
      </w:r>
      <w:r>
        <w:rPr>
          <w:rFonts w:ascii="MS PGothic" w:cs="MS PGothic" w:eastAsia="MS PGothic" w:hAnsi="MS PGothic"/>
          <w:sz w:val="18"/>
          <w:szCs w:val="18"/>
          <w:color w:val="auto"/>
        </w:rPr>
        <w:t>‑</w:t>
      </w:r>
      <w:r>
        <w:rPr>
          <w:rFonts w:ascii="Arial" w:cs="Arial" w:eastAsia="Arial" w:hAnsi="Arial"/>
          <w:sz w:val="18"/>
          <w:szCs w:val="18"/>
          <w:color w:val="auto"/>
        </w:rPr>
        <w:t xml:space="preserve">pocket expenses incurred during any workout, restructuring or negotiations in respect of such Loans or Letters of Credit. Expenses being reimbursed by the Borrower under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include, without limiting the generality of the foregoing, costs and expenses incurred in connection with:</w:t>
      </w:r>
    </w:p>
    <w:p>
      <w:pPr>
        <w:spacing w:after="0" w:line="196" w:lineRule="exact"/>
        <w:rPr>
          <w:rFonts w:ascii="Arial" w:cs="Arial" w:eastAsia="Arial" w:hAnsi="Arial"/>
          <w:sz w:val="18"/>
          <w:szCs w:val="18"/>
          <w:color w:val="auto"/>
        </w:rPr>
      </w:pPr>
    </w:p>
    <w:p>
      <w:pPr>
        <w:ind w:left="660" w:firstLine="1293"/>
        <w:spacing w:after="0" w:line="260" w:lineRule="auto"/>
        <w:tabs>
          <w:tab w:leader="none" w:pos="232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taxes, fees and other charges for (A) lien searches and (B) filing financing statements and continuations, and other actions to perfect, protect, and continue the Administrative Agent’s Liens;</w:t>
      </w:r>
    </w:p>
    <w:p>
      <w:pPr>
        <w:spacing w:after="0" w:line="176" w:lineRule="exact"/>
        <w:rPr>
          <w:rFonts w:ascii="Arial" w:cs="Arial" w:eastAsia="Arial" w:hAnsi="Arial"/>
          <w:sz w:val="20"/>
          <w:szCs w:val="20"/>
          <w:color w:val="auto"/>
        </w:rPr>
      </w:pPr>
    </w:p>
    <w:p>
      <w:pPr>
        <w:ind w:left="660" w:firstLine="1293"/>
        <w:spacing w:after="0" w:line="260" w:lineRule="auto"/>
        <w:tabs>
          <w:tab w:leader="none" w:pos="241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sums paid or incurred to take any action required of any Loan Party under the Loan Documents that such Loan Party fails to pay or take; and</w:t>
      </w:r>
    </w:p>
    <w:p>
      <w:pPr>
        <w:spacing w:after="0" w:line="176" w:lineRule="exact"/>
        <w:rPr>
          <w:rFonts w:ascii="Arial" w:cs="Arial" w:eastAsia="Arial" w:hAnsi="Arial"/>
          <w:sz w:val="20"/>
          <w:szCs w:val="20"/>
          <w:color w:val="auto"/>
        </w:rPr>
      </w:pPr>
    </w:p>
    <w:p>
      <w:pPr>
        <w:ind w:left="660" w:firstLine="1293"/>
        <w:spacing w:after="0" w:line="260" w:lineRule="auto"/>
        <w:tabs>
          <w:tab w:leader="none" w:pos="248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forwarding loan proceeds, collecting checks and other items of payment, and costs and expenses of preserving and protecting the Collateral.</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All of the foregoing costs and expenses may be charged to the Borrower as Loans or to another deposit account, all as described in </w:t>
      </w:r>
      <w:r>
        <w:rPr>
          <w:rFonts w:ascii="Arial" w:cs="Arial" w:eastAsia="Arial" w:hAnsi="Arial"/>
          <w:sz w:val="20"/>
          <w:szCs w:val="20"/>
          <w:u w:val="single" w:color="auto"/>
          <w:color w:val="auto"/>
        </w:rPr>
        <w:t>Section 2.18(c)</w:t>
      </w:r>
      <w:r>
        <w:rPr>
          <w:rFonts w:ascii="Arial" w:cs="Arial" w:eastAsia="Arial" w:hAnsi="Arial"/>
          <w:sz w:val="20"/>
          <w:szCs w:val="20"/>
          <w:color w:val="auto"/>
        </w:rPr>
        <w:t>.</w:t>
      </w:r>
    </w:p>
    <w:p>
      <w:pPr>
        <w:spacing w:after="0" w:line="177" w:lineRule="exact"/>
        <w:rPr>
          <w:sz w:val="20"/>
          <w:szCs w:val="20"/>
          <w:color w:val="auto"/>
        </w:rPr>
      </w:pPr>
    </w:p>
    <w:p>
      <w:pPr>
        <w:jc w:val="both"/>
        <w:ind w:left="740" w:firstLine="1294"/>
        <w:spacing w:after="0" w:line="250" w:lineRule="auto"/>
        <w:tabs>
          <w:tab w:leader="none" w:pos="247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Borrower shall indemnify the Administrative Agent, each Issuing Bank and each Lender, and each Related Party of any of the foregoing Persons (each such Person being called an “</w:t>
      </w:r>
      <w:r>
        <w:rPr>
          <w:rFonts w:ascii="Arial" w:cs="Arial" w:eastAsia="Arial" w:hAnsi="Arial"/>
          <w:sz w:val="20"/>
          <w:szCs w:val="20"/>
          <w:u w:val="single" w:color="auto"/>
          <w:color w:val="auto"/>
        </w:rPr>
        <w:t>Indemnitee</w:t>
      </w:r>
      <w:r>
        <w:rPr>
          <w:rFonts w:ascii="Arial" w:cs="Arial" w:eastAsia="Arial" w:hAnsi="Arial"/>
          <w:sz w:val="20"/>
          <w:szCs w:val="20"/>
          <w:color w:val="auto"/>
        </w:rPr>
        <w:t>”) against, and hold each Indemnitee harmless from, any and all losses, claims,</w:t>
      </w:r>
    </w:p>
    <w:p>
      <w:pPr>
        <w:sectPr>
          <w:pgSz w:w="11900" w:h="16838" w:orient="portrait"/>
          <w:cols w:equalWidth="0" w:num="1">
            <w:col w:w="11420"/>
          </w:cols>
          <w:pgMar w:left="240" w:top="595" w:right="239" w:bottom="1440" w:gutter="0" w:footer="0" w:header="0"/>
        </w:sectPr>
      </w:pPr>
    </w:p>
    <w:bookmarkStart w:id="202" w:name="page203"/>
    <w:bookmarkEnd w:id="202"/>
    <w:p>
      <w:pPr>
        <w:jc w:val="both"/>
        <w:spacing w:after="0" w:line="268" w:lineRule="auto"/>
        <w:rPr>
          <w:sz w:val="20"/>
          <w:szCs w:val="20"/>
          <w:color w:val="auto"/>
        </w:rPr>
      </w:pPr>
      <w:r>
        <w:rPr>
          <w:rFonts w:ascii="Arial" w:cs="Arial" w:eastAsia="Arial" w:hAnsi="Arial"/>
          <w:sz w:val="18"/>
          <w:szCs w:val="18"/>
          <w:color w:val="auto"/>
        </w:rPr>
        <w:t xml:space="preserve">damages, penalties, liabilities and related expenses (except for taxes, which shall be covered by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10.09</w:t>
      </w:r>
      <w:r>
        <w:rPr>
          <w:rFonts w:ascii="Arial" w:cs="Arial" w:eastAsia="Arial" w:hAnsi="Arial"/>
          <w:sz w:val="18"/>
          <w:szCs w:val="18"/>
          <w:color w:val="auto"/>
        </w:rPr>
        <w:t xml:space="preserve">), including the fees, charges and disbursements of any counsel for any Indemnitee (except during the continuation of an event of default and/or in connection with the enforcement of the Loan Documents, such legal expenses shall be limited to one counsel for all Indemnitees taken as a whole and, if reasonably necessary, a single local counsel for all Indemnitees taken as a whole in each relevant jurisdiction and, solely in the case of a conflict of interest, one additional counsel (and, if reasonably necessary, one firm of local counsel in each relevant jurisdiction) to each group of affected Indemnitees similarly situated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any Related Indemnitee Party of such Indemnitee or (y) result from a claim brought by the Borrower or any of its Subsidiaries against an Indemnitee or any Related Indemnitee Party of such Indemnitee for breach in bad faith of such Indemnitee’s obligations hereunder or under any other Loan Document, if the Borrower or such Subsidiary has obtained a final and non-appealable judgment in its favor on such claim as determined by a court of competent jurisdiction.</w:t>
      </w:r>
    </w:p>
    <w:p>
      <w:pPr>
        <w:spacing w:after="0" w:line="181" w:lineRule="exact"/>
        <w:rPr>
          <w:sz w:val="20"/>
          <w:szCs w:val="20"/>
          <w:color w:val="auto"/>
        </w:rPr>
      </w:pPr>
    </w:p>
    <w:p>
      <w:pPr>
        <w:jc w:val="both"/>
        <w:ind w:firstLine="1294"/>
        <w:spacing w:after="0" w:line="243" w:lineRule="auto"/>
        <w:tabs>
          <w:tab w:leader="none" w:pos="172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To the extent that the Borrower fails to pay any amount required to be paid by it to the Administrative Agent or any Issuing Bank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unreimbursed expense or indemnified loss, claim, damage, penalty, liability or related expense, as the case may be, was incurred by or asserted against the Administrative Agent or such Issuing Bank in its capacity as such.</w:t>
      </w:r>
    </w:p>
    <w:p>
      <w:pPr>
        <w:spacing w:after="0" w:line="196" w:lineRule="exact"/>
        <w:rPr>
          <w:rFonts w:ascii="Arial" w:cs="Arial" w:eastAsia="Arial" w:hAnsi="Arial"/>
          <w:sz w:val="20"/>
          <w:szCs w:val="20"/>
          <w:color w:val="auto"/>
        </w:rPr>
      </w:pPr>
    </w:p>
    <w:p>
      <w:pPr>
        <w:jc w:val="both"/>
        <w:ind w:firstLine="1294"/>
        <w:spacing w:after="0" w:line="260" w:lineRule="auto"/>
        <w:tabs>
          <w:tab w:leader="none" w:pos="172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To the extent permitted by applicable law, no Loan Party shall assert, and each hereby waives, any claim against any Indemnitee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Indemnitee or any Related Indemnitee Party of such Indemnitee.</w:t>
      </w:r>
    </w:p>
    <w:p>
      <w:pPr>
        <w:sectPr>
          <w:pgSz w:w="11900" w:h="16838" w:orient="portrait"/>
          <w:cols w:equalWidth="0" w:num="1">
            <w:col w:w="10680"/>
          </w:cols>
          <w:pgMar w:left="980" w:top="596" w:right="239" w:bottom="1440" w:gutter="0" w:footer="0" w:header="0"/>
        </w:sectPr>
      </w:pPr>
    </w:p>
    <w:bookmarkStart w:id="203" w:name="page204"/>
    <w:bookmarkEnd w:id="203"/>
    <w:p>
      <w:pPr>
        <w:jc w:val="both"/>
        <w:ind w:left="80" w:firstLine="1294"/>
        <w:spacing w:after="0" w:line="243" w:lineRule="auto"/>
        <w:tabs>
          <w:tab w:leader="none" w:pos="177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No Indemnitee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shall relieve any Loan Party of any obligation it may have to indemnify an Indemnitee against special, indirect, consequential or punitive damages asserted against such Indemnitee by a third party.</w:t>
      </w:r>
    </w:p>
    <w:p>
      <w:pPr>
        <w:spacing w:after="0" w:line="196" w:lineRule="exact"/>
        <w:rPr>
          <w:rFonts w:ascii="Arial" w:cs="Arial" w:eastAsia="Arial" w:hAnsi="Arial"/>
          <w:sz w:val="20"/>
          <w:szCs w:val="20"/>
          <w:color w:val="auto"/>
        </w:rPr>
      </w:pPr>
    </w:p>
    <w:p>
      <w:pPr>
        <w:ind w:left="1760" w:hanging="386"/>
        <w:spacing w:after="0"/>
        <w:tabs>
          <w:tab w:leader="none" w:pos="17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All amounts due under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shall be payable promptly after written demand therefor.</w:t>
      </w:r>
    </w:p>
    <w:p>
      <w:pPr>
        <w:spacing w:after="0" w:line="21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left="80" w:firstLine="1294"/>
        <w:spacing w:after="0" w:line="256" w:lineRule="auto"/>
        <w:tabs>
          <w:tab w:leader="none" w:pos="1817"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9.04</w:t>
      </w:r>
      <w:r>
        <w:rPr>
          <w:rFonts w:ascii="Arial" w:cs="Arial" w:eastAsia="Arial" w:hAnsi="Arial"/>
          <w:sz w:val="19"/>
          <w:szCs w:val="19"/>
          <w:color w:val="auto"/>
        </w:rPr>
        <w:t>) and, to the extent expressly contemplated hereby, the Related Parties of each of the Administrative Agent, the Issuing Banks and the Lenders) any legal or equitable right, remedy or claim under or by reason of this Agreement.</w:t>
      </w:r>
    </w:p>
    <w:p>
      <w:pPr>
        <w:spacing w:after="0" w:line="181" w:lineRule="exact"/>
        <w:rPr>
          <w:rFonts w:ascii="Arial" w:cs="Arial" w:eastAsia="Arial" w:hAnsi="Arial"/>
          <w:sz w:val="19"/>
          <w:szCs w:val="19"/>
          <w:color w:val="auto"/>
        </w:rPr>
      </w:pPr>
    </w:p>
    <w:p>
      <w:pPr>
        <w:jc w:val="both"/>
        <w:ind w:left="80" w:firstLine="1294"/>
        <w:spacing w:after="0" w:line="291" w:lineRule="auto"/>
        <w:tabs>
          <w:tab w:leader="none" w:pos="182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51" w:lineRule="exact"/>
        <w:rPr>
          <w:rFonts w:ascii="Arial" w:cs="Arial" w:eastAsia="Arial" w:hAnsi="Arial"/>
          <w:sz w:val="18"/>
          <w:szCs w:val="18"/>
          <w:color w:val="auto"/>
        </w:rPr>
      </w:pPr>
    </w:p>
    <w:p>
      <w:pPr>
        <w:jc w:val="both"/>
        <w:ind w:left="640" w:firstLine="653"/>
        <w:spacing w:after="0" w:line="282" w:lineRule="auto"/>
        <w:tabs>
          <w:tab w:leader="none" w:pos="17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consent of the Borrower shall be required for an assignment to a Lender, an Affiliate of a Lender, an Approved Fund or, if a Specified Default has occurred and is continuing, any other assignee;</w:t>
      </w:r>
    </w:p>
    <w:p>
      <w:pPr>
        <w:spacing w:after="0" w:line="161" w:lineRule="exact"/>
        <w:rPr>
          <w:rFonts w:ascii="Arial" w:cs="Arial" w:eastAsia="Arial" w:hAnsi="Arial"/>
          <w:sz w:val="18"/>
          <w:szCs w:val="18"/>
          <w:color w:val="auto"/>
        </w:rPr>
      </w:pPr>
    </w:p>
    <w:p>
      <w:pPr>
        <w:ind w:left="1740" w:hanging="447"/>
        <w:spacing w:after="0"/>
        <w:tabs>
          <w:tab w:leader="none" w:pos="17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Administrative Agent; and</w:t>
      </w:r>
    </w:p>
    <w:p>
      <w:pPr>
        <w:spacing w:after="0" w:line="215" w:lineRule="exact"/>
        <w:rPr>
          <w:rFonts w:ascii="Arial" w:cs="Arial" w:eastAsia="Arial" w:hAnsi="Arial"/>
          <w:sz w:val="20"/>
          <w:szCs w:val="20"/>
          <w:color w:val="auto"/>
        </w:rPr>
      </w:pPr>
    </w:p>
    <w:p>
      <w:pPr>
        <w:ind w:left="1740" w:hanging="447"/>
        <w:spacing w:after="0"/>
        <w:tabs>
          <w:tab w:leader="none" w:pos="17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Issuing Banks.</w:t>
      </w:r>
    </w:p>
    <w:p>
      <w:pPr>
        <w:spacing w:after="0" w:line="216"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Assignments shall be subject to the following additional conditions:</w:t>
      </w:r>
    </w:p>
    <w:p>
      <w:pPr>
        <w:spacing w:after="0" w:line="216" w:lineRule="exact"/>
        <w:rPr>
          <w:sz w:val="20"/>
          <w:szCs w:val="20"/>
          <w:color w:val="auto"/>
        </w:rPr>
      </w:pPr>
    </w:p>
    <w:p>
      <w:pPr>
        <w:jc w:val="both"/>
        <w:ind w:left="640" w:firstLine="653"/>
        <w:spacing w:after="0" w:line="291" w:lineRule="auto"/>
        <w:tabs>
          <w:tab w:leader="none" w:pos="174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w:t>
      </w:r>
    </w:p>
    <w:p>
      <w:pPr>
        <w:sectPr>
          <w:pgSz w:w="11900" w:h="16838" w:orient="portrait"/>
          <w:cols w:equalWidth="0" w:num="1">
            <w:col w:w="10760"/>
          </w:cols>
          <w:pgMar w:left="900" w:top="596" w:right="239" w:bottom="1440" w:gutter="0" w:footer="0" w:header="0"/>
        </w:sectPr>
      </w:pPr>
    </w:p>
    <w:bookmarkStart w:id="204" w:name="page205"/>
    <w:bookmarkEnd w:id="204"/>
    <w:p>
      <w:pPr>
        <w:jc w:val="both"/>
        <w:ind w:left="100"/>
        <w:spacing w:after="0" w:line="250" w:lineRule="auto"/>
        <w:rPr>
          <w:sz w:val="20"/>
          <w:szCs w:val="20"/>
          <w:color w:val="auto"/>
        </w:rPr>
      </w:pPr>
      <w:r>
        <w:rPr>
          <w:rFonts w:ascii="Arial" w:cs="Arial" w:eastAsia="Arial" w:hAnsi="Arial"/>
          <w:sz w:val="20"/>
          <w:szCs w:val="20"/>
          <w:color w:val="auto"/>
        </w:rPr>
        <w:t xml:space="preserve">Assumption with respect to such assignment is delivered to the Administrative Agent) shall not be less than $5 million unless each of the Borrower and the Administrative Agent otherwise consent;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consent of the Borrower shall be required if a Specified Default has occurred and is continuing;</w:t>
      </w:r>
    </w:p>
    <w:p>
      <w:pPr>
        <w:spacing w:after="0" w:line="186" w:lineRule="exact"/>
        <w:rPr>
          <w:sz w:val="20"/>
          <w:szCs w:val="20"/>
          <w:color w:val="auto"/>
        </w:rPr>
      </w:pPr>
    </w:p>
    <w:p>
      <w:pPr>
        <w:ind w:left="100" w:right="20" w:firstLine="653"/>
        <w:spacing w:after="0" w:line="260" w:lineRule="auto"/>
        <w:tabs>
          <w:tab w:leader="none" w:pos="119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6" w:lineRule="exact"/>
        <w:rPr>
          <w:rFonts w:ascii="Arial" w:cs="Arial" w:eastAsia="Arial" w:hAnsi="Arial"/>
          <w:sz w:val="20"/>
          <w:szCs w:val="20"/>
          <w:color w:val="auto"/>
        </w:rPr>
      </w:pPr>
    </w:p>
    <w:p>
      <w:pPr>
        <w:ind w:left="100" w:firstLine="653"/>
        <w:spacing w:after="0" w:line="287" w:lineRule="auto"/>
        <w:tabs>
          <w:tab w:leader="none" w:pos="135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together with a processing and recordation fee of $3,500 and the tax forms required by </w:t>
      </w:r>
      <w:r>
        <w:rPr>
          <w:rFonts w:ascii="Arial" w:cs="Arial" w:eastAsia="Arial" w:hAnsi="Arial"/>
          <w:sz w:val="19"/>
          <w:szCs w:val="19"/>
          <w:u w:val="single" w:color="auto"/>
          <w:color w:val="auto"/>
        </w:rPr>
        <w:t>Section 2.17(f)</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jc w:val="both"/>
        <w:ind w:left="100" w:firstLine="653"/>
        <w:spacing w:after="0" w:line="260" w:lineRule="auto"/>
        <w:tabs>
          <w:tab w:leader="none" w:pos="1203"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sz w:val="20"/>
          <w:szCs w:val="20"/>
          <w:color w:val="auto"/>
        </w:rPr>
      </w:pPr>
    </w:p>
    <w:p>
      <w:pPr>
        <w:jc w:val="both"/>
        <w:ind w:left="-540" w:firstLine="1293"/>
        <w:spacing w:after="0" w:line="272" w:lineRule="auto"/>
        <w:tabs>
          <w:tab w:leader="none" w:pos="13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w:t>
      </w:r>
      <w:r>
        <w:rPr>
          <w:rFonts w:ascii="Arial" w:cs="Arial" w:eastAsia="Arial" w:hAnsi="Arial"/>
          <w:sz w:val="18"/>
          <w:szCs w:val="18"/>
          <w:u w:val="single" w:color="auto"/>
          <w:color w:val="auto"/>
        </w:rPr>
        <w:t>clause (b)(iv)</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540" w:firstLine="1293"/>
        <w:spacing w:after="0" w:line="257" w:lineRule="auto"/>
        <w:tabs>
          <w:tab w:leader="none" w:pos="122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181" w:lineRule="exact"/>
        <w:rPr>
          <w:rFonts w:ascii="Arial" w:cs="Arial" w:eastAsia="Arial" w:hAnsi="Arial"/>
          <w:sz w:val="19"/>
          <w:szCs w:val="19"/>
          <w:color w:val="auto"/>
        </w:rPr>
      </w:pPr>
    </w:p>
    <w:p>
      <w:pPr>
        <w:jc w:val="both"/>
        <w:ind w:left="-540" w:firstLine="1293"/>
        <w:spacing w:after="0" w:line="263" w:lineRule="auto"/>
        <w:tabs>
          <w:tab w:leader="none" w:pos="122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its receipt of (x) a duly completed Assignment and Assumption executed by an assigning Lender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w:t>
      </w:r>
    </w:p>
    <w:p>
      <w:pPr>
        <w:sectPr>
          <w:pgSz w:w="11900" w:h="16838" w:orient="portrait"/>
          <w:cols w:equalWidth="0" w:num="1">
            <w:col w:w="10220"/>
          </w:cols>
          <w:pgMar w:left="1440" w:top="595" w:right="239" w:bottom="1440" w:gutter="0" w:footer="0" w:header="0"/>
        </w:sectPr>
      </w:pPr>
    </w:p>
    <w:bookmarkStart w:id="205" w:name="page206"/>
    <w:bookmarkEnd w:id="205"/>
    <w:p>
      <w:pPr>
        <w:jc w:val="both"/>
        <w:ind w:left="660"/>
        <w:spacing w:after="0" w:line="274" w:lineRule="auto"/>
        <w:rPr>
          <w:sz w:val="20"/>
          <w:szCs w:val="20"/>
          <w:color w:val="auto"/>
        </w:rPr>
      </w:pPr>
      <w:r>
        <w:rPr>
          <w:rFonts w:ascii="Arial" w:cs="Arial" w:eastAsia="Arial" w:hAnsi="Arial"/>
          <w:sz w:val="18"/>
          <w:szCs w:val="18"/>
          <w:color w:val="auto"/>
        </w:rPr>
        <w:t xml:space="preserve">already be a Lender hereunder), the processing and recordation fee and tax forms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any written consent to such assignment required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2.07(b)</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9.03(c)</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9" w:lineRule="exact"/>
        <w:rPr>
          <w:sz w:val="20"/>
          <w:szCs w:val="20"/>
          <w:color w:val="auto"/>
        </w:rPr>
      </w:pPr>
    </w:p>
    <w:p>
      <w:pPr>
        <w:jc w:val="both"/>
        <w:ind w:left="740" w:firstLine="1294"/>
        <w:spacing w:after="0" w:line="268" w:lineRule="auto"/>
        <w:tabs>
          <w:tab w:leader="none" w:pos="25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Lender may, without the consent of the Borrower, the Administrative Agent or any Issuing Bank,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that affects such Participant. Subject to </w:t>
      </w:r>
      <w:r>
        <w:rPr>
          <w:rFonts w:ascii="Arial" w:cs="Arial" w:eastAsia="Arial" w:hAnsi="Arial"/>
          <w:sz w:val="18"/>
          <w:szCs w:val="18"/>
          <w:u w:val="single" w:color="auto"/>
          <w:color w:val="auto"/>
        </w:rPr>
        <w:t>clause (c)(ii)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extent permitted by law, each Participant also shall be entitled to the benefits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as though it were a Lender, provided such Participant agrees to be subject to the provisions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and shall not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with respect to any participation, than its participating Lender would have been entitled to receive, except (i) to the extent such entitlement to receive a greater payment results from a Change in Law that occurs after the Participant acquired the applicable participation or (ii) such participating Lender failed to deliver the tax forms required by </w:t>
      </w:r>
      <w:r>
        <w:rPr>
          <w:rFonts w:ascii="Arial" w:cs="Arial" w:eastAsia="Arial" w:hAnsi="Arial"/>
          <w:sz w:val="18"/>
          <w:szCs w:val="18"/>
          <w:u w:val="single" w:color="auto"/>
          <w:color w:val="auto"/>
        </w:rPr>
        <w:t>Section 2.17(f)</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Lender that sells a participation agrees, at the Borrower’s request and expense, to use reasonable efforts to cooperate with the Borrower to effectuate the provisions of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have any obligation to disclose all or any portion of the Participant Register (including the identity of any Participant or any information relating to a Participant’s interest in any Commitments, Loans, Letters</w:t>
      </w:r>
    </w:p>
    <w:p>
      <w:pPr>
        <w:sectPr>
          <w:pgSz w:w="11900" w:h="16838" w:orient="portrait"/>
          <w:cols w:equalWidth="0" w:num="1">
            <w:col w:w="11420"/>
          </w:cols>
          <w:pgMar w:left="240" w:top="595" w:right="239" w:bottom="1440" w:gutter="0" w:footer="0" w:header="0"/>
        </w:sectPr>
      </w:pPr>
    </w:p>
    <w:bookmarkStart w:id="206" w:name="page207"/>
    <w:bookmarkEnd w:id="206"/>
    <w:p>
      <w:pPr>
        <w:jc w:val="both"/>
        <w:spacing w:after="0" w:line="243" w:lineRule="auto"/>
        <w:rPr>
          <w:sz w:val="20"/>
          <w:szCs w:val="20"/>
          <w:color w:val="auto"/>
        </w:rPr>
      </w:pPr>
      <w:r>
        <w:rPr>
          <w:rFonts w:ascii="Arial" w:cs="Arial" w:eastAsia="Arial" w:hAnsi="Arial"/>
          <w:sz w:val="20"/>
          <w:szCs w:val="20"/>
          <w:color w:val="auto"/>
        </w:rPr>
        <w:t>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jc w:val="both"/>
        <w:ind w:left="740" w:firstLine="1294"/>
        <w:spacing w:after="0" w:line="244" w:lineRule="auto"/>
        <w:tabs>
          <w:tab w:leader="none" w:pos="252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pledge or assignment of a security interest shall release a Lender from any of its obligations hereunder or substitute any such pledgee or assignee for such Lender as a party hereto.</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73" w:lineRule="auto"/>
        <w:tabs>
          <w:tab w:leader="none" w:pos="24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9" w:lineRule="exact"/>
        <w:rPr>
          <w:rFonts w:ascii="Arial" w:cs="Arial" w:eastAsia="Arial" w:hAnsi="Arial"/>
          <w:sz w:val="18"/>
          <w:szCs w:val="18"/>
          <w:color w:val="auto"/>
        </w:rPr>
      </w:pPr>
    </w:p>
    <w:p>
      <w:pPr>
        <w:jc w:val="both"/>
        <w:ind w:left="740" w:firstLine="1294"/>
        <w:spacing w:after="0" w:line="263" w:lineRule="auto"/>
        <w:tabs>
          <w:tab w:leader="none" w:pos="244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w:t>
      </w:r>
    </w:p>
    <w:p>
      <w:pPr>
        <w:sectPr>
          <w:pgSz w:w="11900" w:h="16838" w:orient="portrait"/>
          <w:cols w:equalWidth="0" w:num="1">
            <w:col w:w="11420"/>
          </w:cols>
          <w:pgMar w:left="240" w:top="595" w:right="239" w:bottom="1440" w:gutter="0" w:footer="0" w:header="0"/>
        </w:sectPr>
      </w:pPr>
    </w:p>
    <w:bookmarkStart w:id="207" w:name="page208"/>
    <w:bookmarkEnd w:id="207"/>
    <w:p>
      <w:pPr>
        <w:jc w:val="both"/>
        <w:ind w:left="740"/>
        <w:spacing w:after="0" w:line="260" w:lineRule="auto"/>
        <w:rPr>
          <w:sz w:val="20"/>
          <w:szCs w:val="20"/>
          <w:color w:val="auto"/>
        </w:rPr>
      </w:pPr>
      <w:r>
        <w:rPr>
          <w:rFonts w:ascii="Arial" w:cs="Arial" w:eastAsia="Arial" w:hAnsi="Arial"/>
          <w:sz w:val="19"/>
          <w:szCs w:val="19"/>
          <w:color w:val="auto"/>
        </w:rPr>
        <w:t>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or application under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The rights of each Lender under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are in addition to other rights and remedies (including other rights of setoff) which such Lender may have.</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9.09</w:t>
      </w:r>
      <w:r>
        <w:rPr>
          <w:sz w:val="20"/>
          <w:szCs w:val="20"/>
          <w:color w:val="auto"/>
        </w:rPr>
        <w:tab/>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216" w:lineRule="exact"/>
        <w:rPr>
          <w:sz w:val="20"/>
          <w:szCs w:val="20"/>
          <w:color w:val="auto"/>
        </w:rPr>
      </w:pPr>
    </w:p>
    <w:p>
      <w:pPr>
        <w:ind w:left="740" w:right="20" w:firstLine="1294"/>
        <w:spacing w:after="0" w:line="260" w:lineRule="auto"/>
        <w:tabs>
          <w:tab w:leader="none" w:pos="245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Loan Documents (other than those containing a contrary express choice of law provision) shall be governed by and construed in accordance with the laws of the State of New York.</w:t>
      </w:r>
    </w:p>
    <w:p>
      <w:pPr>
        <w:spacing w:after="0" w:line="176" w:lineRule="exact"/>
        <w:rPr>
          <w:rFonts w:ascii="Arial" w:cs="Arial" w:eastAsia="Arial" w:hAnsi="Arial"/>
          <w:sz w:val="20"/>
          <w:szCs w:val="20"/>
          <w:color w:val="auto"/>
        </w:rPr>
      </w:pPr>
    </w:p>
    <w:p>
      <w:pPr>
        <w:jc w:val="both"/>
        <w:ind w:left="740" w:firstLine="1294"/>
        <w:spacing w:after="0" w:line="272" w:lineRule="auto"/>
        <w:tabs>
          <w:tab w:leader="none" w:pos="25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71" w:lineRule="exact"/>
        <w:rPr>
          <w:rFonts w:ascii="Arial" w:cs="Arial" w:eastAsia="Arial" w:hAnsi="Arial"/>
          <w:sz w:val="18"/>
          <w:szCs w:val="18"/>
          <w:color w:val="auto"/>
        </w:rPr>
      </w:pPr>
    </w:p>
    <w:p>
      <w:pPr>
        <w:jc w:val="both"/>
        <w:ind w:left="740" w:firstLine="1294"/>
        <w:spacing w:after="0" w:line="291" w:lineRule="auto"/>
        <w:tabs>
          <w:tab w:leader="none" w:pos="259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9.09</w:t>
      </w:r>
      <w:r>
        <w:rPr>
          <w:rFonts w:ascii="Arial" w:cs="Arial" w:eastAsia="Arial" w:hAnsi="Arial"/>
          <w:sz w:val="18"/>
          <w:szCs w:val="18"/>
          <w:color w:val="auto"/>
        </w:rPr>
        <w:t>. Each of the</w:t>
      </w:r>
    </w:p>
    <w:p>
      <w:pPr>
        <w:sectPr>
          <w:pgSz w:w="11900" w:h="16838" w:orient="portrait"/>
          <w:cols w:equalWidth="0" w:num="1">
            <w:col w:w="11420"/>
          </w:cols>
          <w:pgMar w:left="240" w:top="596" w:right="239" w:bottom="1440" w:gutter="0" w:footer="0" w:header="0"/>
        </w:sectPr>
      </w:pPr>
    </w:p>
    <w:bookmarkStart w:id="208" w:name="page209"/>
    <w:bookmarkEnd w:id="208"/>
    <w:p>
      <w:pPr>
        <w:ind w:left="740" w:right="20"/>
        <w:spacing w:after="0" w:line="260" w:lineRule="auto"/>
        <w:rPr>
          <w:sz w:val="20"/>
          <w:szCs w:val="20"/>
          <w:color w:val="auto"/>
        </w:rPr>
      </w:pPr>
      <w:r>
        <w:rPr>
          <w:rFonts w:ascii="Arial" w:cs="Arial" w:eastAsia="Arial" w:hAnsi="Arial"/>
          <w:sz w:val="20"/>
          <w:szCs w:val="20"/>
          <w:color w:val="auto"/>
        </w:rPr>
        <w:t>parties hereto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jc w:val="both"/>
        <w:ind w:left="740" w:firstLine="1294"/>
        <w:spacing w:after="0" w:line="250" w:lineRule="auto"/>
        <w:tabs>
          <w:tab w:leader="none" w:pos="250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 9.01</w:t>
      </w:r>
      <w:r>
        <w:rPr>
          <w:rFonts w:ascii="Arial" w:cs="Arial" w:eastAsia="Arial" w:hAnsi="Arial"/>
          <w:sz w:val="20"/>
          <w:szCs w:val="20"/>
          <w:color w:val="auto"/>
        </w:rPr>
        <w:t>. Nothing in this Agreement or any other Loan Document will affect the right of any party to this Agreement to serve process in any other manner permitted by law.</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9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or derivative transaction relating to the Loan Parties and their obligations, (g) with the consent of the Borrower, (h) to holders of Equity Interests in the Borrower, (i) to the extent that such information is independently developed by it or its Affiliates, in each case, so long as not based on information obtained in a manner that would otherwise violate this </w:t>
      </w:r>
      <w:r>
        <w:rPr>
          <w:rFonts w:ascii="Arial" w:cs="Arial" w:eastAsia="Arial" w:hAnsi="Arial"/>
          <w:sz w:val="18"/>
          <w:szCs w:val="18"/>
          <w:u w:val="single" w:color="auto"/>
          <w:color w:val="auto"/>
        </w:rPr>
        <w:t>Section 9.12</w:t>
      </w:r>
      <w:r>
        <w:rPr>
          <w:rFonts w:ascii="Arial" w:cs="Arial" w:eastAsia="Arial" w:hAnsi="Arial"/>
          <w:sz w:val="18"/>
          <w:szCs w:val="18"/>
          <w:color w:val="auto"/>
        </w:rPr>
        <w:t>, (j) for purposes of establishing a “due diligence”</w:t>
      </w:r>
    </w:p>
    <w:p>
      <w:pPr>
        <w:sectPr>
          <w:pgSz w:w="11900" w:h="16838" w:orient="portrait"/>
          <w:cols w:equalWidth="0" w:num="1">
            <w:col w:w="11420"/>
          </w:cols>
          <w:pgMar w:left="240" w:top="595" w:right="239" w:bottom="1440" w:gutter="0" w:footer="0" w:header="0"/>
        </w:sectPr>
      </w:pPr>
    </w:p>
    <w:bookmarkStart w:id="209" w:name="page210"/>
    <w:bookmarkEnd w:id="209"/>
    <w:p>
      <w:pPr>
        <w:jc w:val="both"/>
        <w:spacing w:after="0" w:line="273" w:lineRule="auto"/>
        <w:rPr>
          <w:sz w:val="20"/>
          <w:szCs w:val="20"/>
          <w:color w:val="auto"/>
        </w:rPr>
      </w:pPr>
      <w:r>
        <w:rPr>
          <w:rFonts w:ascii="Arial" w:cs="Arial" w:eastAsia="Arial" w:hAnsi="Arial"/>
          <w:sz w:val="18"/>
          <w:szCs w:val="18"/>
          <w:color w:val="auto"/>
        </w:rPr>
        <w:t xml:space="preserve">defense, (k) to ratings agencies or (l) to the extent such Information (i) becomes publicly available other than as a result of a breach of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or (ii) becomes available to the Administrative Agent, any Issuing Bank or any Lender on a non-confidential basis from a source other than the Borrower. For the purposes of this </w:t>
      </w:r>
      <w:r>
        <w:rPr>
          <w:rFonts w:ascii="Arial" w:cs="Arial" w:eastAsia="Arial" w:hAnsi="Arial"/>
          <w:sz w:val="18"/>
          <w:szCs w:val="18"/>
          <w:u w:val="single" w:color="auto"/>
          <w:color w:val="auto"/>
        </w:rPr>
        <w:t>Section 9.12</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Several Obligations; Nonreliance; Violation of Law</w:t>
      </w:r>
      <w:r>
        <w:rPr>
          <w:rFonts w:ascii="Arial" w:cs="Arial" w:eastAsia="Arial" w:hAnsi="Arial"/>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Disclosure</w:t>
      </w:r>
      <w:r>
        <w:rPr>
          <w:rFonts w:ascii="Arial" w:cs="Arial" w:eastAsia="Arial" w:hAnsi="Arial"/>
          <w:sz w:val="20"/>
          <w:szCs w:val="20"/>
          <w:color w:val="auto"/>
        </w:rPr>
        <w:t>. Each Loan Party, each Lender and the Issuing Bank hereby acknowledges and agrees that the Administrative Agent and/or its Affiliates from time to time may hold</w:t>
      </w:r>
    </w:p>
    <w:p>
      <w:pPr>
        <w:sectPr>
          <w:pgSz w:w="11900" w:h="16838" w:orient="portrait"/>
          <w:cols w:equalWidth="0" w:num="1">
            <w:col w:w="11420"/>
          </w:cols>
          <w:pgMar w:left="240" w:top="596" w:right="2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investments in, make other loans to or have other relationships with any of the Loan Parties and their respective Affiliates.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Appointment for Perfection</w:t>
      </w:r>
      <w:r>
        <w:rPr>
          <w:rFonts w:ascii="Arial" w:cs="Arial" w:eastAsia="Arial" w:hAnsi="Arial"/>
          <w:sz w:val="20"/>
          <w:szCs w:val="20"/>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9.19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(all such liabilities, the “</w:t>
      </w:r>
      <w:r>
        <w:rPr>
          <w:rFonts w:ascii="Arial" w:cs="Arial" w:eastAsia="Arial" w:hAnsi="Arial"/>
          <w:sz w:val="20"/>
          <w:szCs w:val="20"/>
          <w:u w:val="single" w:color="auto"/>
          <w:color w:val="auto"/>
        </w:rPr>
        <w:t>Covered Liabilities</w:t>
      </w:r>
      <w:r>
        <w:rPr>
          <w:rFonts w:ascii="Arial" w:cs="Arial" w:eastAsia="Arial" w:hAnsi="Arial"/>
          <w:sz w:val="20"/>
          <w:szCs w:val="20"/>
          <w:color w:val="auto"/>
        </w:rPr>
        <w:t>”), may be subject to the Write-Down and Conversion Powers and agrees and consents to, and acknowledges and agrees to be bound by:</w:t>
      </w:r>
    </w:p>
    <w:p>
      <w:pPr>
        <w:sectPr>
          <w:pgSz w:w="11900" w:h="16838" w:orient="portrait"/>
          <w:cols w:equalWidth="0" w:num="1">
            <w:col w:w="11420"/>
          </w:cols>
          <w:pgMar w:left="240" w:top="595" w:right="239" w:bottom="1440" w:gutter="0" w:footer="0" w:header="0"/>
        </w:sectPr>
      </w:pPr>
    </w:p>
    <w:bookmarkStart w:id="211" w:name="page212"/>
    <w:bookmarkEnd w:id="211"/>
    <w:p>
      <w:pPr>
        <w:ind w:left="740" w:firstLine="1294"/>
        <w:spacing w:after="0" w:line="260" w:lineRule="auto"/>
        <w:tabs>
          <w:tab w:leader="none" w:pos="2531"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to any such Covered Liability arising hereunder which may be payable to it by any Lender that is an EEA Financial Institution;</w:t>
      </w:r>
    </w:p>
    <w:p>
      <w:pPr>
        <w:spacing w:after="0" w:line="176" w:lineRule="exact"/>
        <w:rPr>
          <w:rFonts w:ascii="Arial" w:cs="Arial" w:eastAsia="Arial" w:hAnsi="Arial"/>
          <w:sz w:val="20"/>
          <w:szCs w:val="20"/>
          <w:color w:val="auto"/>
        </w:rPr>
      </w:pPr>
    </w:p>
    <w:p>
      <w:pPr>
        <w:ind w:left="2440" w:hanging="406"/>
        <w:spacing w:after="0"/>
        <w:tabs>
          <w:tab w:leader="none" w:pos="244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effects of any Bail-In Action on any such Covered Liability, including, if applicable:</w:t>
      </w:r>
    </w:p>
    <w:p>
      <w:pPr>
        <w:spacing w:after="0" w:line="215" w:lineRule="exact"/>
        <w:rPr>
          <w:rFonts w:ascii="Arial" w:cs="Arial" w:eastAsia="Arial" w:hAnsi="Arial"/>
          <w:sz w:val="20"/>
          <w:szCs w:val="20"/>
          <w:color w:val="auto"/>
        </w:rPr>
      </w:pPr>
    </w:p>
    <w:p>
      <w:pPr>
        <w:ind w:left="2320" w:hanging="367"/>
        <w:spacing w:after="0"/>
        <w:tabs>
          <w:tab w:leader="none" w:pos="23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Covered Liability;</w:t>
      </w:r>
    </w:p>
    <w:p>
      <w:pPr>
        <w:spacing w:after="0" w:line="215" w:lineRule="exact"/>
        <w:rPr>
          <w:rFonts w:ascii="Arial" w:cs="Arial" w:eastAsia="Arial" w:hAnsi="Arial"/>
          <w:sz w:val="20"/>
          <w:szCs w:val="20"/>
          <w:color w:val="auto"/>
        </w:rPr>
      </w:pPr>
    </w:p>
    <w:p>
      <w:pPr>
        <w:jc w:val="both"/>
        <w:ind w:left="660" w:firstLine="1293"/>
        <w:spacing w:after="0" w:line="246" w:lineRule="auto"/>
        <w:tabs>
          <w:tab w:leader="none" w:pos="239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 conversion of all, or a portion of, such Covered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191" w:lineRule="exact"/>
        <w:rPr>
          <w:rFonts w:ascii="Arial" w:cs="Arial" w:eastAsia="Arial" w:hAnsi="Arial"/>
          <w:sz w:val="20"/>
          <w:szCs w:val="20"/>
          <w:color w:val="auto"/>
        </w:rPr>
      </w:pPr>
    </w:p>
    <w:p>
      <w:pPr>
        <w:ind w:left="2520" w:hanging="567"/>
        <w:spacing w:after="0"/>
        <w:tabs>
          <w:tab w:leader="none" w:pos="25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variation of the terms of such Covered Liability in connection with the exercise of the Write-Down and</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Conversion Powers.</w:t>
      </w:r>
    </w:p>
    <w:p>
      <w:pPr>
        <w:spacing w:after="0" w:line="20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LOAN GUARANTY</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Guaranty</w:t>
      </w:r>
      <w:r>
        <w:rPr>
          <w:rFonts w:ascii="Arial" w:cs="Arial" w:eastAsia="Arial" w:hAnsi="Arial"/>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Guaranty of Payment</w:t>
      </w:r>
      <w:r>
        <w:rPr>
          <w:rFonts w:ascii="Arial" w:cs="Arial" w:eastAsia="Arial" w:hAnsi="Arial"/>
          <w:sz w:val="19"/>
          <w:szCs w:val="19"/>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Arial" w:cs="Arial" w:eastAsia="Arial" w:hAnsi="Arial"/>
          <w:sz w:val="19"/>
          <w:szCs w:val="19"/>
          <w:u w:val="single" w:color="auto"/>
          <w:color w:val="auto"/>
        </w:rPr>
        <w:t>Obligated Party</w:t>
      </w:r>
      <w:r>
        <w:rPr>
          <w:rFonts w:ascii="Arial" w:cs="Arial" w:eastAsia="Arial" w:hAnsi="Arial"/>
          <w:sz w:val="19"/>
          <w:szCs w:val="19"/>
          <w:color w:val="auto"/>
        </w:rPr>
        <w:t>”), or otherwise to enforce its payment against any collateral securing all or any part of the Guaranteed Obligations.</w:t>
      </w:r>
    </w:p>
    <w:p>
      <w:pPr>
        <w:spacing w:after="0" w:line="17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10.03</w:t>
      </w:r>
      <w:r>
        <w:rPr>
          <w:sz w:val="20"/>
          <w:szCs w:val="20"/>
          <w:color w:val="auto"/>
        </w:rPr>
        <w:tab/>
      </w:r>
      <w:r>
        <w:rPr>
          <w:rFonts w:ascii="Arial" w:cs="Arial" w:eastAsia="Arial" w:hAnsi="Arial"/>
          <w:sz w:val="18"/>
          <w:szCs w:val="18"/>
          <w:u w:val="single" w:color="auto"/>
          <w:color w:val="auto"/>
        </w:rPr>
        <w:t>No Discharge or Diminishment of Loan Guaranty</w:t>
      </w:r>
      <w:r>
        <w:rPr>
          <w:rFonts w:ascii="Arial" w:cs="Arial" w:eastAsia="Arial" w:hAnsi="Arial"/>
          <w:sz w:val="18"/>
          <w:szCs w:val="18"/>
          <w:color w:val="auto"/>
        </w:rPr>
        <w:t>.</w:t>
      </w:r>
    </w:p>
    <w:p>
      <w:pPr>
        <w:spacing w:after="0" w:line="216" w:lineRule="exact"/>
        <w:rPr>
          <w:sz w:val="20"/>
          <w:szCs w:val="20"/>
          <w:color w:val="auto"/>
        </w:rPr>
      </w:pPr>
    </w:p>
    <w:p>
      <w:pPr>
        <w:ind w:left="740" w:firstLine="1294"/>
        <w:spacing w:after="0" w:line="260" w:lineRule="auto"/>
        <w:tabs>
          <w:tab w:leader="none" w:pos="243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Except as otherwise provided for herein, the obligations of each Loan Guarantor hereunder are unconditional and absolute and not subject to any reduction, limitation,</w:t>
      </w:r>
    </w:p>
    <w:p>
      <w:pPr>
        <w:sectPr>
          <w:pgSz w:w="11900" w:h="16838" w:orient="portrait"/>
          <w:cols w:equalWidth="0" w:num="1">
            <w:col w:w="11420"/>
          </w:cols>
          <w:pgMar w:left="240" w:top="595" w:right="239" w:bottom="1440" w:gutter="0" w:footer="0" w:header="0"/>
        </w:sectPr>
      </w:pPr>
    </w:p>
    <w:bookmarkStart w:id="212" w:name="page213"/>
    <w:bookmarkEnd w:id="212"/>
    <w:p>
      <w:pPr>
        <w:jc w:val="both"/>
        <w:ind w:left="740"/>
        <w:spacing w:after="0" w:line="256" w:lineRule="auto"/>
        <w:rPr>
          <w:sz w:val="20"/>
          <w:szCs w:val="20"/>
          <w:color w:val="auto"/>
        </w:rPr>
      </w:pPr>
      <w:r>
        <w:rPr>
          <w:rFonts w:ascii="Arial" w:cs="Arial" w:eastAsia="Arial" w:hAnsi="Arial"/>
          <w:sz w:val="19"/>
          <w:szCs w:val="19"/>
          <w:color w:val="auto"/>
        </w:rPr>
        <w:t>impairment or termination for any reason (other than the indefeasible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5" w:lineRule="exact"/>
        <w:rPr>
          <w:sz w:val="20"/>
          <w:szCs w:val="20"/>
          <w:color w:val="auto"/>
        </w:rPr>
      </w:pPr>
    </w:p>
    <w:p>
      <w:pPr>
        <w:jc w:val="both"/>
        <w:ind w:left="740" w:firstLine="1294"/>
        <w:spacing w:after="0" w:line="246" w:lineRule="auto"/>
        <w:tabs>
          <w:tab w:leader="none" w:pos="2582"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91" w:lineRule="exact"/>
        <w:rPr>
          <w:rFonts w:ascii="Arial" w:cs="Arial" w:eastAsia="Arial" w:hAnsi="Arial"/>
          <w:sz w:val="20"/>
          <w:szCs w:val="20"/>
          <w:color w:val="auto"/>
        </w:rPr>
      </w:pPr>
    </w:p>
    <w:p>
      <w:pPr>
        <w:jc w:val="both"/>
        <w:ind w:left="740" w:firstLine="1294"/>
        <w:spacing w:after="0" w:line="271" w:lineRule="auto"/>
        <w:tabs>
          <w:tab w:leader="none" w:pos="249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Defenses Waived</w:t>
      </w:r>
      <w:r>
        <w:rPr>
          <w:rFonts w:ascii="Arial" w:cs="Arial" w:eastAsia="Arial" w:hAnsi="Arial"/>
          <w:sz w:val="19"/>
          <w:szCs w:val="19"/>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w:t>
      </w:r>
    </w:p>
    <w:p>
      <w:pPr>
        <w:sectPr>
          <w:pgSz w:w="11900" w:h="16838" w:orient="portrait"/>
          <w:cols w:equalWidth="0" w:num="1">
            <w:col w:w="11420"/>
          </w:cols>
          <w:pgMar w:left="240" w:top="596" w:right="239" w:bottom="1440" w:gutter="0" w:footer="0" w:header="0"/>
        </w:sectPr>
      </w:pPr>
    </w:p>
    <w:bookmarkStart w:id="213" w:name="page214"/>
    <w:bookmarkEnd w:id="213"/>
    <w:p>
      <w:pPr>
        <w:jc w:val="both"/>
        <w:spacing w:after="0" w:line="246" w:lineRule="auto"/>
        <w:rPr>
          <w:sz w:val="20"/>
          <w:szCs w:val="20"/>
          <w:color w:val="auto"/>
        </w:rPr>
      </w:pPr>
      <w:r>
        <w:rPr>
          <w:rFonts w:ascii="Arial" w:cs="Arial" w:eastAsia="Arial" w:hAnsi="Arial"/>
          <w:sz w:val="20"/>
          <w:szCs w:val="20"/>
          <w:color w:val="auto"/>
        </w:rPr>
        <w:t>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Information</w:t>
      </w:r>
      <w:r>
        <w:rPr>
          <w:rFonts w:ascii="Arial" w:cs="Arial" w:eastAsia="Arial" w:hAnsi="Arial"/>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Each of the Lenders and the Issuing Bank may continue to make loans or extend credit to the Borrower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 Nothing in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as a result of any such notice of termination.</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10.09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ectPr>
          <w:pgSz w:w="11900" w:h="16838" w:orient="portrait"/>
          <w:cols w:equalWidth="0" w:num="1">
            <w:col w:w="11420"/>
          </w:cols>
          <w:pgMar w:left="240" w:top="595" w:right="239" w:bottom="1440" w:gutter="0" w:footer="0" w:header="0"/>
        </w:sectPr>
      </w:pPr>
    </w:p>
    <w:bookmarkStart w:id="214" w:name="page215"/>
    <w:bookmarkEnd w:id="214"/>
    <w:p>
      <w:pPr>
        <w:jc w:val="both"/>
        <w:spacing w:after="0" w:line="260" w:lineRule="auto"/>
        <w:rPr>
          <w:sz w:val="20"/>
          <w:szCs w:val="20"/>
          <w:color w:val="auto"/>
        </w:rPr>
      </w:pPr>
      <w:r>
        <w:rPr>
          <w:rFonts w:ascii="Arial" w:cs="Arial" w:eastAsia="Arial" w:hAnsi="Arial"/>
          <w:sz w:val="20"/>
          <w:szCs w:val="20"/>
          <w:color w:val="auto"/>
        </w:rPr>
        <w:t>the Administrative Agent, Lender or Issuing Bank (as the case may be) receives the amount it would have received had no such withholding been made.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Maximum Liability</w:t>
      </w:r>
      <w:r>
        <w:rPr>
          <w:rFonts w:ascii="Arial" w:cs="Arial" w:eastAsia="Arial" w:hAnsi="Arial"/>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6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16" w:lineRule="exact"/>
        <w:rPr>
          <w:sz w:val="20"/>
          <w:szCs w:val="20"/>
          <w:color w:val="auto"/>
        </w:rPr>
      </w:pPr>
    </w:p>
    <w:p>
      <w:pPr>
        <w:jc w:val="both"/>
        <w:ind w:left="740" w:firstLine="1294"/>
        <w:spacing w:after="0" w:line="270" w:lineRule="auto"/>
        <w:tabs>
          <w:tab w:leader="none" w:pos="24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76" w:lineRule="exact"/>
        <w:rPr>
          <w:rFonts w:ascii="Arial" w:cs="Arial" w:eastAsia="Arial" w:hAnsi="Arial"/>
          <w:sz w:val="18"/>
          <w:szCs w:val="18"/>
          <w:color w:val="auto"/>
        </w:rPr>
      </w:pPr>
    </w:p>
    <w:p>
      <w:pPr>
        <w:jc w:val="both"/>
        <w:ind w:left="740" w:right="20" w:firstLine="1294"/>
        <w:spacing w:after="0" w:line="278" w:lineRule="auto"/>
        <w:tabs>
          <w:tab w:leader="none" w:pos="24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65" w:lineRule="exact"/>
        <w:rPr>
          <w:rFonts w:ascii="Arial" w:cs="Arial" w:eastAsia="Arial" w:hAnsi="Arial"/>
          <w:sz w:val="18"/>
          <w:szCs w:val="18"/>
          <w:color w:val="auto"/>
        </w:rPr>
      </w:pPr>
    </w:p>
    <w:p>
      <w:pPr>
        <w:jc w:val="both"/>
        <w:ind w:left="740" w:firstLine="1294"/>
        <w:spacing w:after="0" w:line="269" w:lineRule="auto"/>
        <w:tabs>
          <w:tab w:leader="none" w:pos="246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is intended only to define the relative rights of the Loan Guarantors, and nothing set forth in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70" w:lineRule="exact"/>
        <w:rPr>
          <w:rFonts w:ascii="Arial" w:cs="Arial" w:eastAsia="Arial" w:hAnsi="Arial"/>
          <w:sz w:val="19"/>
          <w:szCs w:val="19"/>
          <w:color w:val="auto"/>
        </w:rPr>
      </w:pPr>
    </w:p>
    <w:p>
      <w:pPr>
        <w:ind w:left="740" w:right="20" w:firstLine="1294"/>
        <w:spacing w:after="0" w:line="260" w:lineRule="auto"/>
        <w:tabs>
          <w:tab w:leader="none" w:pos="252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ectPr>
          <w:pgSz w:w="11900" w:h="16838" w:orient="portrait"/>
          <w:cols w:equalWidth="0" w:num="1">
            <w:col w:w="11420"/>
          </w:cols>
          <w:pgMar w:left="240" w:top="596" w:right="239" w:bottom="1440" w:gutter="0" w:footer="0" w:header="0"/>
        </w:sectPr>
      </w:pPr>
    </w:p>
    <w:bookmarkStart w:id="215" w:name="page216"/>
    <w:bookmarkEnd w:id="215"/>
    <w:p>
      <w:pPr>
        <w:jc w:val="both"/>
        <w:ind w:left="740" w:firstLine="1294"/>
        <w:spacing w:after="0" w:line="278" w:lineRule="auto"/>
        <w:tabs>
          <w:tab w:leader="none" w:pos="245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rights of the indemnifying Loan Guarantors against other Loan Guarantors under this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Liability Cumulative</w:t>
      </w:r>
      <w:r>
        <w:rPr>
          <w:rFonts w:ascii="Arial" w:cs="Arial" w:eastAsia="Arial" w:hAnsi="Arial"/>
          <w:sz w:val="20"/>
          <w:szCs w:val="20"/>
          <w:color w:val="auto"/>
        </w:rPr>
        <w:t xml:space="preserve">. The liability of each Loan Party as a Loan Guarantor under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Guarantee in respect of a Swap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Qualified ECP Guarantor shall only be liable under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remain in full force and effect until the termination of all Swap Obligations. Each Qualified ECP Guarantor intends that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420"/>
          </w:cols>
          <w:pgMar w:left="240" w:top="595" w:right="239" w:bottom="1440" w:gutter="0" w:footer="0" w:header="0"/>
        </w:sectPr>
      </w:pPr>
    </w:p>
    <w:bookmarkStart w:id="216" w:name="page217"/>
    <w:bookmarkEnd w:id="21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EXLSERVICE HOLDINGS, INC.</w:t>
      </w:r>
      <w:r>
        <w:rPr>
          <w:rFonts w:ascii="Arial" w:cs="Arial" w:eastAsia="Arial" w:hAnsi="Arial"/>
          <w:sz w:val="20"/>
          <w:szCs w:val="20"/>
          <w:color w:val="auto"/>
        </w:rPr>
        <w:t>, a Delaware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Vishal Chhibbar</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Vishal Chhibbar</w:t>
      </w:r>
    </w:p>
    <w:p>
      <w:pPr>
        <w:ind w:left="410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11420"/>
          </w:cols>
          <w:pgMar w:left="240" w:top="596" w:right="239" w:bottom="1440" w:gutter="0" w:footer="0" w:header="0"/>
        </w:sectPr>
      </w:pPr>
    </w:p>
    <w:bookmarkStart w:id="217" w:name="page218"/>
    <w:bookmarkEnd w:id="217"/>
    <w:p>
      <w:pPr>
        <w:ind w:left="2700"/>
        <w:spacing w:after="0"/>
        <w:rPr>
          <w:sz w:val="20"/>
          <w:szCs w:val="20"/>
          <w:color w:val="auto"/>
        </w:rPr>
      </w:pPr>
      <w:r>
        <w:rPr>
          <w:rFonts w:ascii="Arial" w:cs="Arial" w:eastAsia="Arial" w:hAnsi="Arial"/>
          <w:sz w:val="20"/>
          <w:szCs w:val="20"/>
          <w:b w:val="1"/>
          <w:bCs w:val="1"/>
          <w:color w:val="auto"/>
        </w:rPr>
        <w:t>LOAN GUARANTORS:</w:t>
      </w:r>
    </w:p>
    <w:p>
      <w:pPr>
        <w:spacing w:after="0" w:line="200" w:lineRule="exact"/>
        <w:rPr>
          <w:sz w:val="20"/>
          <w:szCs w:val="20"/>
          <w:color w:val="auto"/>
        </w:rPr>
      </w:pPr>
    </w:p>
    <w:p>
      <w:pPr>
        <w:spacing w:after="0" w:line="367"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EXLSERVICE.COM, LLC</w:t>
      </w:r>
      <w:r>
        <w:rPr>
          <w:rFonts w:ascii="Arial" w:cs="Arial" w:eastAsia="Arial" w:hAnsi="Arial"/>
          <w:sz w:val="20"/>
          <w:szCs w:val="20"/>
          <w:color w:val="auto"/>
        </w:rPr>
        <w:t>, a Delaware limited liability company</w:t>
      </w:r>
    </w:p>
    <w:p>
      <w:pPr>
        <w:spacing w:after="0" w:line="200" w:lineRule="exact"/>
        <w:rPr>
          <w:sz w:val="20"/>
          <w:szCs w:val="20"/>
          <w:color w:val="auto"/>
        </w:rPr>
      </w:pPr>
    </w:p>
    <w:p>
      <w:pPr>
        <w:spacing w:after="0" w:line="26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right="280"/>
        <w:spacing w:after="0" w:line="267" w:lineRule="auto"/>
        <w:rPr>
          <w:sz w:val="20"/>
          <w:szCs w:val="20"/>
          <w:color w:val="auto"/>
        </w:rPr>
      </w:pPr>
      <w:r>
        <w:rPr>
          <w:rFonts w:ascii="Arial" w:cs="Arial" w:eastAsia="Arial" w:hAnsi="Arial"/>
          <w:sz w:val="20"/>
          <w:szCs w:val="20"/>
          <w:b w:val="1"/>
          <w:bCs w:val="1"/>
          <w:color w:val="auto"/>
        </w:rPr>
        <w:t>EXLSERVICE TECHNOLOGY SOLUTIONS,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200" w:lineRule="exact"/>
        <w:rPr>
          <w:sz w:val="20"/>
          <w:szCs w:val="20"/>
          <w:color w:val="auto"/>
        </w:rPr>
      </w:pPr>
    </w:p>
    <w:p>
      <w:pPr>
        <w:spacing w:after="0" w:line="21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BUSINESS PROCESS OUTSOURCING, LLC</w:t>
      </w:r>
      <w:r>
        <w:rPr>
          <w:rFonts w:ascii="Arial" w:cs="Arial" w:eastAsia="Arial" w:hAnsi="Arial"/>
          <w:sz w:val="18"/>
          <w:szCs w:val="18"/>
          <w:color w:val="auto"/>
        </w:rPr>
        <w:t>, a Delaware limited liability company</w:t>
      </w:r>
    </w:p>
    <w:p>
      <w:pPr>
        <w:spacing w:after="0" w:line="200" w:lineRule="exact"/>
        <w:rPr>
          <w:sz w:val="20"/>
          <w:szCs w:val="20"/>
          <w:color w:val="auto"/>
        </w:rPr>
      </w:pPr>
    </w:p>
    <w:p>
      <w:pPr>
        <w:spacing w:after="0" w:line="28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OUTSOURCE PARTNERS INTERNATIONAL INC</w:t>
      </w:r>
      <w:r>
        <w:rPr>
          <w:rFonts w:ascii="Arial" w:cs="Arial" w:eastAsia="Arial" w:hAnsi="Arial"/>
          <w:sz w:val="20"/>
          <w:szCs w:val="20"/>
          <w:color w:val="auto"/>
        </w:rPr>
        <w:t>, a Delaware corporation</w:t>
      </w:r>
    </w:p>
    <w:p>
      <w:pPr>
        <w:spacing w:after="0" w:line="200" w:lineRule="exact"/>
        <w:rPr>
          <w:sz w:val="20"/>
          <w:szCs w:val="20"/>
          <w:color w:val="auto"/>
        </w:rPr>
      </w:pPr>
    </w:p>
    <w:p>
      <w:pPr>
        <w:spacing w:after="0" w:line="26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RPM DIRECT, LLC</w:t>
      </w:r>
      <w:r>
        <w:rPr>
          <w:rFonts w:ascii="Arial" w:cs="Arial" w:eastAsia="Arial" w:hAnsi="Arial"/>
          <w:sz w:val="20"/>
          <w:szCs w:val="20"/>
          <w:color w:val="auto"/>
        </w:rPr>
        <w:t>, a New Jersey limited liability company</w:t>
      </w:r>
    </w:p>
    <w:p>
      <w:pPr>
        <w:spacing w:after="0" w:line="200" w:lineRule="exact"/>
        <w:rPr>
          <w:sz w:val="20"/>
          <w:szCs w:val="20"/>
          <w:color w:val="auto"/>
        </w:rPr>
      </w:pPr>
    </w:p>
    <w:p>
      <w:pPr>
        <w:spacing w:after="0" w:line="26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OVERLAND HOLDINGS, INC</w:t>
      </w:r>
      <w:r>
        <w:rPr>
          <w:rFonts w:ascii="Arial" w:cs="Arial" w:eastAsia="Arial" w:hAnsi="Arial"/>
          <w:sz w:val="20"/>
          <w:szCs w:val="20"/>
          <w:color w:val="auto"/>
        </w:rPr>
        <w:t>, a Delaware corporation</w:t>
      </w:r>
    </w:p>
    <w:p>
      <w:pPr>
        <w:spacing w:after="0" w:line="23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200" w:lineRule="exact"/>
        <w:rPr>
          <w:sz w:val="20"/>
          <w:szCs w:val="20"/>
          <w:color w:val="auto"/>
        </w:rPr>
      </w:pPr>
    </w:p>
    <w:p>
      <w:pPr>
        <w:spacing w:after="0" w:line="26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9720"/>
          </w:cols>
          <w:pgMar w:left="1440" w:top="590" w:right="739" w:bottom="1440" w:gutter="0" w:footer="0" w:header="0"/>
        </w:sectPr>
      </w:pPr>
    </w:p>
    <w:bookmarkStart w:id="218" w:name="page219"/>
    <w:bookmarkEnd w:id="218"/>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spacing w:after="0" w:line="16" w:lineRule="exact"/>
        <w:rPr>
          <w:sz w:val="20"/>
          <w:szCs w:val="20"/>
          <w:color w:val="auto"/>
        </w:rPr>
      </w:pP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OVERLAND SOLUTIONS, INC</w:t>
      </w:r>
      <w:r>
        <w:rPr>
          <w:rFonts w:ascii="Arial" w:cs="Arial" w:eastAsia="Arial" w:hAnsi="Arial"/>
          <w:sz w:val="19"/>
          <w:szCs w:val="19"/>
          <w:color w:val="auto"/>
        </w:rPr>
        <w:t>, a Delaware corporation</w:t>
      </w:r>
    </w:p>
    <w:p>
      <w:pPr>
        <w:spacing w:after="0" w:line="24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Vishal Chhibbar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Vishal Chhibbar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9019"/>
          </w:cols>
          <w:pgMar w:left="1440" w:top="947" w:right="1440" w:bottom="1440" w:gutter="0" w:footer="0" w:header="0"/>
        </w:sectPr>
      </w:pPr>
    </w:p>
    <w:bookmarkStart w:id="219" w:name="page220"/>
    <w:bookmarkEnd w:id="219"/>
    <w:p>
      <w:pPr>
        <w:spacing w:after="0" w:line="37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individually as a Lender, as Administrative Agent and an Issuing Bank</w:t>
      </w:r>
    </w:p>
    <w:p>
      <w:pPr>
        <w:spacing w:after="0" w:line="200" w:lineRule="exact"/>
        <w:rPr>
          <w:sz w:val="20"/>
          <w:szCs w:val="20"/>
          <w:color w:val="auto"/>
        </w:rPr>
      </w:pPr>
    </w:p>
    <w:p>
      <w:pPr>
        <w:spacing w:after="0" w:line="28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Berry</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Berry</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4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9880"/>
          </w:cols>
          <w:pgMar w:left="1440" w:top="1440" w:right="579" w:bottom="1440" w:gutter="0" w:footer="0" w:header="0"/>
        </w:sectPr>
      </w:pPr>
    </w:p>
    <w:bookmarkStart w:id="220" w:name="page221"/>
    <w:bookmarkEnd w:id="220"/>
    <w:p>
      <w:pPr>
        <w:ind w:left="2700"/>
        <w:spacing w:after="0"/>
        <w:rPr>
          <w:sz w:val="20"/>
          <w:szCs w:val="20"/>
          <w:color w:val="auto"/>
        </w:rPr>
      </w:pPr>
      <w:r>
        <w:rPr>
          <w:rFonts w:ascii="Arial" w:cs="Arial" w:eastAsia="Arial" w:hAnsi="Arial"/>
          <w:sz w:val="20"/>
          <w:szCs w:val="20"/>
          <w:b w:val="1"/>
          <w:bCs w:val="1"/>
          <w:color w:val="auto"/>
        </w:rPr>
        <w:t>PNC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6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Richards</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Richards</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Managing Director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9019"/>
          </w:cols>
          <w:pgMar w:left="1440" w:top="1022" w:right="1440" w:bottom="1440" w:gutter="0" w:footer="0" w:header="0"/>
        </w:sectPr>
      </w:pPr>
    </w:p>
    <w:bookmarkStart w:id="221" w:name="page222"/>
    <w:bookmarkEnd w:id="221"/>
    <w:p>
      <w:pPr>
        <w:ind w:left="270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individually as a Lender</w:t>
      </w:r>
    </w:p>
    <w:p>
      <w:pPr>
        <w:spacing w:after="0" w:line="200" w:lineRule="exact"/>
        <w:rPr>
          <w:sz w:val="20"/>
          <w:szCs w:val="20"/>
          <w:color w:val="auto"/>
        </w:rPr>
      </w:pPr>
    </w:p>
    <w:p>
      <w:pPr>
        <w:spacing w:after="0" w:line="28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Landry</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Matthew Landry</w:t>
      </w:r>
    </w:p>
    <w:p>
      <w:pPr>
        <w:ind w:left="2900"/>
        <w:spacing w:after="0"/>
        <w:tabs>
          <w:tab w:leader="none" w:pos="3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Officer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EXL Credit Agreement]</w:t>
      </w:r>
    </w:p>
    <w:p>
      <w:pPr>
        <w:sectPr>
          <w:pgSz w:w="11900" w:h="16838" w:orient="portrait"/>
          <w:cols w:equalWidth="0" w:num="1">
            <w:col w:w="9019"/>
          </w:cols>
          <w:pgMar w:left="1440" w:top="1251" w:right="1440" w:bottom="1440" w:gutter="0" w:footer="0" w:header="0"/>
        </w:sectPr>
      </w:pPr>
    </w:p>
    <w:bookmarkStart w:id="222" w:name="page223"/>
    <w:bookmarkEnd w:id="222"/>
    <w:p>
      <w:pPr>
        <w:jc w:val="center"/>
        <w:ind w:right="219"/>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w:t>
      </w:r>
    </w:p>
    <w:p>
      <w:pPr>
        <w:spacing w:after="0" w:line="200" w:lineRule="exact"/>
        <w:rPr>
          <w:sz w:val="20"/>
          <w:szCs w:val="20"/>
          <w:color w:val="auto"/>
        </w:rPr>
      </w:pPr>
    </w:p>
    <w:p>
      <w:pPr>
        <w:spacing w:after="0" w:line="276"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Jana L. Baker</w:t>
      </w:r>
    </w:p>
    <w:p>
      <w:pPr>
        <w:spacing w:after="0" w:line="15" w:lineRule="exact"/>
        <w:rPr>
          <w:sz w:val="20"/>
          <w:szCs w:val="20"/>
          <w:color w:val="auto"/>
        </w:rPr>
      </w:pPr>
    </w:p>
    <w:p>
      <w:pPr>
        <w:ind w:left="2900"/>
        <w:spacing w:after="0"/>
        <w:tabs>
          <w:tab w:leader="none" w:pos="3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Jana L. Baker</w:t>
      </w:r>
    </w:p>
    <w:p>
      <w:pPr>
        <w:ind w:left="2900"/>
        <w:spacing w:after="0"/>
        <w:tabs>
          <w:tab w:leader="none" w:pos="3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EXL Credit Agreement]</w:t>
      </w:r>
    </w:p>
    <w:p>
      <w:pPr>
        <w:sectPr>
          <w:pgSz w:w="11900" w:h="16838" w:orient="portrait"/>
          <w:cols w:equalWidth="0" w:num="1">
            <w:col w:w="9019"/>
          </w:cols>
          <w:pgMar w:left="1440" w:top="1251" w:right="1440" w:bottom="1440" w:gutter="0" w:footer="0" w:header="0"/>
        </w:sectPr>
      </w:pPr>
    </w:p>
    <w:bookmarkStart w:id="223" w:name="page224"/>
    <w:bookmarkEnd w:id="223"/>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EXL Credit Agreement]</w:t>
      </w:r>
    </w:p>
    <w:p>
      <w:pPr>
        <w:sectPr>
          <w:pgSz w:w="11900" w:h="16838" w:orient="portrait"/>
          <w:cols w:equalWidth="0" w:num="1">
            <w:col w:w="9019"/>
          </w:cols>
          <w:pgMar w:left="1440" w:top="1440" w:right="1440" w:bottom="1440" w:gutter="0" w:footer="0" w:header="0"/>
        </w:sectPr>
      </w:pPr>
    </w:p>
    <w:bookmarkStart w:id="224" w:name="page225"/>
    <w:bookmarkEnd w:id="224"/>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EXL Credit Agreement]</w:t>
      </w:r>
    </w:p>
    <w:p>
      <w:pPr>
        <w:sectPr>
          <w:pgSz w:w="11900" w:h="16838" w:orient="portrait"/>
          <w:cols w:equalWidth="0" w:num="1">
            <w:col w:w="9019"/>
          </w:cols>
          <w:pgMar w:left="1440" w:top="1440" w:right="1440" w:bottom="1440" w:gutter="0" w:footer="0" w:header="0"/>
        </w:sectPr>
      </w:pPr>
    </w:p>
    <w:bookmarkStart w:id="225" w:name="page226"/>
    <w:bookmarkEnd w:id="225"/>
    <w:tbl>
      <w:tblPr>
        <w:tblLayout w:type="fixed"/>
        <w:tblInd w:w="10" w:type="dxa"/>
        <w:tblCellMar>
          <w:top w:w="0" w:type="dxa"/>
          <w:left w:w="0" w:type="dxa"/>
          <w:bottom w:w="0" w:type="dxa"/>
          <w:right w:w="0" w:type="dxa"/>
        </w:tblCellMar>
      </w:tblPr>
      <w:tr>
        <w:trPr>
          <w:trHeight w:val="250"/>
        </w:trPr>
        <w:tc>
          <w:tcPr>
            <w:tcW w:w="4200" w:type="dxa"/>
            <w:vAlign w:val="bottom"/>
          </w:tcPr>
          <w:p>
            <w:pPr>
              <w:spacing w:after="0"/>
              <w:rPr>
                <w:sz w:val="21"/>
                <w:szCs w:val="21"/>
                <w:color w:val="auto"/>
              </w:rPr>
            </w:pPr>
          </w:p>
        </w:tc>
        <w:tc>
          <w:tcPr>
            <w:tcW w:w="7220" w:type="dxa"/>
            <w:vAlign w:val="bottom"/>
            <w:gridSpan w:val="2"/>
          </w:tcPr>
          <w:p>
            <w:pPr>
              <w:ind w:left="280"/>
              <w:spacing w:after="0"/>
              <w:rPr>
                <w:sz w:val="20"/>
                <w:szCs w:val="20"/>
                <w:color w:val="auto"/>
              </w:rPr>
            </w:pPr>
            <w:r>
              <w:rPr>
                <w:rFonts w:ascii="Arial" w:cs="Arial" w:eastAsia="Arial" w:hAnsi="Arial"/>
                <w:sz w:val="20"/>
                <w:szCs w:val="20"/>
                <w:color w:val="auto"/>
              </w:rPr>
              <w:t>COMMITMENT SCHEDULE</w:t>
            </w:r>
          </w:p>
        </w:tc>
      </w:tr>
      <w:tr>
        <w:trPr>
          <w:trHeight w:val="347"/>
        </w:trPr>
        <w:tc>
          <w:tcPr>
            <w:tcW w:w="4200" w:type="dxa"/>
            <w:vAlign w:val="bottom"/>
            <w:tcBorders>
              <w:bottom w:val="single" w:sz="8" w:color="00000A"/>
            </w:tcBorders>
          </w:tcPr>
          <w:p>
            <w:pPr>
              <w:spacing w:after="0"/>
              <w:rPr>
                <w:sz w:val="24"/>
                <w:szCs w:val="24"/>
                <w:color w:val="auto"/>
              </w:rPr>
            </w:pPr>
          </w:p>
        </w:tc>
        <w:tc>
          <w:tcPr>
            <w:tcW w:w="3020" w:type="dxa"/>
            <w:vAlign w:val="bottom"/>
            <w:tcBorders>
              <w:bottom w:val="single" w:sz="8" w:color="00000A"/>
            </w:tcBorders>
          </w:tcPr>
          <w:p>
            <w:pPr>
              <w:spacing w:after="0"/>
              <w:rPr>
                <w:sz w:val="24"/>
                <w:szCs w:val="24"/>
                <w:color w:val="auto"/>
              </w:rPr>
            </w:pPr>
          </w:p>
        </w:tc>
        <w:tc>
          <w:tcPr>
            <w:tcW w:w="4200" w:type="dxa"/>
            <w:vAlign w:val="bottom"/>
            <w:tcBorders>
              <w:bottom w:val="single" w:sz="8" w:color="00000A"/>
            </w:tcBorders>
          </w:tcPr>
          <w:p>
            <w:pPr>
              <w:spacing w:after="0"/>
              <w:rPr>
                <w:sz w:val="24"/>
                <w:szCs w:val="24"/>
                <w:color w:val="auto"/>
              </w:rPr>
            </w:pPr>
          </w:p>
        </w:tc>
      </w:tr>
      <w:tr>
        <w:trPr>
          <w:trHeight w:val="254"/>
        </w:trPr>
        <w:tc>
          <w:tcPr>
            <w:tcW w:w="4200" w:type="dxa"/>
            <w:vAlign w:val="bottom"/>
            <w:tcBorders>
              <w:left w:val="single" w:sz="8" w:color="00000A"/>
            </w:tcBorders>
            <w:shd w:val="clear" w:color="auto" w:fill="D9D9D9"/>
          </w:tcPr>
          <w:p>
            <w:pPr>
              <w:ind w:left="3300"/>
              <w:spacing w:after="0"/>
              <w:rPr>
                <w:sz w:val="20"/>
                <w:szCs w:val="20"/>
                <w:color w:val="auto"/>
              </w:rPr>
            </w:pPr>
            <w:r>
              <w:rPr>
                <w:rFonts w:ascii="Arial" w:cs="Arial" w:eastAsia="Arial" w:hAnsi="Arial"/>
                <w:sz w:val="20"/>
                <w:szCs w:val="20"/>
                <w:b w:val="1"/>
                <w:bCs w:val="1"/>
                <w:color w:val="auto"/>
              </w:rPr>
              <w:t>Lender</w:t>
            </w:r>
          </w:p>
        </w:tc>
        <w:tc>
          <w:tcPr>
            <w:tcW w:w="3020" w:type="dxa"/>
            <w:vAlign w:val="bottom"/>
            <w:tcBorders>
              <w:right w:val="single" w:sz="8" w:color="00000A"/>
            </w:tcBorders>
            <w:shd w:val="clear" w:color="auto" w:fill="D9D9D9"/>
          </w:tcPr>
          <w:p>
            <w:pPr>
              <w:spacing w:after="0"/>
              <w:rPr>
                <w:sz w:val="22"/>
                <w:szCs w:val="22"/>
                <w:color w:val="auto"/>
              </w:rPr>
            </w:pPr>
          </w:p>
        </w:tc>
        <w:tc>
          <w:tcPr>
            <w:tcW w:w="4200" w:type="dxa"/>
            <w:vAlign w:val="bottom"/>
            <w:tcBorders>
              <w:right w:val="single" w:sz="8" w:color="00000A"/>
            </w:tcBorders>
            <w:shd w:val="clear" w:color="auto" w:fill="D9D9D9"/>
          </w:tcPr>
          <w:p>
            <w:pPr>
              <w:ind w:left="1280"/>
              <w:spacing w:after="0"/>
              <w:rPr>
                <w:sz w:val="20"/>
                <w:szCs w:val="20"/>
                <w:color w:val="auto"/>
              </w:rPr>
            </w:pPr>
            <w:r>
              <w:rPr>
                <w:rFonts w:ascii="Arial" w:cs="Arial" w:eastAsia="Arial" w:hAnsi="Arial"/>
                <w:sz w:val="20"/>
                <w:szCs w:val="20"/>
                <w:b w:val="1"/>
                <w:bCs w:val="1"/>
                <w:color w:val="auto"/>
              </w:rPr>
              <w:t>Total Commitment</w:t>
            </w:r>
          </w:p>
        </w:tc>
      </w:tr>
      <w:tr>
        <w:trPr>
          <w:trHeight w:val="131"/>
        </w:trPr>
        <w:tc>
          <w:tcPr>
            <w:tcW w:w="4200" w:type="dxa"/>
            <w:vAlign w:val="bottom"/>
            <w:tcBorders>
              <w:left w:val="single" w:sz="8" w:color="00000A"/>
              <w:bottom w:val="single" w:sz="8" w:color="00000A"/>
            </w:tcBorders>
            <w:shd w:val="clear" w:color="auto" w:fill="D9D9D9"/>
          </w:tcPr>
          <w:p>
            <w:pPr>
              <w:spacing w:after="0"/>
              <w:rPr>
                <w:sz w:val="11"/>
                <w:szCs w:val="11"/>
                <w:color w:val="auto"/>
              </w:rPr>
            </w:pPr>
          </w:p>
        </w:tc>
        <w:tc>
          <w:tcPr>
            <w:tcW w:w="3020" w:type="dxa"/>
            <w:vAlign w:val="bottom"/>
            <w:tcBorders>
              <w:bottom w:val="single" w:sz="8" w:color="00000A"/>
              <w:right w:val="single" w:sz="8" w:color="00000A"/>
            </w:tcBorders>
            <w:shd w:val="clear" w:color="auto" w:fill="D9D9D9"/>
          </w:tcPr>
          <w:p>
            <w:pPr>
              <w:spacing w:after="0"/>
              <w:rPr>
                <w:sz w:val="11"/>
                <w:szCs w:val="11"/>
                <w:color w:val="auto"/>
              </w:rPr>
            </w:pPr>
          </w:p>
        </w:tc>
        <w:tc>
          <w:tcPr>
            <w:tcW w:w="4200" w:type="dxa"/>
            <w:vAlign w:val="bottom"/>
            <w:tcBorders>
              <w:bottom w:val="single" w:sz="8" w:color="00000A"/>
              <w:right w:val="single" w:sz="8" w:color="00000A"/>
            </w:tcBorders>
            <w:shd w:val="clear" w:color="auto" w:fill="D9D9D9"/>
          </w:tcPr>
          <w:p>
            <w:pPr>
              <w:spacing w:after="0"/>
              <w:rPr>
                <w:sz w:val="11"/>
                <w:szCs w:val="11"/>
                <w:color w:val="auto"/>
              </w:rPr>
            </w:pPr>
          </w:p>
        </w:tc>
      </w:tr>
      <w:tr>
        <w:trPr>
          <w:trHeight w:val="254"/>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Citibank, N.A.</w:t>
            </w:r>
          </w:p>
        </w:tc>
        <w:tc>
          <w:tcPr>
            <w:tcW w:w="3020" w:type="dxa"/>
            <w:vAlign w:val="bottom"/>
            <w:tcBorders>
              <w:right w:val="single" w:sz="8" w:color="00000A"/>
            </w:tcBorders>
          </w:tcPr>
          <w:p>
            <w:pPr>
              <w:spacing w:after="0"/>
              <w:rPr>
                <w:sz w:val="22"/>
                <w:szCs w:val="22"/>
                <w:color w:val="auto"/>
              </w:rPr>
            </w:pPr>
          </w:p>
        </w:tc>
        <w:tc>
          <w:tcPr>
            <w:tcW w:w="4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$60,000,000</w:t>
            </w:r>
          </w:p>
        </w:tc>
      </w:tr>
      <w:tr>
        <w:trPr>
          <w:trHeight w:val="131"/>
        </w:trPr>
        <w:tc>
          <w:tcPr>
            <w:tcW w:w="4200" w:type="dxa"/>
            <w:vAlign w:val="bottom"/>
            <w:tcBorders>
              <w:left w:val="single" w:sz="8" w:color="00000A"/>
              <w:bottom w:val="single" w:sz="8" w:color="00000A"/>
            </w:tcBorders>
          </w:tcPr>
          <w:p>
            <w:pPr>
              <w:spacing w:after="0"/>
              <w:rPr>
                <w:sz w:val="11"/>
                <w:szCs w:val="11"/>
                <w:color w:val="auto"/>
              </w:rPr>
            </w:pPr>
          </w:p>
        </w:tc>
        <w:tc>
          <w:tcPr>
            <w:tcW w:w="3020" w:type="dxa"/>
            <w:vAlign w:val="bottom"/>
            <w:tcBorders>
              <w:bottom w:val="single" w:sz="8" w:color="00000A"/>
              <w:right w:val="single" w:sz="8" w:color="00000A"/>
            </w:tcBorders>
          </w:tcPr>
          <w:p>
            <w:pPr>
              <w:spacing w:after="0"/>
              <w:rPr>
                <w:sz w:val="11"/>
                <w:szCs w:val="11"/>
                <w:color w:val="auto"/>
              </w:rPr>
            </w:pPr>
          </w:p>
        </w:tc>
        <w:tc>
          <w:tcPr>
            <w:tcW w:w="4200" w:type="dxa"/>
            <w:vAlign w:val="bottom"/>
            <w:tcBorders>
              <w:bottom w:val="single" w:sz="8" w:color="00000A"/>
              <w:right w:val="single" w:sz="8" w:color="00000A"/>
            </w:tcBorders>
          </w:tcPr>
          <w:p>
            <w:pPr>
              <w:spacing w:after="0"/>
              <w:rPr>
                <w:sz w:val="11"/>
                <w:szCs w:val="11"/>
                <w:color w:val="auto"/>
              </w:rPr>
            </w:pPr>
          </w:p>
        </w:tc>
      </w:tr>
      <w:tr>
        <w:trPr>
          <w:trHeight w:val="254"/>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PNC Bank, N.A.</w:t>
            </w:r>
          </w:p>
        </w:tc>
        <w:tc>
          <w:tcPr>
            <w:tcW w:w="3020" w:type="dxa"/>
            <w:vAlign w:val="bottom"/>
            <w:tcBorders>
              <w:right w:val="single" w:sz="8" w:color="00000A"/>
            </w:tcBorders>
          </w:tcPr>
          <w:p>
            <w:pPr>
              <w:spacing w:after="0"/>
              <w:rPr>
                <w:sz w:val="22"/>
                <w:szCs w:val="22"/>
                <w:color w:val="auto"/>
              </w:rPr>
            </w:pPr>
          </w:p>
        </w:tc>
        <w:tc>
          <w:tcPr>
            <w:tcW w:w="4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$55,000,000</w:t>
            </w:r>
          </w:p>
        </w:tc>
      </w:tr>
      <w:tr>
        <w:trPr>
          <w:trHeight w:val="131"/>
        </w:trPr>
        <w:tc>
          <w:tcPr>
            <w:tcW w:w="4200" w:type="dxa"/>
            <w:vAlign w:val="bottom"/>
            <w:tcBorders>
              <w:left w:val="single" w:sz="8" w:color="00000A"/>
              <w:bottom w:val="single" w:sz="8" w:color="00000A"/>
            </w:tcBorders>
          </w:tcPr>
          <w:p>
            <w:pPr>
              <w:spacing w:after="0"/>
              <w:rPr>
                <w:sz w:val="11"/>
                <w:szCs w:val="11"/>
                <w:color w:val="auto"/>
              </w:rPr>
            </w:pPr>
          </w:p>
        </w:tc>
        <w:tc>
          <w:tcPr>
            <w:tcW w:w="3020" w:type="dxa"/>
            <w:vAlign w:val="bottom"/>
            <w:tcBorders>
              <w:bottom w:val="single" w:sz="8" w:color="00000A"/>
              <w:right w:val="single" w:sz="8" w:color="00000A"/>
            </w:tcBorders>
          </w:tcPr>
          <w:p>
            <w:pPr>
              <w:spacing w:after="0"/>
              <w:rPr>
                <w:sz w:val="11"/>
                <w:szCs w:val="11"/>
                <w:color w:val="auto"/>
              </w:rPr>
            </w:pPr>
          </w:p>
        </w:tc>
        <w:tc>
          <w:tcPr>
            <w:tcW w:w="4200" w:type="dxa"/>
            <w:vAlign w:val="bottom"/>
            <w:tcBorders>
              <w:bottom w:val="single" w:sz="8" w:color="00000A"/>
              <w:right w:val="single" w:sz="8" w:color="00000A"/>
            </w:tcBorders>
          </w:tcPr>
          <w:p>
            <w:pPr>
              <w:spacing w:after="0"/>
              <w:rPr>
                <w:sz w:val="11"/>
                <w:szCs w:val="11"/>
                <w:color w:val="auto"/>
              </w:rPr>
            </w:pPr>
          </w:p>
        </w:tc>
      </w:tr>
      <w:tr>
        <w:trPr>
          <w:trHeight w:val="254"/>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JPMorgan Chase Bank, N.A.</w:t>
            </w:r>
          </w:p>
        </w:tc>
        <w:tc>
          <w:tcPr>
            <w:tcW w:w="3020" w:type="dxa"/>
            <w:vAlign w:val="bottom"/>
            <w:tcBorders>
              <w:right w:val="single" w:sz="8" w:color="00000A"/>
            </w:tcBorders>
          </w:tcPr>
          <w:p>
            <w:pPr>
              <w:spacing w:after="0"/>
              <w:rPr>
                <w:sz w:val="22"/>
                <w:szCs w:val="22"/>
                <w:color w:val="auto"/>
              </w:rPr>
            </w:pPr>
          </w:p>
        </w:tc>
        <w:tc>
          <w:tcPr>
            <w:tcW w:w="4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$50,000,000</w:t>
            </w:r>
          </w:p>
        </w:tc>
      </w:tr>
      <w:tr>
        <w:trPr>
          <w:trHeight w:val="131"/>
        </w:trPr>
        <w:tc>
          <w:tcPr>
            <w:tcW w:w="4200" w:type="dxa"/>
            <w:vAlign w:val="bottom"/>
            <w:tcBorders>
              <w:left w:val="single" w:sz="8" w:color="00000A"/>
              <w:bottom w:val="single" w:sz="8" w:color="00000A"/>
            </w:tcBorders>
          </w:tcPr>
          <w:p>
            <w:pPr>
              <w:spacing w:after="0"/>
              <w:rPr>
                <w:sz w:val="11"/>
                <w:szCs w:val="11"/>
                <w:color w:val="auto"/>
              </w:rPr>
            </w:pPr>
          </w:p>
        </w:tc>
        <w:tc>
          <w:tcPr>
            <w:tcW w:w="3020" w:type="dxa"/>
            <w:vAlign w:val="bottom"/>
            <w:tcBorders>
              <w:bottom w:val="single" w:sz="8" w:color="00000A"/>
              <w:right w:val="single" w:sz="8" w:color="00000A"/>
            </w:tcBorders>
          </w:tcPr>
          <w:p>
            <w:pPr>
              <w:spacing w:after="0"/>
              <w:rPr>
                <w:sz w:val="11"/>
                <w:szCs w:val="11"/>
                <w:color w:val="auto"/>
              </w:rPr>
            </w:pPr>
          </w:p>
        </w:tc>
        <w:tc>
          <w:tcPr>
            <w:tcW w:w="4200" w:type="dxa"/>
            <w:vAlign w:val="bottom"/>
            <w:tcBorders>
              <w:bottom w:val="single" w:sz="8" w:color="00000A"/>
              <w:right w:val="single" w:sz="8" w:color="00000A"/>
            </w:tcBorders>
          </w:tcPr>
          <w:p>
            <w:pPr>
              <w:spacing w:after="0"/>
              <w:rPr>
                <w:sz w:val="11"/>
                <w:szCs w:val="11"/>
                <w:color w:val="auto"/>
              </w:rPr>
            </w:pPr>
          </w:p>
        </w:tc>
      </w:tr>
      <w:tr>
        <w:trPr>
          <w:trHeight w:val="254"/>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Bank of America, N.A.</w:t>
            </w:r>
          </w:p>
        </w:tc>
        <w:tc>
          <w:tcPr>
            <w:tcW w:w="3020" w:type="dxa"/>
            <w:vAlign w:val="bottom"/>
            <w:tcBorders>
              <w:right w:val="single" w:sz="8" w:color="00000A"/>
            </w:tcBorders>
          </w:tcPr>
          <w:p>
            <w:pPr>
              <w:spacing w:after="0"/>
              <w:rPr>
                <w:sz w:val="22"/>
                <w:szCs w:val="22"/>
                <w:color w:val="auto"/>
              </w:rPr>
            </w:pPr>
          </w:p>
        </w:tc>
        <w:tc>
          <w:tcPr>
            <w:tcW w:w="4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$35,000,000</w:t>
            </w:r>
          </w:p>
        </w:tc>
      </w:tr>
      <w:tr>
        <w:trPr>
          <w:trHeight w:val="131"/>
        </w:trPr>
        <w:tc>
          <w:tcPr>
            <w:tcW w:w="4200" w:type="dxa"/>
            <w:vAlign w:val="bottom"/>
            <w:tcBorders>
              <w:left w:val="single" w:sz="8" w:color="00000A"/>
              <w:bottom w:val="single" w:sz="8" w:color="00000A"/>
            </w:tcBorders>
          </w:tcPr>
          <w:p>
            <w:pPr>
              <w:spacing w:after="0"/>
              <w:rPr>
                <w:sz w:val="11"/>
                <w:szCs w:val="11"/>
                <w:color w:val="auto"/>
              </w:rPr>
            </w:pPr>
          </w:p>
        </w:tc>
        <w:tc>
          <w:tcPr>
            <w:tcW w:w="3020" w:type="dxa"/>
            <w:vAlign w:val="bottom"/>
            <w:tcBorders>
              <w:bottom w:val="single" w:sz="8" w:color="00000A"/>
              <w:right w:val="single" w:sz="8" w:color="00000A"/>
            </w:tcBorders>
          </w:tcPr>
          <w:p>
            <w:pPr>
              <w:spacing w:after="0"/>
              <w:rPr>
                <w:sz w:val="11"/>
                <w:szCs w:val="11"/>
                <w:color w:val="auto"/>
              </w:rPr>
            </w:pPr>
          </w:p>
        </w:tc>
        <w:tc>
          <w:tcPr>
            <w:tcW w:w="4200" w:type="dxa"/>
            <w:vAlign w:val="bottom"/>
            <w:tcBorders>
              <w:bottom w:val="single" w:sz="8" w:color="00000A"/>
              <w:right w:val="single" w:sz="8" w:color="00000A"/>
            </w:tcBorders>
          </w:tcPr>
          <w:p>
            <w:pPr>
              <w:spacing w:after="0"/>
              <w:rPr>
                <w:sz w:val="11"/>
                <w:szCs w:val="11"/>
                <w:color w:val="auto"/>
              </w:rPr>
            </w:pPr>
          </w:p>
        </w:tc>
      </w:tr>
      <w:tr>
        <w:trPr>
          <w:trHeight w:val="254"/>
        </w:trPr>
        <w:tc>
          <w:tcPr>
            <w:tcW w:w="4200" w:type="dxa"/>
            <w:vAlign w:val="bottom"/>
            <w:tcBorders>
              <w:left w:val="single" w:sz="8" w:color="00000A"/>
            </w:tcBorders>
          </w:tcPr>
          <w:p>
            <w:pPr>
              <w:ind w:left="3400"/>
              <w:spacing w:after="0"/>
              <w:rPr>
                <w:sz w:val="20"/>
                <w:szCs w:val="20"/>
                <w:color w:val="auto"/>
              </w:rPr>
            </w:pPr>
            <w:r>
              <w:rPr>
                <w:rFonts w:ascii="Arial" w:cs="Arial" w:eastAsia="Arial" w:hAnsi="Arial"/>
                <w:sz w:val="20"/>
                <w:szCs w:val="20"/>
                <w:b w:val="1"/>
                <w:bCs w:val="1"/>
                <w:color w:val="auto"/>
              </w:rPr>
              <w:t>Total</w:t>
            </w:r>
          </w:p>
        </w:tc>
        <w:tc>
          <w:tcPr>
            <w:tcW w:w="3020" w:type="dxa"/>
            <w:vAlign w:val="bottom"/>
            <w:tcBorders>
              <w:right w:val="single" w:sz="8" w:color="00000A"/>
            </w:tcBorders>
          </w:tcPr>
          <w:p>
            <w:pPr>
              <w:spacing w:after="0"/>
              <w:rPr>
                <w:sz w:val="22"/>
                <w:szCs w:val="22"/>
                <w:color w:val="auto"/>
              </w:rPr>
            </w:pPr>
          </w:p>
        </w:tc>
        <w:tc>
          <w:tcPr>
            <w:tcW w:w="4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$200,000,000</w:t>
            </w:r>
          </w:p>
        </w:tc>
      </w:tr>
      <w:tr>
        <w:trPr>
          <w:trHeight w:val="131"/>
        </w:trPr>
        <w:tc>
          <w:tcPr>
            <w:tcW w:w="4200" w:type="dxa"/>
            <w:vAlign w:val="bottom"/>
            <w:tcBorders>
              <w:left w:val="single" w:sz="8" w:color="00000A"/>
              <w:bottom w:val="single" w:sz="8" w:color="00000A"/>
            </w:tcBorders>
          </w:tcPr>
          <w:p>
            <w:pPr>
              <w:spacing w:after="0"/>
              <w:rPr>
                <w:sz w:val="11"/>
                <w:szCs w:val="11"/>
                <w:color w:val="auto"/>
              </w:rPr>
            </w:pPr>
          </w:p>
        </w:tc>
        <w:tc>
          <w:tcPr>
            <w:tcW w:w="3020" w:type="dxa"/>
            <w:vAlign w:val="bottom"/>
            <w:tcBorders>
              <w:bottom w:val="single" w:sz="8" w:color="00000A"/>
              <w:right w:val="single" w:sz="8" w:color="00000A"/>
            </w:tcBorders>
          </w:tcPr>
          <w:p>
            <w:pPr>
              <w:spacing w:after="0"/>
              <w:rPr>
                <w:sz w:val="11"/>
                <w:szCs w:val="11"/>
                <w:color w:val="auto"/>
              </w:rPr>
            </w:pPr>
          </w:p>
        </w:tc>
        <w:tc>
          <w:tcPr>
            <w:tcW w:w="4200" w:type="dxa"/>
            <w:vAlign w:val="bottom"/>
            <w:tcBorders>
              <w:bottom w:val="single" w:sz="8" w:color="00000A"/>
              <w:right w:val="single" w:sz="8" w:color="00000A"/>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Commitment Schedule</w:t>
      </w:r>
    </w:p>
    <w:p>
      <w:pPr>
        <w:sectPr>
          <w:pgSz w:w="11900" w:h="16838" w:orient="portrait"/>
          <w:cols w:equalWidth="0" w:num="1">
            <w:col w:w="11400"/>
          </w:cols>
          <w:pgMar w:left="240" w:top="595" w:right="2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0"/>
          <w:szCs w:val="20"/>
          <w:color w:val="auto"/>
        </w:rPr>
        <w:t>SCHEDULE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SUBORDINATION TERMS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on this Schedule, capitalized terms used in this Schedule shall have the meanings given to such terms in the Credit Agreement to which this Schedule is attached.</w:t>
      </w:r>
    </w:p>
    <w:p>
      <w:pPr>
        <w:spacing w:after="0" w:line="177" w:lineRule="exact"/>
        <w:rPr>
          <w:sz w:val="20"/>
          <w:szCs w:val="20"/>
          <w:color w:val="auto"/>
        </w:rPr>
      </w:pPr>
    </w:p>
    <w:p>
      <w:pPr>
        <w:jc w:val="both"/>
        <w:ind w:firstLine="656"/>
        <w:spacing w:after="0" w:line="246" w:lineRule="auto"/>
        <w:tabs>
          <w:tab w:leader="none" w:pos="99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payment (by setoff, redemption, repurchase or otherwise) of all principal, premium and interest in respect of the Subordinated Indebtedness (including with respect to any repurchases of any notes evidencing such Subordinated Indebtedness (the “</w:t>
      </w:r>
      <w:r>
        <w:rPr>
          <w:rFonts w:ascii="Arial" w:cs="Arial" w:eastAsia="Arial" w:hAnsi="Arial"/>
          <w:sz w:val="20"/>
          <w:szCs w:val="20"/>
          <w:u w:val="single" w:color="auto"/>
          <w:color w:val="auto"/>
        </w:rPr>
        <w:t>Subordinated Notes</w:t>
      </w:r>
      <w:r>
        <w:rPr>
          <w:rFonts w:ascii="Arial" w:cs="Arial" w:eastAsia="Arial" w:hAnsi="Arial"/>
          <w:sz w:val="20"/>
          <w:szCs w:val="20"/>
          <w:color w:val="auto"/>
        </w:rPr>
        <w:t>”)) shall be subordinated in right of payment to the prior payment in full in cash of all Obligations, but solely to the extent set forth in paragraphs 2, 3 and 4 below, whether outstanding on the date hereof or hereafter incurred.</w:t>
      </w:r>
    </w:p>
    <w:p>
      <w:pPr>
        <w:spacing w:after="0" w:line="191" w:lineRule="exact"/>
        <w:rPr>
          <w:rFonts w:ascii="Arial" w:cs="Arial" w:eastAsia="Arial" w:hAnsi="Arial"/>
          <w:sz w:val="20"/>
          <w:szCs w:val="20"/>
          <w:color w:val="auto"/>
        </w:rPr>
      </w:pPr>
    </w:p>
    <w:p>
      <w:pPr>
        <w:jc w:val="both"/>
        <w:ind w:firstLine="656"/>
        <w:spacing w:after="0" w:line="242" w:lineRule="auto"/>
        <w:tabs>
          <w:tab w:leader="none" w:pos="99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Upon any distribution to creditors of the applicable Loan Party upon any liquidation, dissolution or winding up of such Loan Party or in a bankruptcy, reorganization, insolvency, receivership or similar proceeding relating to such Loan Party or its property, whether voluntary or involuntary, an assignment for the benefit of creditors or any marshalling of such Loan Party’s assets and liabilities, the Credit Parties will be entitled to receive payment in full in cash of all Obligations due or to become due (including interest after the commencement of any such proceeding, at the rate specified in the Credit Agreement) before the holders of the Subordinated Indebtedness will be entitled to receive any payment of principal, premium or interest in respect thereof, and until all Obligations are paid in full in cash, any distribution of any kind or character to which the holders of the Subordinated Indebtedness would be entitled shall be made to the Administrative Agent, for the benefit of the Credit Parties.</w:t>
      </w:r>
    </w:p>
    <w:p>
      <w:pPr>
        <w:spacing w:after="0" w:line="197" w:lineRule="exact"/>
        <w:rPr>
          <w:rFonts w:ascii="Arial" w:cs="Arial" w:eastAsia="Arial" w:hAnsi="Arial"/>
          <w:sz w:val="20"/>
          <w:szCs w:val="20"/>
          <w:color w:val="auto"/>
        </w:rPr>
      </w:pPr>
    </w:p>
    <w:p>
      <w:pPr>
        <w:jc w:val="both"/>
        <w:ind w:firstLine="656"/>
        <w:spacing w:after="0" w:line="250" w:lineRule="auto"/>
        <w:tabs>
          <w:tab w:leader="none" w:pos="100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 Loan Party shall, directly or indirectly, (x) make any payment of principal, premium or interest in respect of the Subordinated Indebtedness, (y) acquire any of the Subordinated Notes for cash or property or (z) otherwise make any other distribution with respect to the Subordinated Indebtedness if:</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any Event of Default occurs and is continuing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of this Agreement, or</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721"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 any other Event of Default occurs and is continuing that permits the Administrative Agent or the Lenders to accelerate the Obligations and (ii) the holders of the Subordinated Indebtedness (or any agent or trustee therefor) receive a notice of such default from the Administrative Agent.</w:t>
      </w:r>
    </w:p>
    <w:p>
      <w:pPr>
        <w:spacing w:after="0" w:line="186" w:lineRule="exact"/>
        <w:rPr>
          <w:rFonts w:ascii="Arial" w:cs="Arial" w:eastAsia="Arial" w:hAnsi="Arial"/>
          <w:sz w:val="20"/>
          <w:szCs w:val="20"/>
          <w:color w:val="auto"/>
        </w:rPr>
      </w:pPr>
    </w:p>
    <w:p>
      <w:pPr>
        <w:jc w:val="both"/>
        <w:ind w:firstLine="656"/>
        <w:spacing w:after="0" w:line="278" w:lineRule="auto"/>
        <w:tabs>
          <w:tab w:leader="none" w:pos="9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event that any holder of Subordinated Indebtedness (or any agent or trustee therefor) receives any payment of any principal, premium or interest in respect of the Subordinated Indebtedness at a time when such payment is prohibited by the foregoing, such payment shall be held by such recipient, in trust for the benefit of, and shall be paid forthwith over and delivered to the Administrative Agent, for the benefit of the Credit Parties, for application to the payment of all Obligations remaining unpaid to the extent necessary to pay such Obligations in full in accordance with their terms, after giving effect to any concurrent payment or distribution to or for the Credit Parties.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1.01</w:t>
      </w:r>
    </w:p>
    <w:p>
      <w:pPr>
        <w:sectPr>
          <w:pgSz w:w="11900" w:h="16838" w:orient="portrait"/>
          <w:cols w:equalWidth="0" w:num="1">
            <w:col w:w="11420"/>
          </w:cols>
          <w:pgMar w:left="240" w:top="595"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(the “</w:t>
      </w:r>
      <w:r>
        <w:rPr>
          <w:rFonts w:ascii="Arial" w:cs="Arial" w:eastAsia="Arial" w:hAnsi="Arial"/>
          <w:sz w:val="19"/>
          <w:szCs w:val="19"/>
          <w:u w:val="single" w:color="auto"/>
          <w:color w:val="auto"/>
        </w:rPr>
        <w:t>Assignor</w:t>
      </w:r>
      <w:r>
        <w:rPr>
          <w:rFonts w:ascii="Arial" w:cs="Arial" w:eastAsia="Arial" w:hAnsi="Arial"/>
          <w:sz w:val="19"/>
          <w:szCs w:val="19"/>
          <w:color w:val="auto"/>
        </w:rPr>
        <w:t>”)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(the “</w:t>
      </w:r>
      <w:r>
        <w:rPr>
          <w:rFonts w:ascii="Arial" w:cs="Arial" w:eastAsia="Arial" w:hAnsi="Arial"/>
          <w:sz w:val="19"/>
          <w:szCs w:val="19"/>
          <w:u w:val="single" w:color="auto"/>
          <w:color w:val="auto"/>
        </w:rPr>
        <w:t>Assignee</w:t>
      </w:r>
      <w:r>
        <w:rPr>
          <w:rFonts w:ascii="Arial" w:cs="Arial" w:eastAsia="Arial" w:hAnsi="Arial"/>
          <w:sz w:val="19"/>
          <w:szCs w:val="19"/>
          <w:color w:val="auto"/>
        </w:rPr>
        <w:t>”). Capitalized terms used but not defined herein shall have the meanings given to them in the Credit Agreement identified below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 rights and obligations sold and assigned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-14605</wp:posOffset>
            </wp:positionV>
            <wp:extent cx="125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-14605</wp:posOffset>
            </wp:positionV>
            <wp:extent cx="125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[and is an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p>
    <w:p>
      <w:pPr>
        <w:spacing w:after="0" w:line="21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3.Borrower:</w:t>
      </w:r>
      <w:r>
        <w:rPr>
          <w:sz w:val="20"/>
          <w:szCs w:val="20"/>
          <w:color w:val="auto"/>
        </w:rPr>
        <w:tab/>
      </w:r>
      <w:r>
        <w:rPr>
          <w:rFonts w:ascii="Arial" w:cs="Arial" w:eastAsia="Arial" w:hAnsi="Arial"/>
          <w:sz w:val="18"/>
          <w:szCs w:val="18"/>
          <w:color w:val="auto"/>
        </w:rPr>
        <w:t>ExlService Holdings, Inc.</w:t>
      </w:r>
    </w:p>
    <w:p>
      <w:pPr>
        <w:spacing w:after="0" w:line="216"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20"/>
          <w:szCs w:val="20"/>
          <w:color w:val="auto"/>
        </w:rPr>
        <w:t>4.Administrative Agent:</w:t>
      </w:r>
      <w:r>
        <w:rPr>
          <w:sz w:val="20"/>
          <w:szCs w:val="20"/>
          <w:color w:val="auto"/>
        </w:rPr>
        <w:tab/>
      </w:r>
      <w:r>
        <w:rPr>
          <w:rFonts w:ascii="Arial" w:cs="Arial" w:eastAsia="Arial" w:hAnsi="Arial"/>
          <w:sz w:val="18"/>
          <w:szCs w:val="18"/>
          <w:color w:val="auto"/>
        </w:rPr>
        <w:t>Citibank, N.A., as the administrative agent under the Credit Agreement</w:t>
      </w:r>
    </w:p>
    <w:p>
      <w:pPr>
        <w:spacing w:after="0" w:line="216" w:lineRule="exact"/>
        <w:rPr>
          <w:sz w:val="20"/>
          <w:szCs w:val="20"/>
          <w:color w:val="auto"/>
        </w:rPr>
      </w:pPr>
    </w:p>
    <w:p>
      <w:pPr>
        <w:jc w:val="both"/>
        <w:ind w:left="2500" w:hanging="3713"/>
        <w:spacing w:after="0" w:line="250" w:lineRule="auto"/>
        <w:tabs>
          <w:tab w:leader="none" w:pos="2480" w:val="left"/>
        </w:tabs>
        <w:rPr>
          <w:sz w:val="20"/>
          <w:szCs w:val="20"/>
          <w:color w:val="auto"/>
        </w:rPr>
      </w:pPr>
      <w:r>
        <w:rPr>
          <w:rFonts w:ascii="Arial" w:cs="Arial" w:eastAsia="Arial" w:hAnsi="Arial"/>
          <w:sz w:val="20"/>
          <w:szCs w:val="20"/>
          <w:color w:val="auto"/>
        </w:rPr>
        <w:t>5.Credit Agreement:</w:t>
        <w:tab/>
        <w:t>The $200 million Credit Agreement dated as of November 21, 2017 among ExlService Holdings, Inc., the other Loan Parties party thereto, the Lenders parties thereto, and Citibank, N.A., as Administrative Agent</w:t>
      </w:r>
    </w:p>
    <w:p>
      <w:pPr>
        <w:spacing w:after="0" w:line="18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Assigned Interest: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420"/>
          </w:cols>
          <w:pgMar w:left="240" w:top="596" w:right="239" w:bottom="1440" w:gutter="0" w:footer="0" w:header="0"/>
        </w:sectPr>
      </w:pPr>
    </w:p>
    <w:bookmarkStart w:id="228" w:name="page229"/>
    <w:bookmarkEnd w:id="228"/>
    <w:tbl>
      <w:tblPr>
        <w:tblLayout w:type="fixed"/>
        <w:tblInd w:w="10" w:type="dxa"/>
        <w:tblCellMar>
          <w:top w:w="0" w:type="dxa"/>
          <w:left w:w="0" w:type="dxa"/>
          <w:bottom w:w="0" w:type="dxa"/>
          <w:right w:w="0" w:type="dxa"/>
        </w:tblCellMar>
      </w:tblPr>
      <w:tr>
        <w:trPr>
          <w:trHeight w:val="253"/>
        </w:trPr>
        <w:tc>
          <w:tcPr>
            <w:tcW w:w="3000" w:type="dxa"/>
            <w:vAlign w:val="bottom"/>
            <w:tcBorders>
              <w:top w:val="single" w:sz="8" w:color="00000A"/>
              <w:left w:val="single" w:sz="8" w:color="00000A"/>
              <w:right w:val="single" w:sz="8" w:color="00000A"/>
            </w:tcBorders>
          </w:tcPr>
          <w:p>
            <w:pPr>
              <w:spacing w:after="0"/>
              <w:rPr>
                <w:sz w:val="22"/>
                <w:szCs w:val="22"/>
                <w:color w:val="auto"/>
              </w:rPr>
            </w:pPr>
          </w:p>
        </w:tc>
        <w:tc>
          <w:tcPr>
            <w:tcW w:w="240" w:type="dxa"/>
            <w:vAlign w:val="bottom"/>
            <w:tcBorders>
              <w:top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jc w:val="center"/>
              <w:ind w:right="181"/>
              <w:spacing w:after="0"/>
              <w:rPr>
                <w:sz w:val="20"/>
                <w:szCs w:val="20"/>
                <w:color w:val="auto"/>
              </w:rPr>
            </w:pPr>
            <w:r>
              <w:rPr>
                <w:rFonts w:ascii="Arial" w:cs="Arial" w:eastAsia="Arial" w:hAnsi="Arial"/>
                <w:sz w:val="20"/>
                <w:szCs w:val="20"/>
                <w:color w:val="auto"/>
                <w:w w:val="92"/>
              </w:rPr>
              <w:t>Aggregate Amount of</w:t>
            </w:r>
          </w:p>
        </w:tc>
        <w:tc>
          <w:tcPr>
            <w:tcW w:w="140" w:type="dxa"/>
            <w:vAlign w:val="bottom"/>
            <w:tcBorders>
              <w:top w:val="single" w:sz="8" w:color="00000A"/>
            </w:tcBorders>
          </w:tcPr>
          <w:p>
            <w:pPr>
              <w:spacing w:after="0"/>
              <w:rPr>
                <w:sz w:val="22"/>
                <w:szCs w:val="22"/>
                <w:color w:val="auto"/>
              </w:rPr>
            </w:pPr>
          </w:p>
        </w:tc>
        <w:tc>
          <w:tcPr>
            <w:tcW w:w="2720" w:type="dxa"/>
            <w:vAlign w:val="bottom"/>
            <w:tcBorders>
              <w:top w:val="single" w:sz="8" w:color="00000A"/>
              <w:right w:val="single" w:sz="8" w:color="00000A"/>
            </w:tcBorders>
          </w:tcPr>
          <w:p>
            <w:pPr>
              <w:spacing w:after="0"/>
              <w:rPr>
                <w:sz w:val="22"/>
                <w:szCs w:val="22"/>
                <w:color w:val="auto"/>
              </w:rPr>
            </w:pPr>
          </w:p>
        </w:tc>
        <w:tc>
          <w:tcPr>
            <w:tcW w:w="2720" w:type="dxa"/>
            <w:vAlign w:val="bottom"/>
            <w:tcBorders>
              <w:top w:val="single" w:sz="8" w:color="00000A"/>
              <w:right w:val="single" w:sz="8" w:color="00000A"/>
            </w:tcBorders>
          </w:tcPr>
          <w:p>
            <w:pPr>
              <w:spacing w:after="0"/>
              <w:rPr>
                <w:sz w:val="22"/>
                <w:szCs w:val="22"/>
                <w:color w:val="auto"/>
              </w:rPr>
            </w:pPr>
          </w:p>
        </w:tc>
      </w:tr>
      <w:tr>
        <w:trPr>
          <w:trHeight w:val="230"/>
        </w:trPr>
        <w:tc>
          <w:tcPr>
            <w:tcW w:w="3000" w:type="dxa"/>
            <w:vAlign w:val="bottom"/>
            <w:tcBorders>
              <w:left w:val="single" w:sz="8" w:color="00000A"/>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Borders>
              <w:right w:val="single" w:sz="8" w:color="00000A"/>
            </w:tcBorders>
          </w:tcPr>
          <w:p>
            <w:pPr>
              <w:jc w:val="center"/>
              <w:ind w:right="161"/>
              <w:spacing w:after="0"/>
              <w:rPr>
                <w:sz w:val="20"/>
                <w:szCs w:val="20"/>
                <w:color w:val="auto"/>
              </w:rPr>
            </w:pPr>
            <w:r>
              <w:rPr>
                <w:rFonts w:ascii="Arial" w:cs="Arial" w:eastAsia="Arial" w:hAnsi="Arial"/>
                <w:sz w:val="20"/>
                <w:szCs w:val="20"/>
                <w:color w:val="auto"/>
                <w:w w:val="93"/>
              </w:rPr>
              <w:t>Commitment/Loans for all</w:t>
            </w:r>
          </w:p>
        </w:tc>
        <w:tc>
          <w:tcPr>
            <w:tcW w:w="140" w:type="dxa"/>
            <w:vAlign w:val="bottom"/>
          </w:tcPr>
          <w:p>
            <w:pPr>
              <w:spacing w:after="0"/>
              <w:rPr>
                <w:sz w:val="19"/>
                <w:szCs w:val="19"/>
                <w:color w:val="auto"/>
              </w:rPr>
            </w:pPr>
          </w:p>
        </w:tc>
        <w:tc>
          <w:tcPr>
            <w:tcW w:w="2720" w:type="dxa"/>
            <w:vAlign w:val="bottom"/>
            <w:tcBorders>
              <w:right w:val="single" w:sz="8" w:color="00000A"/>
            </w:tcBorders>
          </w:tcPr>
          <w:p>
            <w:pPr>
              <w:jc w:val="center"/>
              <w:ind w:right="81"/>
              <w:spacing w:after="0"/>
              <w:rPr>
                <w:sz w:val="20"/>
                <w:szCs w:val="20"/>
                <w:color w:val="auto"/>
              </w:rPr>
            </w:pPr>
            <w:r>
              <w:rPr>
                <w:rFonts w:ascii="Arial" w:cs="Arial" w:eastAsia="Arial" w:hAnsi="Arial"/>
                <w:sz w:val="20"/>
                <w:szCs w:val="20"/>
                <w:color w:val="auto"/>
                <w:w w:val="92"/>
              </w:rPr>
              <w:t>Amount of Commitment/Loans</w:t>
            </w:r>
          </w:p>
        </w:tc>
        <w:tc>
          <w:tcPr>
            <w:tcW w:w="272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color w:val="auto"/>
              </w:rPr>
              <w:t>Percentage Assigned of</w:t>
            </w:r>
          </w:p>
        </w:tc>
      </w:tr>
      <w:tr>
        <w:trPr>
          <w:trHeight w:val="250"/>
        </w:trPr>
        <w:tc>
          <w:tcPr>
            <w:tcW w:w="3000" w:type="dxa"/>
            <w:vAlign w:val="bottom"/>
            <w:tcBorders>
              <w:left w:val="single" w:sz="8" w:color="00000A"/>
              <w:right w:val="single" w:sz="8" w:color="00000A"/>
            </w:tcBorders>
          </w:tcPr>
          <w:p>
            <w:pPr>
              <w:ind w:left="800"/>
              <w:spacing w:after="0"/>
              <w:rPr>
                <w:sz w:val="20"/>
                <w:szCs w:val="20"/>
                <w:color w:val="auto"/>
              </w:rPr>
            </w:pPr>
            <w:r>
              <w:rPr>
                <w:rFonts w:ascii="Arial" w:cs="Arial" w:eastAsia="Arial" w:hAnsi="Arial"/>
                <w:sz w:val="20"/>
                <w:szCs w:val="20"/>
                <w:color w:val="auto"/>
              </w:rPr>
              <w:t>Facility Assigned</w:t>
            </w:r>
          </w:p>
        </w:tc>
        <w:tc>
          <w:tcPr>
            <w:tcW w:w="240" w:type="dxa"/>
            <w:vAlign w:val="bottom"/>
          </w:tcPr>
          <w:p>
            <w:pPr>
              <w:spacing w:after="0"/>
              <w:rPr>
                <w:sz w:val="21"/>
                <w:szCs w:val="21"/>
                <w:color w:val="auto"/>
              </w:rPr>
            </w:pPr>
          </w:p>
        </w:tc>
        <w:tc>
          <w:tcPr>
            <w:tcW w:w="2620" w:type="dxa"/>
            <w:vAlign w:val="bottom"/>
            <w:tcBorders>
              <w:right w:val="single" w:sz="8" w:color="00000A"/>
            </w:tcBorders>
          </w:tcPr>
          <w:p>
            <w:pPr>
              <w:jc w:val="center"/>
              <w:ind w:right="161"/>
              <w:spacing w:after="0"/>
              <w:rPr>
                <w:sz w:val="20"/>
                <w:szCs w:val="20"/>
                <w:color w:val="auto"/>
              </w:rPr>
            </w:pPr>
            <w:r>
              <w:rPr>
                <w:rFonts w:ascii="Arial" w:cs="Arial" w:eastAsia="Arial" w:hAnsi="Arial"/>
                <w:sz w:val="20"/>
                <w:szCs w:val="20"/>
                <w:color w:val="auto"/>
                <w:w w:val="88"/>
              </w:rPr>
              <w:t>Lenders</w:t>
            </w:r>
          </w:p>
        </w:tc>
        <w:tc>
          <w:tcPr>
            <w:tcW w:w="140" w:type="dxa"/>
            <w:vAlign w:val="bottom"/>
          </w:tcPr>
          <w:p>
            <w:pPr>
              <w:spacing w:after="0"/>
              <w:rPr>
                <w:sz w:val="21"/>
                <w:szCs w:val="21"/>
                <w:color w:val="auto"/>
              </w:rPr>
            </w:pPr>
          </w:p>
        </w:tc>
        <w:tc>
          <w:tcPr>
            <w:tcW w:w="2720" w:type="dxa"/>
            <w:vAlign w:val="bottom"/>
            <w:tcBorders>
              <w:right w:val="single" w:sz="8" w:color="00000A"/>
            </w:tcBorders>
          </w:tcPr>
          <w:p>
            <w:pPr>
              <w:jc w:val="center"/>
              <w:ind w:right="81"/>
              <w:spacing w:after="0"/>
              <w:rPr>
                <w:sz w:val="20"/>
                <w:szCs w:val="20"/>
                <w:color w:val="auto"/>
              </w:rPr>
            </w:pPr>
            <w:r>
              <w:rPr>
                <w:rFonts w:ascii="Arial" w:cs="Arial" w:eastAsia="Arial" w:hAnsi="Arial"/>
                <w:sz w:val="20"/>
                <w:szCs w:val="20"/>
                <w:color w:val="auto"/>
                <w:w w:val="89"/>
              </w:rPr>
              <w:t>Assigned</w:t>
            </w:r>
          </w:p>
        </w:tc>
        <w:tc>
          <w:tcPr>
            <w:tcW w:w="2720" w:type="dxa"/>
            <w:vAlign w:val="bottom"/>
            <w:tcBorders>
              <w:right w:val="single" w:sz="8" w:color="00000A"/>
            </w:tcBorders>
          </w:tcPr>
          <w:p>
            <w:pPr>
              <w:jc w:val="right"/>
              <w:ind w:right="481"/>
              <w:spacing w:after="0"/>
              <w:rPr>
                <w:sz w:val="20"/>
                <w:szCs w:val="20"/>
                <w:color w:val="auto"/>
              </w:rPr>
            </w:pPr>
            <w:r>
              <w:rPr>
                <w:rFonts w:ascii="Arial" w:cs="Arial" w:eastAsia="Arial" w:hAnsi="Arial"/>
                <w:sz w:val="20"/>
                <w:szCs w:val="20"/>
                <w:color w:val="auto"/>
              </w:rPr>
              <w:t>Commitment/Loans</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620" w:type="dxa"/>
            <w:vAlign w:val="bottom"/>
            <w:tcBorders>
              <w:right w:val="single" w:sz="8" w:color="00000A"/>
            </w:tcBorders>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spacing w:after="0"/>
              <w:rPr>
                <w:sz w:val="22"/>
                <w:szCs w:val="22"/>
                <w:color w:val="auto"/>
              </w:rPr>
            </w:pPr>
          </w:p>
        </w:tc>
        <w:tc>
          <w:tcPr>
            <w:tcW w:w="2720" w:type="dxa"/>
            <w:vAlign w:val="bottom"/>
            <w:tcBorders>
              <w:right w:val="single" w:sz="8" w:color="00000A"/>
            </w:tcBorders>
          </w:tcPr>
          <w:p>
            <w:pPr>
              <w:jc w:val="right"/>
              <w:ind w:right="230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620" w:type="dxa"/>
            <w:vAlign w:val="bottom"/>
            <w:tcBorders>
              <w:right w:val="single" w:sz="8" w:color="00000A"/>
            </w:tcBorders>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spacing w:after="0"/>
              <w:rPr>
                <w:sz w:val="22"/>
                <w:szCs w:val="22"/>
                <w:color w:val="auto"/>
              </w:rPr>
            </w:pPr>
          </w:p>
        </w:tc>
        <w:tc>
          <w:tcPr>
            <w:tcW w:w="2720" w:type="dxa"/>
            <w:vAlign w:val="bottom"/>
            <w:tcBorders>
              <w:right w:val="single" w:sz="8" w:color="00000A"/>
            </w:tcBorders>
          </w:tcPr>
          <w:p>
            <w:pPr>
              <w:jc w:val="right"/>
              <w:ind w:right="230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2620" w:type="dxa"/>
            <w:vAlign w:val="bottom"/>
            <w:tcBorders>
              <w:right w:val="single" w:sz="8" w:color="00000A"/>
            </w:tcBorders>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spacing w:after="0"/>
              <w:rPr>
                <w:sz w:val="22"/>
                <w:szCs w:val="22"/>
                <w:color w:val="auto"/>
              </w:rPr>
            </w:pPr>
          </w:p>
        </w:tc>
        <w:tc>
          <w:tcPr>
            <w:tcW w:w="2720" w:type="dxa"/>
            <w:vAlign w:val="bottom"/>
            <w:tcBorders>
              <w:right w:val="single" w:sz="8" w:color="00000A"/>
            </w:tcBorders>
          </w:tcPr>
          <w:p>
            <w:pPr>
              <w:jc w:val="right"/>
              <w:ind w:right="230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40" w:type="dxa"/>
            <w:vAlign w:val="bottom"/>
            <w:tcBorders>
              <w:bottom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4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ASSIGNOR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ASSIGNEE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440"/>
          </w:cols>
          <w:pgMar w:left="240" w:top="728" w:right="21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Consented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CITIBANK,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[REQUIRED LENDERS]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EXLSERVICE HOLDINGS,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2" w:lineRule="exact"/>
        <w:rPr>
          <w:sz w:val="20"/>
          <w:szCs w:val="20"/>
          <w:color w:val="auto"/>
        </w:rPr>
      </w:pPr>
    </w:p>
    <w:p>
      <w:pPr>
        <w:jc w:val="right"/>
        <w:ind w:right="4079"/>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0219"/>
          </w:cols>
          <w:pgMar w:left="240" w:top="1028"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color w:val="auto"/>
        </w:rPr>
        <w:t>ANNEX 1</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STANDARD TERMS AND CONDITIONS FOR</w:t>
      </w:r>
    </w:p>
    <w:p>
      <w:pPr>
        <w:ind w:left="4180"/>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(i) that it has full power and authority, and has taken all action necessary, to execute and deliver this Assignment and Assumption and to consummate the transactions contemplated hereby and to become a Lender under the Credit Agreement, (ii) that it satisfies the requirements, if any, specified in the Credit Agreement that are required to be satisfied by it in order to acquire the Assigned Interest and become a Lender, (iii) that from and after the Effective Date, it shall be bound by the provisions of the Credit Agreement as a Lender thereunder and, to the extent of the Assigned Interest, shall have the obligations of a Lender thereunder, (iv) that it has received a copy of the Credit Agreement, together with copies of the most recent financial statements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(v) that if it is a Foreign Lender, attached to the Assignment and Assumption is any documentation required to be delivered by it pursuant to the terms of the Credit Agreement, duly completed and executed by the Assignee, and (vi) to the Administrative Agent, the Lead Arrangers and their respective Affiliates, and not, for the avoidance of doubt, for the benefit of the Borrower or any other Loan Party, that from and after the Effective Date it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3" w:lineRule="exact"/>
        <w:rPr>
          <w:sz w:val="20"/>
          <w:szCs w:val="20"/>
          <w:color w:val="auto"/>
        </w:rPr>
      </w:pPr>
    </w:p>
    <w:p>
      <w:pPr>
        <w:jc w:val="both"/>
        <w:ind w:firstLine="656"/>
        <w:spacing w:after="0" w:line="269" w:lineRule="auto"/>
        <w:tabs>
          <w:tab w:leader="none" w:pos="99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420"/>
          </w:cols>
          <w:pgMar w:left="240" w:top="825" w:right="239" w:bottom="1440" w:gutter="0" w:footer="0" w:header="0"/>
        </w:sectPr>
      </w:pPr>
    </w:p>
    <w:bookmarkStart w:id="231" w:name="page232"/>
    <w:bookmarkEnd w:id="231"/>
    <w:p>
      <w:pPr>
        <w:jc w:val="both"/>
        <w:ind w:firstLine="656"/>
        <w:spacing w:after="0" w:line="260" w:lineRule="auto"/>
        <w:tabs>
          <w:tab w:leader="none" w:pos="977"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fax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420"/>
          </w:cols>
          <w:pgMar w:left="240" w:top="595" w:right="2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COMPLIANCE CERTIFICATE</w:t>
      </w:r>
    </w:p>
    <w:p>
      <w:pPr>
        <w:sectPr>
          <w:pgSz w:w="11900" w:h="16838" w:orient="portrait"/>
          <w:cols w:equalWidth="0" w:num="1">
            <w:col w:w="11420"/>
          </w:cols>
          <w:pgMar w:left="240" w:top="595"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Lenders parties to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Described Below</w:t>
      </w:r>
    </w:p>
    <w:p>
      <w:pPr>
        <w:spacing w:after="0" w:line="200" w:lineRule="exact"/>
        <w:rPr>
          <w:sz w:val="20"/>
          <w:szCs w:val="20"/>
          <w:color w:val="auto"/>
        </w:rPr>
      </w:pPr>
    </w:p>
    <w:p>
      <w:pPr>
        <w:sectPr>
          <w:pgSz w:w="11900" w:h="16838" w:orient="portrait"/>
          <w:cols w:equalWidth="0" w:num="2">
            <w:col w:w="260" w:space="400"/>
            <w:col w:w="10760"/>
          </w:cols>
          <w:pgMar w:left="240" w:top="595"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Date: [●]</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Compliance Certificate is furnished pursuant to that certain Credit Agreement dated as of November 21, 2017 (as amended, restated, amended and restated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ExlService Holdings,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the Lenders party thereto, the Issuing Banks party thereto and Citibank, N.A., as Administrative Agent for the Lenders. Unless otherwise defined herein, capitalized terms used in this Compliance Certificate have the meanings ascribed thereto in the Credit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CERTIFIES THAT:</w:t>
      </w:r>
    </w:p>
    <w:p>
      <w:pPr>
        <w:spacing w:after="0" w:line="216" w:lineRule="exact"/>
        <w:rPr>
          <w:sz w:val="20"/>
          <w:szCs w:val="20"/>
          <w:color w:val="auto"/>
        </w:rPr>
      </w:pPr>
    </w:p>
    <w:p>
      <w:pPr>
        <w:ind w:left="980" w:hanging="324"/>
        <w:spacing w:after="0"/>
        <w:tabs>
          <w:tab w:leader="none" w:pos="9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 am the duly elected [●] of the Borrower;</w:t>
      </w:r>
    </w:p>
    <w:p>
      <w:pPr>
        <w:spacing w:after="0" w:line="215" w:lineRule="exact"/>
        <w:rPr>
          <w:rFonts w:ascii="Arial" w:cs="Arial" w:eastAsia="Arial" w:hAnsi="Arial"/>
          <w:sz w:val="20"/>
          <w:szCs w:val="20"/>
          <w:color w:val="auto"/>
        </w:rPr>
      </w:pPr>
    </w:p>
    <w:p>
      <w:pPr>
        <w:jc w:val="both"/>
        <w:ind w:firstLine="656"/>
        <w:spacing w:after="0" w:line="258" w:lineRule="auto"/>
        <w:tabs>
          <w:tab w:leader="none" w:pos="100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 [</w:t>
      </w:r>
      <w:r>
        <w:rPr>
          <w:rFonts w:ascii="Arial" w:cs="Arial" w:eastAsia="Arial" w:hAnsi="Arial"/>
          <w:sz w:val="19"/>
          <w:szCs w:val="19"/>
          <w:b w:val="1"/>
          <w:bCs w:val="1"/>
          <w:color w:val="auto"/>
        </w:rPr>
        <w:t>for quarterly financial statements add:</w:t>
      </w:r>
      <w:r>
        <w:rPr>
          <w:rFonts w:ascii="Arial" w:cs="Arial" w:eastAsia="Arial" w:hAnsi="Arial"/>
          <w:sz w:val="19"/>
          <w:szCs w:val="19"/>
          <w:color w:val="auto"/>
        </w:rPr>
        <w:t xml:space="preserve"> and such financial statements present fairly in all material respects the financial condition and results of operations of the Borrower and its consolidated Subsidiaries on a consolidated basis in accordance with GAAP consistently applied, subject to normal year-end audit adjustments and the absence of footnotes] [</w:t>
      </w:r>
      <w:r>
        <w:rPr>
          <w:rFonts w:ascii="Arial" w:cs="Arial" w:eastAsia="Arial" w:hAnsi="Arial"/>
          <w:sz w:val="19"/>
          <w:szCs w:val="19"/>
          <w:b w:val="1"/>
          <w:bCs w:val="1"/>
          <w:color w:val="auto"/>
        </w:rPr>
        <w:t>for annual financial statements add:</w:t>
      </w:r>
      <w:r>
        <w:rPr>
          <w:rFonts w:ascii="Arial" w:cs="Arial" w:eastAsia="Arial" w:hAnsi="Arial"/>
          <w:sz w:val="19"/>
          <w:szCs w:val="19"/>
          <w:color w:val="auto"/>
        </w:rPr>
        <w:t xml:space="preserve"> and such financial statements present fairly in all material respects the financial condition and results of operations of the Borrower and its consolidated Subsidiaries on a consolidating basis in accordance with GAAP consistently applied];</w:t>
      </w:r>
    </w:p>
    <w:p>
      <w:pPr>
        <w:spacing w:after="0" w:line="179" w:lineRule="exact"/>
        <w:rPr>
          <w:rFonts w:ascii="Arial" w:cs="Arial" w:eastAsia="Arial" w:hAnsi="Arial"/>
          <w:sz w:val="19"/>
          <w:szCs w:val="19"/>
          <w:color w:val="auto"/>
        </w:rPr>
      </w:pPr>
    </w:p>
    <w:p>
      <w:pPr>
        <w:jc w:val="both"/>
        <w:ind w:firstLine="656"/>
        <w:spacing w:after="0" w:line="282" w:lineRule="auto"/>
        <w:tabs>
          <w:tab w:leader="none" w:pos="97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[December 31, 2016] [the end date of the financial statements most recently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of the Credit Agreement];</w:t>
      </w:r>
    </w:p>
    <w:p>
      <w:pPr>
        <w:spacing w:after="0" w:line="161" w:lineRule="exact"/>
        <w:rPr>
          <w:rFonts w:ascii="Arial" w:cs="Arial" w:eastAsia="Arial" w:hAnsi="Arial"/>
          <w:sz w:val="18"/>
          <w:szCs w:val="18"/>
          <w:color w:val="auto"/>
        </w:rPr>
      </w:pPr>
    </w:p>
    <w:p>
      <w:pPr>
        <w:jc w:val="both"/>
        <w:ind w:right="20" w:firstLine="656"/>
        <w:spacing w:after="0" w:line="250" w:lineRule="auto"/>
        <w:tabs>
          <w:tab w:leader="none" w:pos="9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 hereby certify that no Loan Party has changed (i) its name, (ii) its chief executive office, (iii) principal place of business, (iv) the type of entity it is or (v) its state of incorporation or organization without having given the Agent the notice required by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of the Security Agreement;</w:t>
      </w:r>
    </w:p>
    <w:p>
      <w:pPr>
        <w:spacing w:after="0" w:line="186" w:lineRule="exact"/>
        <w:rPr>
          <w:rFonts w:ascii="Arial" w:cs="Arial" w:eastAsia="Arial" w:hAnsi="Arial"/>
          <w:sz w:val="20"/>
          <w:szCs w:val="20"/>
          <w:color w:val="auto"/>
        </w:rPr>
      </w:pPr>
    </w:p>
    <w:p>
      <w:pPr>
        <w:ind w:firstLine="656"/>
        <w:spacing w:after="0" w:line="316" w:lineRule="auto"/>
        <w:tabs>
          <w:tab w:leader="none" w:pos="1044"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the Borrower’s compliance with the Financial Covenants and </w:t>
      </w:r>
      <w:r>
        <w:rPr>
          <w:rFonts w:ascii="Arial" w:cs="Arial" w:eastAsia="Arial" w:hAnsi="Arial"/>
          <w:sz w:val="18"/>
          <w:szCs w:val="18"/>
          <w:u w:val="single" w:color="auto"/>
          <w:color w:val="auto"/>
        </w:rPr>
        <w:t>Sections 6.11(a)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all of which data and computations are true, complete and correct; and</w:t>
      </w:r>
    </w:p>
    <w:p>
      <w:pPr>
        <w:spacing w:after="0" w:line="130" w:lineRule="exact"/>
        <w:rPr>
          <w:rFonts w:ascii="Arial" w:cs="Arial" w:eastAsia="Arial" w:hAnsi="Arial"/>
          <w:sz w:val="18"/>
          <w:szCs w:val="18"/>
          <w:color w:val="auto"/>
        </w:rPr>
      </w:pPr>
    </w:p>
    <w:p>
      <w:pPr>
        <w:ind w:firstLine="656"/>
        <w:spacing w:after="0" w:line="260" w:lineRule="auto"/>
        <w:tabs>
          <w:tab w:leader="none" w:pos="1017"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hereto sets forth the computations necessary to determine the Applicable Rate commencing on the Business Day this certificate is delivered.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420"/>
          </w:cols>
          <w:pgMar w:left="240" w:top="595" w:right="239" w:bottom="1440" w:gutter="0" w:footer="0" w:header="0"/>
          <w:type w:val="continuous"/>
        </w:sectPr>
      </w:pPr>
    </w:p>
    <w:bookmarkStart w:id="233" w:name="page234"/>
    <w:bookmarkEnd w:id="233"/>
    <w:p>
      <w:pPr>
        <w:ind w:firstLine="648"/>
        <w:spacing w:after="0" w:line="275" w:lineRule="auto"/>
        <w:rPr>
          <w:sz w:val="20"/>
          <w:szCs w:val="20"/>
          <w:color w:val="auto"/>
        </w:rPr>
      </w:pPr>
      <w:r>
        <w:rPr>
          <w:rFonts w:ascii="Arial" w:cs="Arial" w:eastAsia="Arial" w:hAnsi="Arial"/>
          <w:sz w:val="18"/>
          <w:szCs w:val="18"/>
          <w:color w:val="auto"/>
        </w:rPr>
        <w:t>Described below are the exceptions, if any, to paragraph 3 by listing, in detail, the (i) nature of the condition or event, the period during which it has existed and the action which the Borrower has taken, is taking, or proposes to take with respect to each such condition or event or</w:t>
      </w:r>
    </w:p>
    <w:p>
      <w:pPr>
        <w:spacing w:after="0" w:line="1" w:lineRule="exact"/>
        <w:rPr>
          <w:sz w:val="20"/>
          <w:szCs w:val="20"/>
          <w:color w:val="auto"/>
        </w:rPr>
      </w:pPr>
    </w:p>
    <w:p>
      <w:pPr>
        <w:ind w:left="660" w:right="2200" w:hanging="652"/>
        <w:spacing w:after="0" w:line="540" w:lineRule="auto"/>
        <w:tabs>
          <w:tab w:leader="none" w:pos="24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change in GAAP or the application thereof and the effect of such change on the attached financial statements: [●]</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420"/>
          </w:cols>
          <w:pgMar w:left="240" w:top="596" w:right="239" w:bottom="1440" w:gutter="0" w:footer="0" w:header="0"/>
        </w:sectPr>
      </w:pPr>
    </w:p>
    <w:bookmarkStart w:id="234" w:name="page235"/>
    <w:bookmarkEnd w:id="234"/>
    <w:p>
      <w:pPr>
        <w:ind w:firstLine="648"/>
        <w:spacing w:after="0" w:line="260" w:lineRule="auto"/>
        <w:rPr>
          <w:sz w:val="20"/>
          <w:szCs w:val="20"/>
          <w:color w:val="auto"/>
        </w:rPr>
      </w:pPr>
      <w:r>
        <w:rPr>
          <w:rFonts w:ascii="Arial" w:cs="Arial" w:eastAsia="Arial" w:hAnsi="Arial"/>
          <w:sz w:val="20"/>
          <w:szCs w:val="20"/>
          <w:color w:val="auto"/>
        </w:rPr>
        <w:t>The foregoing certifications, together with the computations set forth in Schedule I and Schedule II hereto and the financial statements delivered with this Certificate in support hereof, are made and delivered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EXLSERVICE HOLDINGS,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2514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420"/>
          </w:cols>
          <w:pgMar w:left="240" w:top="59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color w:val="auto"/>
        </w:rPr>
        <w:t>SCHEDULE I</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Compliance as of _________, ____ with</w:t>
      </w:r>
    </w:p>
    <w:p>
      <w:pPr>
        <w:ind w:left="3560"/>
        <w:spacing w:after="0"/>
        <w:rPr>
          <w:sz w:val="20"/>
          <w:szCs w:val="20"/>
          <w:color w:val="auto"/>
        </w:rPr>
      </w:pPr>
      <w:r>
        <w:rPr>
          <w:rFonts w:ascii="Arial" w:cs="Arial" w:eastAsia="Arial" w:hAnsi="Arial"/>
          <w:sz w:val="20"/>
          <w:szCs w:val="20"/>
          <w:color w:val="auto"/>
        </w:rPr>
        <w:t>the Financial Covenants</w:t>
      </w: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0220"/>
          </w:cols>
          <w:pgMar w:left="1440" w:top="596"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0"/>
          <w:szCs w:val="20"/>
          <w:color w:val="auto"/>
        </w:rPr>
        <w:t>SCHEDULE II</w:t>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Borrower’s Applicable Rate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0220"/>
          </w:cols>
          <w:pgMar w:left="1440" w:top="595"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JOINDER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 is entered into between [●], a [●] (the “</w:t>
      </w:r>
      <w:r>
        <w:rPr>
          <w:rFonts w:ascii="Arial" w:cs="Arial" w:eastAsia="Arial" w:hAnsi="Arial"/>
          <w:sz w:val="19"/>
          <w:szCs w:val="19"/>
          <w:u w:val="single" w:color="auto"/>
          <w:color w:val="auto"/>
        </w:rPr>
        <w:t>New Subsidiary</w:t>
      </w:r>
      <w:r>
        <w:rPr>
          <w:rFonts w:ascii="Arial" w:cs="Arial" w:eastAsia="Arial" w:hAnsi="Arial"/>
          <w:sz w:val="19"/>
          <w:szCs w:val="19"/>
          <w:color w:val="auto"/>
        </w:rPr>
        <w:t>”) and CITIBANK, N.A., in its capacity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Credit Agreement, dated as of November 21, 2017 among ExlService Holdings, Inc. (the “</w:t>
      </w:r>
      <w:r>
        <w:rPr>
          <w:rFonts w:ascii="Arial" w:cs="Arial" w:eastAsia="Arial" w:hAnsi="Arial"/>
          <w:sz w:val="19"/>
          <w:szCs w:val="19"/>
          <w:u w:val="single" w:color="auto"/>
          <w:color w:val="auto"/>
        </w:rPr>
        <w:t>Borrower</w:t>
      </w:r>
      <w:r>
        <w:rPr>
          <w:rFonts w:ascii="Arial" w:cs="Arial" w:eastAsia="Arial" w:hAnsi="Arial"/>
          <w:sz w:val="19"/>
          <w:szCs w:val="19"/>
          <w:color w:val="auto"/>
        </w:rPr>
        <w:t>”), the Loan Parties party thereto, the Lenders party thereto and the Administrative Agent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All capitalized terms used herein and not otherwise defined shall have the meanings set forth in the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Subsidiary and the Administrative Agent, for the benefit of the Lenders, hereby agree as follows:</w:t>
      </w:r>
    </w:p>
    <w:p>
      <w:pPr>
        <w:spacing w:after="0" w:line="216" w:lineRule="exact"/>
        <w:rPr>
          <w:sz w:val="20"/>
          <w:szCs w:val="20"/>
          <w:color w:val="auto"/>
        </w:rPr>
      </w:pPr>
    </w:p>
    <w:p>
      <w:pPr>
        <w:jc w:val="both"/>
        <w:ind w:firstLine="656"/>
        <w:spacing w:after="0" w:line="269" w:lineRule="auto"/>
        <w:tabs>
          <w:tab w:leader="none" w:pos="10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Credit Agreement,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(b) all of the covenants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Articles V</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 all of the guaranty obligations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Without limiting the generality of the foregoing terms of this paragraph 1, the New Subsidiary, subject to the limitations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of the Credit Agreement, hereby guarantees, jointly and severally with the other Loan Guarantors, to the Administrative Agent and the Lenders, as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Arial" w:cs="Arial" w:eastAsia="Arial" w:hAnsi="Arial"/>
          <w:sz w:val="18"/>
          <w:szCs w:val="18"/>
          <w:b w:val="1"/>
          <w:bCs w:val="1"/>
          <w:color w:val="auto"/>
        </w:rPr>
        <w:t>]* *[</w:t>
      </w:r>
      <w:r>
        <w:rPr>
          <w:rFonts w:ascii="Arial" w:cs="Arial" w:eastAsia="Arial" w:hAnsi="Arial"/>
          <w:sz w:val="18"/>
          <w:szCs w:val="18"/>
          <w:color w:val="auto"/>
        </w:rPr>
        <w:t>The New Subsidiary has delivered to the Administrative Agent an executed Loan Guaranty.</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color w:val="auto"/>
        </w:rPr>
      </w:pPr>
    </w:p>
    <w:p>
      <w:pPr>
        <w:ind w:firstLine="656"/>
        <w:spacing w:after="0" w:line="316" w:lineRule="auto"/>
        <w:tabs>
          <w:tab w:leader="none" w:pos="10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The address of the New Subsidiary for purposes of </w:t>
      </w: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of the Credit Agreement is as follows: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70" w:lineRule="exact"/>
        <w:rPr>
          <w:sz w:val="20"/>
          <w:szCs w:val="20"/>
          <w:color w:val="auto"/>
        </w:rPr>
      </w:pPr>
    </w:p>
    <w:p>
      <w:pPr>
        <w:ind w:firstLine="656"/>
        <w:spacing w:after="0" w:line="260" w:lineRule="auto"/>
        <w:tabs>
          <w:tab w:leader="none" w:pos="112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Lenders of the guaranty by the New Subsidiary upon the execution of this Agreement by the New Subsidiary.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w:t>
      </w:r>
    </w:p>
    <w:p>
      <w:pPr>
        <w:sectPr>
          <w:pgSz w:w="11900" w:h="16838" w:orient="portrait"/>
          <w:cols w:equalWidth="0" w:num="1">
            <w:col w:w="11420"/>
          </w:cols>
          <w:pgMar w:left="240" w:top="596" w:right="239" w:bottom="1440" w:gutter="0" w:footer="0" w:header="0"/>
        </w:sectPr>
      </w:pPr>
    </w:p>
    <w:bookmarkStart w:id="238" w:name="page239"/>
    <w:bookmarkEnd w:id="238"/>
    <w:p>
      <w:pPr>
        <w:ind w:firstLine="656"/>
        <w:spacing w:after="0" w:line="260" w:lineRule="auto"/>
        <w:tabs>
          <w:tab w:leader="none" w:pos="108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when so executed and delivered shall be an original, but all of which shall constitute one and the same instrument.</w:t>
      </w:r>
    </w:p>
    <w:p>
      <w:pPr>
        <w:spacing w:after="0" w:line="176" w:lineRule="exact"/>
        <w:rPr>
          <w:rFonts w:ascii="Arial" w:cs="Arial" w:eastAsia="Arial" w:hAnsi="Arial"/>
          <w:sz w:val="20"/>
          <w:szCs w:val="20"/>
          <w:color w:val="auto"/>
        </w:rPr>
      </w:pPr>
    </w:p>
    <w:p>
      <w:pPr>
        <w:ind w:firstLine="656"/>
        <w:spacing w:after="0" w:line="287" w:lineRule="auto"/>
        <w:tabs>
          <w:tab w:leader="none" w:pos="103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HEREUNDER SHALL BE GOVERNED BY AND CONSTRUED AND INTERPRETED IN ACCORDANCE WITH THE LAWS OF THE STATE OF NEW YORK.</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[NEW SUBSIDIARY]</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Acknowledged and accepted:</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CITIBANK, N.A., as Administrative Agent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C</w:t>
      </w:r>
    </w:p>
    <w:p>
      <w:pPr>
        <w:sectPr>
          <w:pgSz w:w="11900" w:h="16838" w:orient="portrait"/>
          <w:cols w:equalWidth="0" w:num="1">
            <w:col w:w="11420"/>
          </w:cols>
          <w:pgMar w:left="240" w:top="596" w:right="2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20"/>
          <w:szCs w:val="20"/>
          <w:color w:val="auto"/>
        </w:rPr>
        <w:t>EXHIBIT 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SOLVENCY CERTIFICATE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undersigned, being the [●] of EXLSERVICE HOLDINGS, INC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w:t>
      </w:r>
      <w:r>
        <w:rPr>
          <w:rFonts w:ascii="Arial" w:cs="Arial" w:eastAsia="Arial" w:hAnsi="Arial"/>
          <w:sz w:val="20"/>
          <w:szCs w:val="20"/>
          <w:u w:val="single" w:color="auto"/>
          <w:color w:val="auto"/>
        </w:rPr>
        <w:t>Borrower</w:t>
      </w:r>
      <w:r>
        <w:rPr>
          <w:rFonts w:ascii="Arial" w:cs="Arial" w:eastAsia="Arial" w:hAnsi="Arial"/>
          <w:sz w:val="20"/>
          <w:szCs w:val="20"/>
          <w:color w:val="auto"/>
        </w:rPr>
        <w:t>”), pursuant to that certain Credit Agreement, dated as of November 21, 2017 (as amended, restated, amended and restated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not defined herein shall have the meanings set forth in the Credit Agreement), between Borrower, the other Loan Parties thereto, the Lenders party thereto and CITIBANK, N.A., as Administrative Agent, DOES HEREBY CERTIFY on behalf of Borrower that:</w:t>
      </w:r>
    </w:p>
    <w:p>
      <w:pPr>
        <w:spacing w:after="0" w:line="191" w:lineRule="exact"/>
        <w:rPr>
          <w:sz w:val="20"/>
          <w:szCs w:val="20"/>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am familiar with the properties, business and assets of the Borrower and am authorized to execute this Certificate on behalf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199" w:lineRule="exact"/>
        <w:rPr>
          <w:rFonts w:ascii="Arial" w:cs="Arial" w:eastAsia="Arial" w:hAnsi="Arial"/>
          <w:sz w:val="18"/>
          <w:szCs w:val="18"/>
          <w:color w:val="auto"/>
        </w:rPr>
      </w:pPr>
    </w:p>
    <w:p>
      <w:pPr>
        <w:jc w:val="both"/>
        <w:ind w:firstLine="656"/>
        <w:spacing w:after="0" w:line="269" w:lineRule="auto"/>
        <w:tabs>
          <w:tab w:leader="none" w:pos="99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 have carefully reviewed the contents of this Certificate and have made such investigations and inquiries as I deem necessary and prudent in connection with the matters set forth herein. Among other things, I have reviewed the Credit Agreement, together with the other Loan Documents executed or to be executed by the Borrower pursuant to the Credit Agreement.</w:t>
      </w:r>
    </w:p>
    <w:p>
      <w:pPr>
        <w:spacing w:after="0" w:line="170" w:lineRule="exact"/>
        <w:rPr>
          <w:rFonts w:ascii="Arial" w:cs="Arial" w:eastAsia="Arial" w:hAnsi="Arial"/>
          <w:sz w:val="19"/>
          <w:szCs w:val="19"/>
          <w:color w:val="auto"/>
        </w:rPr>
      </w:pPr>
    </w:p>
    <w:p>
      <w:pPr>
        <w:jc w:val="both"/>
        <w:ind w:firstLine="656"/>
        <w:spacing w:after="0" w:line="243" w:lineRule="auto"/>
        <w:tabs>
          <w:tab w:leader="none" w:pos="97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For purposes of this Certificate: (a) the term “Transactions” means (1) the fulfillment of all conditions precedent to the Loans being made under the Credit Agreement and the funding of such Loans, and (2) the execution and delivery of all Loan Documents under the Credit Agreement in connection with such Loans, and (b) the term “indebtedness” means all obligations and liabilities of Borrower and its Subsidiaries, whether matured or unmatured, liquidated or unliquidated, disputed or undisputed, secured or unsecured, subordinated, absolute, fixed or contingent. For purposes of the definition of “indebtedness,”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93" w:lineRule="exact"/>
        <w:rPr>
          <w:rFonts w:ascii="Arial" w:cs="Arial" w:eastAsia="Arial" w:hAnsi="Arial"/>
          <w:sz w:val="20"/>
          <w:szCs w:val="20"/>
          <w:color w:val="auto"/>
        </w:rPr>
      </w:pPr>
    </w:p>
    <w:p>
      <w:pPr>
        <w:ind w:firstLine="656"/>
        <w:spacing w:after="0" w:line="260" w:lineRule="auto"/>
        <w:tabs>
          <w:tab w:leader="none" w:pos="100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As of the date hereof, assuming each of the Transactions is consummated on and as of the date hereof and taking into account the effect thereof, it is my opinion that:</w:t>
      </w:r>
    </w:p>
    <w:p>
      <w:pPr>
        <w:spacing w:after="0" w:line="176" w:lineRule="exact"/>
        <w:rPr>
          <w:rFonts w:ascii="Arial" w:cs="Arial" w:eastAsia="Arial" w:hAnsi="Arial"/>
          <w:sz w:val="20"/>
          <w:szCs w:val="20"/>
          <w:color w:val="auto"/>
        </w:rPr>
      </w:pPr>
    </w:p>
    <w:p>
      <w:pPr>
        <w:ind w:firstLine="1305"/>
        <w:spacing w:after="0" w:line="260" w:lineRule="auto"/>
        <w:tabs>
          <w:tab w:leader="none" w:pos="175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fair value of the assets and property of the Borrower and its Subsidiaries on a consolidated basis exceeds the total amount of their indebtedness;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0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On a going concern basis, the present fair saleable value of the assets and property of the Borrower and its Subsidiaries on a consolidated basis exceeds the amount that will be required to pay the probable liability of the Borrower and its Subsidiaries’ indebtedness as such indebtedness becomes absolute and matured;</w:t>
      </w:r>
    </w:p>
    <w:p>
      <w:pPr>
        <w:spacing w:after="0" w:line="186" w:lineRule="exact"/>
        <w:rPr>
          <w:rFonts w:ascii="Arial" w:cs="Arial" w:eastAsia="Arial" w:hAnsi="Arial"/>
          <w:sz w:val="20"/>
          <w:szCs w:val="20"/>
          <w:color w:val="auto"/>
        </w:rPr>
      </w:pPr>
    </w:p>
    <w:p>
      <w:pPr>
        <w:ind w:firstLine="1305"/>
        <w:spacing w:after="0" w:line="260" w:lineRule="auto"/>
        <w:tabs>
          <w:tab w:leader="none" w:pos="172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Borrower and its Subsidiaries on a consolidated basis are able to realize upon their assets and pay their indebtedness as such indebtedness matures in the normal course of business; and</w:t>
      </w:r>
    </w:p>
    <w:p>
      <w:pPr>
        <w:spacing w:after="0" w:line="176" w:lineRule="exact"/>
        <w:rPr>
          <w:rFonts w:ascii="Arial" w:cs="Arial" w:eastAsia="Arial" w:hAnsi="Arial"/>
          <w:sz w:val="20"/>
          <w:szCs w:val="20"/>
          <w:color w:val="auto"/>
        </w:rPr>
      </w:pPr>
    </w:p>
    <w:p>
      <w:pPr>
        <w:ind w:firstLine="1305"/>
        <w:spacing w:after="0" w:line="260" w:lineRule="auto"/>
        <w:tabs>
          <w:tab w:leader="none" w:pos="1721"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Borrower and its Subsidiaries on a consolidated basis do not have an unreasonably small capital nor will be left with an unreasonably small capital to conduct their business.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4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 consummating the Transactions contemplated by the Credit Agreement, to the best of my knowledge (after due inquiry), the Borrower and its Subsidiaries on a consolidated basis do not intend to disturb, delay, hinder or defraud either present or future creditors or other persons to which they are or will become, on or after the date hereof, indebted.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D</w:t>
      </w:r>
    </w:p>
    <w:p>
      <w:pPr>
        <w:sectPr>
          <w:pgSz w:w="11900" w:h="16838" w:orient="portrait"/>
          <w:cols w:equalWidth="0" w:num="1">
            <w:col w:w="11420"/>
          </w:cols>
          <w:pgMar w:left="240" w:top="595" w:right="2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IN WITNESS WHEREOF, the undersigned has executed this Certificate this [●] day of November, 2017.</w:t>
      </w:r>
    </w:p>
    <w:p>
      <w:pPr>
        <w:sectPr>
          <w:pgSz w:w="11900" w:h="16838" w:orient="portrait"/>
          <w:cols w:equalWidth="0" w:num="1">
            <w:col w:w="9559"/>
          </w:cols>
          <w:pgMar w:left="900" w:top="5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EXLSERVICE HOLDINGS, INC.</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-14605</wp:posOffset>
            </wp:positionV>
            <wp:extent cx="125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Name:</w:t>
      </w:r>
    </w:p>
    <w:p>
      <w:pPr>
        <w:ind w:left="3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Exhibit D</w:t>
      </w:r>
    </w:p>
    <w:p>
      <w:pPr>
        <w:sectPr>
          <w:pgSz w:w="11900" w:h="16838" w:orient="portrait"/>
          <w:cols w:equalWidth="0" w:num="1">
            <w:col w:w="9559"/>
          </w:cols>
          <w:pgMar w:left="900" w:top="595" w:right="1440" w:bottom="1440" w:gutter="0" w:footer="0" w:header="0"/>
          <w:type w:val="continuous"/>
        </w:sectPr>
      </w:pPr>
    </w:p>
    <w:bookmarkStart w:id="241" w:name="page242"/>
    <w:bookmarkEnd w:id="241"/>
    <w:p>
      <w:pPr>
        <w:jc w:val="right"/>
        <w:spacing w:after="0"/>
        <w:rPr>
          <w:sz w:val="20"/>
          <w:szCs w:val="20"/>
          <w:color w:val="auto"/>
        </w:rPr>
      </w:pPr>
      <w:r>
        <w:rPr>
          <w:rFonts w:ascii="Arial" w:cs="Arial" w:eastAsia="Arial" w:hAnsi="Arial"/>
          <w:sz w:val="20"/>
          <w:szCs w:val="20"/>
          <w:color w:val="auto"/>
        </w:rPr>
        <w:t>EXHIBIT E-1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November 21, 2017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_______________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Loan Parties party thereto, the Lenders party thereto and Citibank, N.A., in its capacity as Administrative Agent for the Lenders.</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E-1</w:t>
      </w:r>
    </w:p>
    <w:p>
      <w:pPr>
        <w:sectPr>
          <w:pgSz w:w="11900" w:h="16838" w:orient="portrait"/>
          <w:cols w:equalWidth="0" w:num="1">
            <w:col w:w="11420"/>
          </w:cols>
          <w:pgMar w:left="240" w:top="595"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0"/>
          <w:szCs w:val="20"/>
          <w:color w:val="auto"/>
        </w:rPr>
        <w:t>EXHIBIT E-2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November 21, 2017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_______________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Loan Parties party thereto, the Lenders party thereto and Citibank, N.A., in its capacity as Administrative Agent for the Lenders.</w:t>
      </w:r>
    </w:p>
    <w:p>
      <w:pPr>
        <w:spacing w:after="0" w:line="170"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(3)(A) of the Code, (iii) it is not a ten percent shareholder of the Borrower within the meaning of Section 871(h)(3)(B) of the Code, and (iv) it is not a controlled foreign corporation related to the Borrower as described in Section 881(c)(3)(C) of the Code.</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E-2</w:t>
      </w:r>
    </w:p>
    <w:p>
      <w:pPr>
        <w:sectPr>
          <w:pgSz w:w="11900" w:h="16838" w:orient="portrait"/>
          <w:cols w:equalWidth="0" w:num="1">
            <w:col w:w="11420"/>
          </w:cols>
          <w:pgMar w:left="240" w:top="596"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0"/>
          <w:szCs w:val="20"/>
          <w:color w:val="auto"/>
        </w:rPr>
        <w:t>EXHIBIT E-3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November 21, 2017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_______________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Loan Parties party thereto, the Lenders party thereto and Citibank, N.A., in its capacity as Administrative Agent for the Lenders.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E-3</w:t>
      </w:r>
    </w:p>
    <w:p>
      <w:pPr>
        <w:sectPr>
          <w:pgSz w:w="11900" w:h="16838" w:orient="portrait"/>
          <w:cols w:equalWidth="0" w:num="1">
            <w:col w:w="11420"/>
          </w:cols>
          <w:pgMar w:left="240" w:top="596"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0"/>
          <w:szCs w:val="20"/>
          <w:color w:val="auto"/>
        </w:rPr>
        <w:t>EXHIBIT E-4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November 21, 2017 (as amended, restated,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_____________________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Loan Parties party thereto, the Lenders party thereto and Citibank, N.A., in its capacity as Administrative Agent for the Lenders.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E-4</w:t>
      </w:r>
    </w:p>
    <w:p>
      <w:pPr>
        <w:sectPr>
          <w:pgSz w:w="11900" w:h="16838" w:orient="portrait"/>
          <w:cols w:equalWidth="0" w:num="1">
            <w:col w:w="11420"/>
          </w:cols>
          <w:pgMar w:left="240" w:top="596"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0"/>
          <w:szCs w:val="20"/>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BORROWING REQUEST</w:t>
      </w:r>
    </w:p>
    <w:p>
      <w:pPr>
        <w:spacing w:after="0" w:line="216"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_____________ ___, 20__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204" w:lineRule="auto"/>
        <w:rPr>
          <w:sz w:val="20"/>
          <w:szCs w:val="20"/>
          <w:color w:val="auto"/>
        </w:rPr>
      </w:pPr>
      <w:r>
        <w:rPr>
          <w:rFonts w:ascii="Arial" w:cs="Arial" w:eastAsia="Arial" w:hAnsi="Arial"/>
          <w:sz w:val="20"/>
          <w:szCs w:val="20"/>
          <w:color w:val="auto"/>
        </w:rPr>
        <w:t>1 Sansome Street,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San Francisco, CA 94104</w:t>
      </w:r>
    </w:p>
    <w:p>
      <w:pPr>
        <w:spacing w:after="0"/>
        <w:rPr>
          <w:sz w:val="20"/>
          <w:szCs w:val="20"/>
          <w:color w:val="auto"/>
        </w:rPr>
      </w:pPr>
      <w:r>
        <w:rPr>
          <w:rFonts w:ascii="Arial" w:cs="Arial" w:eastAsia="Arial" w:hAnsi="Arial"/>
          <w:sz w:val="20"/>
          <w:szCs w:val="20"/>
          <w:color w:val="auto"/>
        </w:rPr>
        <w:t>Attention: Jim Haack, Technology, Media and Telecom Banking Group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borrowing request (this “</w:t>
      </w:r>
      <w:r>
        <w:rPr>
          <w:rFonts w:ascii="Arial" w:cs="Arial" w:eastAsia="Arial" w:hAnsi="Arial"/>
          <w:sz w:val="20"/>
          <w:szCs w:val="20"/>
          <w:u w:val="single" w:color="auto"/>
          <w:color w:val="auto"/>
        </w:rPr>
        <w:t>Borrowing Request</w:t>
      </w:r>
      <w:r>
        <w:rPr>
          <w:rFonts w:ascii="Arial" w:cs="Arial" w:eastAsia="Arial" w:hAnsi="Arial"/>
          <w:sz w:val="20"/>
          <w:szCs w:val="20"/>
          <w:color w:val="auto"/>
        </w:rPr>
        <w:t>”) is furnished pursuant to Section 2.03 of that certain Credit Agreement, dated as of November 21, 2017 (as amended, restated, amended and restated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EXLSERVICE HOLDINGS,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party thereto, the Lenders party thereto, and Citibank, N.A. as Administrative Agent for the Lenders. Unless otherwise defined herein, capitalized terms used in this Borrowing Request have the meanings ascribed thereto in the Credit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Borrower hereby notifies the Administrative Agent of its request for the following Borrowing (the “</w:t>
      </w:r>
      <w:r>
        <w:rPr>
          <w:rFonts w:ascii="Arial" w:cs="Arial" w:eastAsia="Arial" w:hAnsi="Arial"/>
          <w:sz w:val="20"/>
          <w:szCs w:val="20"/>
          <w:u w:val="single" w:color="auto"/>
          <w:color w:val="auto"/>
        </w:rPr>
        <w:t>Proposed Borrowing</w:t>
      </w:r>
      <w:r>
        <w:rPr>
          <w:rFonts w:ascii="Arial" w:cs="Arial" w:eastAsia="Arial" w:hAnsi="Arial"/>
          <w:sz w:val="20"/>
          <w:szCs w:val="20"/>
          <w:color w:val="auto"/>
        </w:rPr>
        <w:t>”):</w:t>
      </w:r>
    </w:p>
    <w:p>
      <w:pPr>
        <w:spacing w:after="0" w:line="264" w:lineRule="exact"/>
        <w:rPr>
          <w:sz w:val="20"/>
          <w:szCs w:val="20"/>
          <w:color w:val="auto"/>
        </w:rPr>
      </w:pPr>
    </w:p>
    <w:p>
      <w:pPr>
        <w:ind w:left="1540" w:hanging="884"/>
        <w:spacing w:after="0"/>
        <w:tabs>
          <w:tab w:leader="none" w:pos="15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Aggregate principal amount of Borrowing: </w:t>
      </w:r>
      <w:r>
        <w:rPr>
          <w:rFonts w:ascii="Arial" w:cs="Arial" w:eastAsia="Arial" w:hAnsi="Arial"/>
          <w:sz w:val="20"/>
          <w:szCs w:val="20"/>
          <w:b w:val="1"/>
          <w:bCs w:val="1"/>
          <w:color w:val="auto"/>
        </w:rPr>
        <w:t>$[_____]</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540" w:hanging="884"/>
        <w:spacing w:after="0"/>
        <w:tabs>
          <w:tab w:leader="none" w:pos="15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Borrowing shall be a </w:t>
      </w:r>
      <w:r>
        <w:rPr>
          <w:rFonts w:ascii="Arial" w:cs="Arial" w:eastAsia="Arial" w:hAnsi="Arial"/>
          <w:sz w:val="20"/>
          <w:szCs w:val="20"/>
          <w:b w:val="1"/>
          <w:bCs w:val="1"/>
          <w:color w:val="auto"/>
        </w:rPr>
        <w:t>[_____]</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540" w:hanging="884"/>
        <w:spacing w:after="0"/>
        <w:tabs>
          <w:tab w:leader="none" w:pos="1540" w:val="left"/>
        </w:tabs>
        <w:numPr>
          <w:ilvl w:val="0"/>
          <w:numId w:val="174"/>
        </w:numPr>
        <w:rPr>
          <w:rFonts w:ascii="Arial" w:cs="Arial" w:eastAsia="Arial" w:hAnsi="Arial"/>
          <w:sz w:val="20"/>
          <w:szCs w:val="20"/>
          <w:b w:val="1"/>
          <w:bCs w:val="1"/>
          <w:color w:val="auto"/>
        </w:rPr>
      </w:pPr>
      <w:r>
        <w:rPr>
          <w:rFonts w:ascii="Arial" w:cs="Arial" w:eastAsia="Arial" w:hAnsi="Arial"/>
          <w:sz w:val="20"/>
          <w:szCs w:val="20"/>
          <w:color w:val="auto"/>
        </w:rPr>
        <w:t xml:space="preserve">The date of the Proposed Borrowing (must be a Business Day): </w:t>
      </w:r>
      <w:r>
        <w:rPr>
          <w:rFonts w:ascii="Arial" w:cs="Arial" w:eastAsia="Arial" w:hAnsi="Arial"/>
          <w:sz w:val="20"/>
          <w:szCs w:val="20"/>
          <w:b w:val="1"/>
          <w:bCs w:val="1"/>
          <w:color w:val="auto"/>
        </w:rPr>
        <w:t>[_____]</w:t>
      </w:r>
      <w:r>
        <w:rPr>
          <w:rFonts w:ascii="Arial" w:cs="Arial" w:eastAsia="Arial" w:hAnsi="Arial"/>
          <w:sz w:val="20"/>
          <w:szCs w:val="20"/>
          <w:color w:val="auto"/>
        </w:rPr>
        <w:t>.</w:t>
      </w:r>
    </w:p>
    <w:p>
      <w:pPr>
        <w:spacing w:after="0" w:line="242" w:lineRule="exact"/>
        <w:rPr>
          <w:rFonts w:ascii="Arial" w:cs="Arial" w:eastAsia="Arial" w:hAnsi="Arial"/>
          <w:sz w:val="20"/>
          <w:szCs w:val="20"/>
          <w:b w:val="1"/>
          <w:bCs w:val="1"/>
          <w:color w:val="auto"/>
        </w:rPr>
      </w:pPr>
    </w:p>
    <w:p>
      <w:pPr>
        <w:ind w:left="1540" w:hanging="884"/>
        <w:spacing w:after="0"/>
        <w:tabs>
          <w:tab w:leader="none" w:pos="1540" w:val="left"/>
        </w:tabs>
        <w:numPr>
          <w:ilvl w:val="0"/>
          <w:numId w:val="174"/>
        </w:numPr>
        <w:rPr>
          <w:rFonts w:ascii="Arial" w:cs="Arial" w:eastAsia="Arial" w:hAnsi="Arial"/>
          <w:sz w:val="20"/>
          <w:szCs w:val="20"/>
          <w:b w:val="1"/>
          <w:bCs w:val="1"/>
          <w:color w:val="auto"/>
        </w:rPr>
      </w:pPr>
      <w:r>
        <w:rPr>
          <w:rFonts w:ascii="Arial" w:cs="Arial" w:eastAsia="Arial" w:hAnsi="Arial"/>
          <w:sz w:val="20"/>
          <w:szCs w:val="20"/>
          <w:color w:val="auto"/>
        </w:rPr>
        <w:t xml:space="preserve">If a Eurodollar Borrowing, the duration of Interest Period shall be: </w:t>
      </w:r>
      <w:r>
        <w:rPr>
          <w:rFonts w:ascii="Arial" w:cs="Arial" w:eastAsia="Arial" w:hAnsi="Arial"/>
          <w:sz w:val="20"/>
          <w:szCs w:val="20"/>
          <w:b w:val="1"/>
          <w:bCs w:val="1"/>
          <w:color w:val="auto"/>
        </w:rPr>
        <w:t>[_____]</w:t>
      </w:r>
      <w:r>
        <w:rPr>
          <w:rFonts w:ascii="Arial" w:cs="Arial" w:eastAsia="Arial" w:hAnsi="Arial"/>
          <w:sz w:val="20"/>
          <w:szCs w:val="20"/>
          <w:color w:val="auto"/>
        </w:rPr>
        <w:t>.</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The Borrower hereby directs the Administrative Agent to disburse all proceeds of the Proposed Borrowing on the Borrowing Date specified above by wire transfer to the account indicated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hereto.</w:t>
      </w:r>
    </w:p>
    <w:p>
      <w:pPr>
        <w:spacing w:after="0" w:line="19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The Borrower certifies that the following statements are true on the date hereof, and will be true on the date of the Proposed Borrowing:</w:t>
      </w:r>
    </w:p>
    <w:p>
      <w:pPr>
        <w:spacing w:after="0" w:line="2" w:lineRule="exact"/>
        <w:rPr>
          <w:sz w:val="20"/>
          <w:szCs w:val="20"/>
          <w:color w:val="auto"/>
        </w:rPr>
      </w:pPr>
    </w:p>
    <w:p>
      <w:pPr>
        <w:jc w:val="both"/>
        <w:ind w:left="740" w:firstLine="1294"/>
        <w:spacing w:after="0"/>
        <w:tabs>
          <w:tab w:leader="none" w:pos="246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representations and warranties of the Borrower set forth in the Credit Agreement are true and correct in all material respects on and as of the date of the Proposed Borrowing with the same effect as though such representations and warranties had been made on and as of the date of such Borrowing, except that (i) to the extent that such representations and warranties specifically refer to an earlier date, such representations and warranties are true and correct in all material respects as of such earlier date, and (ii) any representation and warranty that is qualified as to “materiality” or “Material Adverse Effect” are true and correct in all respects.</w:t>
      </w:r>
    </w:p>
    <w:p>
      <w:pPr>
        <w:spacing w:after="0" w:line="197" w:lineRule="exact"/>
        <w:rPr>
          <w:rFonts w:ascii="Arial" w:cs="Arial" w:eastAsia="Arial" w:hAnsi="Arial"/>
          <w:sz w:val="20"/>
          <w:szCs w:val="20"/>
          <w:color w:val="auto"/>
        </w:rPr>
      </w:pPr>
    </w:p>
    <w:p>
      <w:pPr>
        <w:ind w:left="2500" w:hanging="466"/>
        <w:spacing w:after="0"/>
        <w:tabs>
          <w:tab w:leader="none" w:pos="25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Proposed Borrowing, no Default has occurred and is</w:t>
      </w:r>
    </w:p>
    <w:p>
      <w:pPr>
        <w:spacing w:after="0" w:line="3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w:t>
      </w:r>
    </w:p>
    <w:p>
      <w:pPr>
        <w:sectPr>
          <w:pgSz w:w="11900" w:h="16838" w:orient="portrait"/>
          <w:cols w:equalWidth="0" w:num="1">
            <w:col w:w="11420"/>
          </w:cols>
          <w:pgMar w:left="240" w:top="595" w:right="239" w:bottom="1440" w:gutter="0" w:footer="0" w:header="0"/>
        </w:sectPr>
      </w:pPr>
    </w:p>
    <w:bookmarkStart w:id="246" w:name="page247"/>
    <w:bookmarkEnd w:id="246"/>
    <w:p>
      <w:pPr>
        <w:jc w:val="right"/>
        <w:ind w:right="1919"/>
        <w:spacing w:after="0"/>
        <w:rPr>
          <w:sz w:val="20"/>
          <w:szCs w:val="20"/>
          <w:color w:val="auto"/>
        </w:rPr>
      </w:pPr>
      <w:r>
        <w:rPr>
          <w:rFonts w:ascii="Arial" w:cs="Arial" w:eastAsia="Arial" w:hAnsi="Arial"/>
          <w:sz w:val="20"/>
          <w:szCs w:val="20"/>
          <w:b w:val="1"/>
          <w:bCs w:val="1"/>
          <w:color w:val="auto"/>
        </w:rPr>
        <w:t>EXLSERVICE HOLDINGS, INC.</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-14605</wp:posOffset>
            </wp:positionV>
            <wp:extent cx="125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0"/>
          <w:szCs w:val="20"/>
          <w:color w:val="auto"/>
        </w:rPr>
        <w:t>Name:</w:t>
      </w:r>
    </w:p>
    <w:p>
      <w:pPr>
        <w:ind w:left="46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F</w:t>
      </w:r>
    </w:p>
    <w:p>
      <w:pPr>
        <w:sectPr>
          <w:pgSz w:w="11900" w:h="16838" w:orient="portrait"/>
          <w:cols w:equalWidth="0" w:num="1">
            <w:col w:w="9019"/>
          </w:cols>
          <w:pgMar w:left="1440" w:top="589" w:right="1440" w:bottom="1440" w:gutter="0" w:footer="0" w:header="0"/>
        </w:sectPr>
      </w:pPr>
    </w:p>
    <w:bookmarkStart w:id="247" w:name="page248"/>
    <w:bookmarkEnd w:id="247"/>
    <w:p>
      <w:pPr>
        <w:jc w:val="center"/>
        <w:ind w:right="40"/>
        <w:spacing w:after="0"/>
        <w:rPr>
          <w:sz w:val="20"/>
          <w:szCs w:val="20"/>
          <w:color w:val="auto"/>
        </w:rPr>
      </w:pPr>
      <w:r>
        <w:rPr>
          <w:rFonts w:ascii="Arial" w:cs="Arial" w:eastAsia="Arial" w:hAnsi="Arial"/>
          <w:sz w:val="20"/>
          <w:szCs w:val="20"/>
          <w:color w:val="auto"/>
        </w:rPr>
        <w:t>SCHEDULE 1 TO BORROWING REQUEST</w:t>
      </w: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180" w:type="dxa"/>
            <w:vAlign w:val="bottom"/>
            <w:tcBorders>
              <w:top w:val="single" w:sz="8" w:color="00000A"/>
              <w:left w:val="single" w:sz="8" w:color="00000A"/>
              <w:bottom w:val="single" w:sz="8" w:color="BFBFBF"/>
              <w:right w:val="single" w:sz="8" w:color="00000A"/>
            </w:tcBorders>
            <w:shd w:val="clear" w:color="auto" w:fill="BFBFBF"/>
          </w:tcPr>
          <w:p>
            <w:pPr>
              <w:ind w:left="1240"/>
              <w:spacing w:after="0"/>
              <w:rPr>
                <w:sz w:val="20"/>
                <w:szCs w:val="20"/>
                <w:color w:val="auto"/>
              </w:rPr>
            </w:pPr>
            <w:r>
              <w:rPr>
                <w:rFonts w:ascii="Arial" w:cs="Arial" w:eastAsia="Arial" w:hAnsi="Arial"/>
                <w:sz w:val="20"/>
                <w:szCs w:val="20"/>
                <w:b w:val="1"/>
                <w:bCs w:val="1"/>
                <w:color w:val="auto"/>
              </w:rPr>
              <w:t>PAYEE:</w:t>
            </w:r>
          </w:p>
        </w:tc>
        <w:tc>
          <w:tcPr>
            <w:tcW w:w="4880" w:type="dxa"/>
            <w:vAlign w:val="bottom"/>
            <w:tcBorders>
              <w:top w:val="single" w:sz="8" w:color="00000A"/>
              <w:bottom w:val="single" w:sz="8" w:color="BFBFBF"/>
              <w:right w:val="single" w:sz="8" w:color="00000A"/>
            </w:tcBorders>
            <w:shd w:val="clear" w:color="auto" w:fill="BFBFBF"/>
          </w:tcPr>
          <w:p>
            <w:pPr>
              <w:ind w:left="1360"/>
              <w:spacing w:after="0"/>
              <w:rPr>
                <w:sz w:val="20"/>
                <w:szCs w:val="20"/>
                <w:color w:val="auto"/>
              </w:rPr>
            </w:pPr>
            <w:r>
              <w:rPr>
                <w:rFonts w:ascii="Arial" w:cs="Arial" w:eastAsia="Arial" w:hAnsi="Arial"/>
                <w:sz w:val="20"/>
                <w:szCs w:val="20"/>
                <w:b w:val="1"/>
                <w:bCs w:val="1"/>
                <w:color w:val="auto"/>
              </w:rPr>
              <w:t>WIRE INSTRUCTIONS</w:t>
            </w:r>
          </w:p>
        </w:tc>
        <w:tc>
          <w:tcPr>
            <w:tcW w:w="2120" w:type="dxa"/>
            <w:vAlign w:val="bottom"/>
            <w:tcBorders>
              <w:top w:val="single" w:sz="8" w:color="00000A"/>
              <w:bottom w:val="single" w:sz="8" w:color="BFBFBF"/>
              <w:right w:val="single" w:sz="8" w:color="00000A"/>
            </w:tcBorders>
            <w:shd w:val="clear" w:color="auto" w:fill="BFBFBF"/>
          </w:tcPr>
          <w:p>
            <w:pPr>
              <w:jc w:val="right"/>
              <w:ind w:right="541"/>
              <w:spacing w:after="0"/>
              <w:rPr>
                <w:sz w:val="20"/>
                <w:szCs w:val="20"/>
                <w:color w:val="auto"/>
              </w:rPr>
            </w:pPr>
            <w:r>
              <w:rPr>
                <w:rFonts w:ascii="Arial" w:cs="Arial" w:eastAsia="Arial" w:hAnsi="Arial"/>
                <w:sz w:val="20"/>
                <w:szCs w:val="20"/>
                <w:b w:val="1"/>
                <w:bCs w:val="1"/>
                <w:color w:val="auto"/>
              </w:rPr>
              <w:t>AMOUNT</w:t>
            </w:r>
          </w:p>
        </w:tc>
      </w:tr>
      <w:tr>
        <w:trPr>
          <w:trHeight w:val="291"/>
        </w:trPr>
        <w:tc>
          <w:tcPr>
            <w:tcW w:w="318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880" w:type="dxa"/>
            <w:vAlign w:val="bottom"/>
            <w:tcBorders>
              <w:top w:val="single" w:sz="8" w:color="00000A"/>
              <w:bottom w:val="single" w:sz="8" w:color="00000A"/>
              <w:right w:val="single" w:sz="8" w:color="00000A"/>
            </w:tcBorders>
          </w:tcPr>
          <w:p>
            <w:pPr>
              <w:spacing w:after="0"/>
              <w:rPr>
                <w:sz w:val="24"/>
                <w:szCs w:val="24"/>
                <w:color w:val="auto"/>
              </w:rPr>
            </w:pPr>
          </w:p>
        </w:tc>
        <w:tc>
          <w:tcPr>
            <w:tcW w:w="2120" w:type="dxa"/>
            <w:vAlign w:val="bottom"/>
            <w:tcBorders>
              <w:top w:val="single" w:sz="8" w:color="00000A"/>
              <w:bottom w:val="single" w:sz="8" w:color="00000A"/>
              <w:right w:val="single" w:sz="8" w:color="00000A"/>
            </w:tcBorders>
          </w:tcPr>
          <w:p>
            <w:pPr>
              <w:spacing w:after="0"/>
              <w:rPr>
                <w:sz w:val="24"/>
                <w:szCs w:val="24"/>
                <w:color w:val="auto"/>
              </w:rPr>
            </w:pPr>
          </w:p>
        </w:tc>
      </w:tr>
      <w:tr>
        <w:trPr>
          <w:trHeight w:val="254"/>
        </w:trPr>
        <w:tc>
          <w:tcPr>
            <w:tcW w:w="3180" w:type="dxa"/>
            <w:vAlign w:val="bottom"/>
            <w:tcBorders>
              <w:left w:val="single" w:sz="8" w:color="00000A"/>
              <w:right w:val="single" w:sz="8" w:color="00000A"/>
            </w:tcBorders>
          </w:tcPr>
          <w:p>
            <w:pPr>
              <w:spacing w:after="0"/>
              <w:rPr>
                <w:sz w:val="22"/>
                <w:szCs w:val="22"/>
                <w:color w:val="auto"/>
              </w:rPr>
            </w:pPr>
          </w:p>
        </w:tc>
        <w:tc>
          <w:tcPr>
            <w:tcW w:w="4880" w:type="dxa"/>
            <w:vAlign w:val="bottom"/>
            <w:tcBorders>
              <w:right w:val="single" w:sz="8" w:color="00000A"/>
            </w:tcBorders>
          </w:tcPr>
          <w:p>
            <w:pPr>
              <w:spacing w:after="0"/>
              <w:rPr>
                <w:sz w:val="22"/>
                <w:szCs w:val="22"/>
                <w:color w:val="auto"/>
              </w:rPr>
            </w:pPr>
          </w:p>
        </w:tc>
        <w:tc>
          <w:tcPr>
            <w:tcW w:w="212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$[__________]</w:t>
            </w:r>
          </w:p>
        </w:tc>
      </w:tr>
      <w:tr>
        <w:trPr>
          <w:trHeight w:val="253"/>
        </w:trPr>
        <w:tc>
          <w:tcPr>
            <w:tcW w:w="3180" w:type="dxa"/>
            <w:vAlign w:val="bottom"/>
            <w:tcBorders>
              <w:left w:val="single" w:sz="8" w:color="00000A"/>
              <w:bottom w:val="single" w:sz="8" w:color="00000A"/>
              <w:right w:val="single" w:sz="8" w:color="00000A"/>
            </w:tcBorders>
          </w:tcPr>
          <w:p>
            <w:pPr>
              <w:spacing w:after="0"/>
              <w:rPr>
                <w:sz w:val="21"/>
                <w:szCs w:val="21"/>
                <w:color w:val="auto"/>
              </w:rPr>
            </w:pPr>
          </w:p>
        </w:tc>
        <w:tc>
          <w:tcPr>
            <w:tcW w:w="4880" w:type="dxa"/>
            <w:vAlign w:val="bottom"/>
            <w:tcBorders>
              <w:bottom w:val="single" w:sz="8" w:color="00000A"/>
              <w:right w:val="single" w:sz="8" w:color="00000A"/>
            </w:tcBorders>
          </w:tcPr>
          <w:p>
            <w:pPr>
              <w:spacing w:after="0"/>
              <w:rPr>
                <w:sz w:val="21"/>
                <w:szCs w:val="21"/>
                <w:color w:val="auto"/>
              </w:rPr>
            </w:pPr>
          </w:p>
        </w:tc>
        <w:tc>
          <w:tcPr>
            <w:tcW w:w="2120" w:type="dxa"/>
            <w:vAlign w:val="bottom"/>
            <w:tcBorders>
              <w:bottom w:val="single" w:sz="8" w:color="00000A"/>
              <w:right w:val="single" w:sz="8" w:color="00000A"/>
            </w:tcBorders>
          </w:tcPr>
          <w:p>
            <w:pPr>
              <w:spacing w:after="0"/>
              <w:rPr>
                <w:sz w:val="21"/>
                <w:szCs w:val="21"/>
                <w:color w:val="auto"/>
              </w:rPr>
            </w:pPr>
          </w:p>
        </w:tc>
      </w:tr>
      <w:tr>
        <w:trPr>
          <w:trHeight w:val="254"/>
        </w:trPr>
        <w:tc>
          <w:tcPr>
            <w:tcW w:w="3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TOTAL</w:t>
            </w:r>
          </w:p>
        </w:tc>
        <w:tc>
          <w:tcPr>
            <w:tcW w:w="4880" w:type="dxa"/>
            <w:vAlign w:val="bottom"/>
            <w:tcBorders>
              <w:right w:val="single" w:sz="8" w:color="00000A"/>
            </w:tcBorders>
          </w:tcPr>
          <w:p>
            <w:pPr>
              <w:spacing w:after="0"/>
              <w:rPr>
                <w:sz w:val="22"/>
                <w:szCs w:val="22"/>
                <w:color w:val="auto"/>
              </w:rPr>
            </w:pPr>
          </w:p>
        </w:tc>
        <w:tc>
          <w:tcPr>
            <w:tcW w:w="2120" w:type="dxa"/>
            <w:vAlign w:val="bottom"/>
            <w:tcBorders>
              <w:right w:val="single" w:sz="8" w:color="00000A"/>
            </w:tcBorders>
          </w:tcPr>
          <w:p>
            <w:pPr>
              <w:jc w:val="right"/>
              <w:spacing w:after="0"/>
              <w:rPr>
                <w:sz w:val="20"/>
                <w:szCs w:val="20"/>
                <w:color w:val="auto"/>
              </w:rPr>
            </w:pPr>
            <w:r>
              <w:rPr>
                <w:rFonts w:ascii="Arial" w:cs="Arial" w:eastAsia="Arial" w:hAnsi="Arial"/>
                <w:sz w:val="20"/>
                <w:szCs w:val="20"/>
                <w:b w:val="1"/>
                <w:bCs w:val="1"/>
                <w:color w:val="auto"/>
              </w:rPr>
              <w:t>$[__________]</w:t>
            </w:r>
          </w:p>
        </w:tc>
      </w:tr>
      <w:tr>
        <w:trPr>
          <w:trHeight w:val="253"/>
        </w:trPr>
        <w:tc>
          <w:tcPr>
            <w:tcW w:w="3180" w:type="dxa"/>
            <w:vAlign w:val="bottom"/>
            <w:tcBorders>
              <w:left w:val="single" w:sz="8" w:color="00000A"/>
              <w:bottom w:val="single" w:sz="8" w:color="00000A"/>
              <w:right w:val="single" w:sz="8" w:color="00000A"/>
            </w:tcBorders>
          </w:tcPr>
          <w:p>
            <w:pPr>
              <w:spacing w:after="0"/>
              <w:rPr>
                <w:sz w:val="21"/>
                <w:szCs w:val="21"/>
                <w:color w:val="auto"/>
              </w:rPr>
            </w:pPr>
          </w:p>
        </w:tc>
        <w:tc>
          <w:tcPr>
            <w:tcW w:w="4880" w:type="dxa"/>
            <w:vAlign w:val="bottom"/>
            <w:tcBorders>
              <w:bottom w:val="single" w:sz="8" w:color="00000A"/>
              <w:right w:val="single" w:sz="8" w:color="00000A"/>
            </w:tcBorders>
          </w:tcPr>
          <w:p>
            <w:pPr>
              <w:spacing w:after="0"/>
              <w:rPr>
                <w:sz w:val="21"/>
                <w:szCs w:val="21"/>
                <w:color w:val="auto"/>
              </w:rPr>
            </w:pPr>
          </w:p>
        </w:tc>
        <w:tc>
          <w:tcPr>
            <w:tcW w:w="2120" w:type="dxa"/>
            <w:vAlign w:val="bottom"/>
            <w:tcBorders>
              <w:bottom w:val="single" w:sz="8" w:color="00000A"/>
              <w:right w:val="single" w:sz="8" w:color="00000A"/>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F</w:t>
      </w:r>
    </w:p>
    <w:p>
      <w:pPr>
        <w:sectPr>
          <w:pgSz w:w="11900" w:h="16838" w:orient="portrait"/>
          <w:cols w:equalWidth="0" w:num="1">
            <w:col w:w="10180"/>
          </w:cols>
          <w:pgMar w:left="880" w:top="596" w:right="8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0"/>
          <w:szCs w:val="20"/>
          <w:color w:val="auto"/>
        </w:rPr>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NOTICE OF CONTINUATION/CONVERSION</w:t>
      </w:r>
    </w:p>
    <w:p>
      <w:pPr>
        <w:spacing w:after="0" w:line="216"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_____________ ___, 20__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204" w:lineRule="auto"/>
        <w:rPr>
          <w:sz w:val="20"/>
          <w:szCs w:val="20"/>
          <w:color w:val="auto"/>
        </w:rPr>
      </w:pPr>
      <w:r>
        <w:rPr>
          <w:rFonts w:ascii="Arial" w:cs="Arial" w:eastAsia="Arial" w:hAnsi="Arial"/>
          <w:sz w:val="20"/>
          <w:szCs w:val="20"/>
          <w:color w:val="auto"/>
        </w:rPr>
        <w:t>1 Sansome Street,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San Francisco, CA 94104</w:t>
      </w:r>
    </w:p>
    <w:p>
      <w:pPr>
        <w:spacing w:after="0"/>
        <w:rPr>
          <w:sz w:val="20"/>
          <w:szCs w:val="20"/>
          <w:color w:val="auto"/>
        </w:rPr>
      </w:pPr>
      <w:r>
        <w:rPr>
          <w:rFonts w:ascii="Arial" w:cs="Arial" w:eastAsia="Arial" w:hAnsi="Arial"/>
          <w:sz w:val="20"/>
          <w:szCs w:val="20"/>
          <w:color w:val="auto"/>
        </w:rPr>
        <w:t>Attention: Jim Haack, Technology, Media and Telecom Banking Group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Reference is hereby made to that certain Credit Agreement, dated as of November 21, 2017 (as amended, restated, amended and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EXLSERVICE HOLDINGS,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thereto, the Lenders party thereto, and Citibank, N.A. as Administrative Agent for the Lenders. Unless otherwise defined herein, capitalized terms used in this Notice have the meanings ascribed thereto in the Credit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notifies the Administrative Agent of an interest rate election and in that connection sets forth below the terms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13" w:lineRule="exact"/>
        <w:rPr>
          <w:sz w:val="20"/>
          <w:szCs w:val="20"/>
          <w:color w:val="auto"/>
        </w:rPr>
      </w:pPr>
    </w:p>
    <w:p>
      <w:pPr>
        <w:jc w:val="both"/>
        <w:ind w:firstLine="656"/>
        <w:spacing w:after="0" w:line="250" w:lineRule="auto"/>
        <w:tabs>
          <w:tab w:leader="none" w:pos="110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[on _____________ ___, 20__ (which is a Business Day), the Borrower will convert $[●] of the aggregate outstanding principal amount of the Loans, bearing interest at the [Alternate Base Rate][LIBO Rate], into a [Eurodollar][ABR] Loan [and, in the case of a Eurodollar Loan, having an Interest Period of [●] month(s)][; and][.]]</w:t>
      </w:r>
    </w:p>
    <w:p>
      <w:pPr>
        <w:spacing w:after="0" w:line="186" w:lineRule="exact"/>
        <w:rPr>
          <w:rFonts w:ascii="Arial" w:cs="Arial" w:eastAsia="Arial" w:hAnsi="Arial"/>
          <w:sz w:val="20"/>
          <w:szCs w:val="20"/>
          <w:color w:val="auto"/>
        </w:rPr>
      </w:pPr>
    </w:p>
    <w:p>
      <w:pPr>
        <w:ind w:firstLine="656"/>
        <w:spacing w:after="0" w:line="287" w:lineRule="auto"/>
        <w:tabs>
          <w:tab w:leader="none" w:pos="109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[on _____________ ___, 20__ (which is a Business Day), the Borrower will continue $[●] of the aggregate outstanding principal amount of the Loans bearing interest at the Eurodollar Rate, as Eurodollar Loans having an Interest Period of [●] month(s).]</w:t>
      </w:r>
    </w:p>
    <w:p>
      <w:pPr>
        <w:spacing w:after="0" w:line="376"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EXLSERVICE HOLDINGS, INC.</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-14605</wp:posOffset>
            </wp:positionV>
            <wp:extent cx="125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0"/>
          <w:szCs w:val="20"/>
          <w:color w:val="auto"/>
        </w:rPr>
        <w:t>Name:</w:t>
      </w:r>
    </w:p>
    <w:p>
      <w:pPr>
        <w:ind w:left="5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w:t>
      </w:r>
    </w:p>
    <w:p>
      <w:pPr>
        <w:sectPr>
          <w:pgSz w:w="11900" w:h="16838" w:orient="portrait"/>
          <w:cols w:equalWidth="0" w:num="1">
            <w:col w:w="11420"/>
          </w:cols>
          <w:pgMar w:left="240" w:top="59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0300"/>
          </w:cols>
          <w:pgMar w:left="1360" w:top="585"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w:t>
      </w:r>
    </w:p>
    <w:p>
      <w:pPr>
        <w:spacing w:after="0" w:line="90" w:lineRule="exact"/>
        <w:rPr>
          <w:sz w:val="20"/>
          <w:szCs w:val="20"/>
          <w:color w:val="auto"/>
        </w:rPr>
      </w:pPr>
    </w:p>
    <w:p>
      <w:pPr>
        <w:sectPr>
          <w:pgSz w:w="11900" w:h="16838" w:orient="portrait"/>
          <w:cols w:equalWidth="0" w:num="2">
            <w:col w:w="5900" w:space="720"/>
            <w:col w:w="3680"/>
          </w:cols>
          <w:pgMar w:left="1360" w:top="585" w:right="239" w:bottom="1440" w:gutter="0" w:footer="0" w:header="0"/>
          <w:type w:val="continuous"/>
        </w:sectPr>
      </w:pPr>
    </w:p>
    <w:p>
      <w:pPr>
        <w:spacing w:after="0"/>
        <w:rPr>
          <w:sz w:val="20"/>
          <w:szCs w:val="20"/>
          <w:color w:val="auto"/>
        </w:rPr>
      </w:pPr>
      <w:r>
        <w:rPr>
          <w:rFonts w:ascii="Arial" w:cs="Arial" w:eastAsia="Arial" w:hAnsi="Arial"/>
          <w:sz w:val="16"/>
          <w:szCs w:val="16"/>
          <w:color w:val="auto"/>
        </w:rPr>
        <w:t>Business Process Outsourcing (India)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Datasource Consulting,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Service.com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Bulgaria EAD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Germany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Mauritius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Romania Private Limited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Switzerland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Technology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ExlService.com,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(Singapore)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Insight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Analytics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Consulting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JCG New Media,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Liss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Solutions,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Data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Direct,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ectPr>
          <w:pgSz w:w="11900" w:h="16838" w:orient="portrait"/>
          <w:cols w:equalWidth="0" w:num="2">
            <w:col w:w="5900" w:space="720"/>
            <w:col w:w="3680"/>
          </w:cols>
          <w:pgMar w:left="1360" w:top="585" w:right="239" w:bottom="1440" w:gutter="0" w:footer="0" w:header="0"/>
          <w:type w:val="continuous"/>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580" w:hanging="248"/>
        <w:spacing w:after="0"/>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Registration Statement on Form S-3 (No. 333-179098) of ExlService Holdings, Inc.;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Registration Statements on Form S-8 (Nos. 333-139211; 333-157076; and 333-206022) of ExlService Holdings, Inc.</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27, 2018, with respect to the consolidated financial statements of ExlService Holdings, Inc., and the effectiveness of internal control over financial reporting of ExlService Holdings, Inc. included in this Annual Report (Form 10-K) of ExlService Holdings, Inc. for the year ended December 31, 2017.</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2017;</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2018</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2017;</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2018</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2017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2017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1)"/>
      <w:numFmt w:val="decimal"/>
      <w:start w:val="1"/>
    </w:lvl>
  </w:abstractNum>
  <w:abstractNum w:abstractNumId="8">
    <w:nsid w:val="7F01579B"/>
    <w:multiLevelType w:val="hybridMultilevel"/>
    <w:lvl w:ilvl="0">
      <w:lvlJc w:val="left"/>
      <w:lvlText w:val="•"/>
      <w:numFmt w:val="bullet"/>
      <w:start w:val="1"/>
    </w:lvl>
    <w:lvl w:ilvl="1">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1)"/>
      <w:numFmt w:val="lowerLetter"/>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1)"/>
      <w:numFmt w:val="lowerLetter"/>
      <w:start w:val="1"/>
    </w:lvl>
  </w:abstractNum>
  <w:abstractNum w:abstractNumId="14">
    <w:nsid w:val="5FB8011C"/>
    <w:multiLevelType w:val="hybridMultilevel"/>
    <w:lvl w:ilvl="0">
      <w:lvlJc w:val="left"/>
      <w:lvlText w:val="%1."/>
      <w:numFmt w:val="decimal"/>
      <w:start w:val="2"/>
    </w:lvl>
  </w:abstractNum>
  <w:abstractNum w:abstractNumId="15">
    <w:nsid w:val="6AA78F7F"/>
    <w:multiLevelType w:val="hybridMultilevel"/>
    <w:lvl w:ilvl="0">
      <w:lvlJc w:val="left"/>
      <w:lvlText w:val="%1."/>
      <w:numFmt w:val="decimal"/>
      <w:start w:val="3"/>
    </w:lvl>
  </w:abstractNum>
  <w:abstractNum w:abstractNumId="16">
    <w:nsid w:val="7672BD23"/>
    <w:multiLevelType w:val="hybridMultilevel"/>
    <w:lvl w:ilvl="0">
      <w:lvlJc w:val="left"/>
      <w:lvlText w:val="(%1)"/>
      <w:numFmt w:val="lowerLetter"/>
      <w:start w:val="2"/>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1)"/>
      <w:numFmt w:val="decimal"/>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1."/>
      <w:numFmt w:val="decimal"/>
      <w:start w:val="8"/>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1."/>
      <w:numFmt w:val="decimal"/>
      <w:start w:val="15"/>
    </w:lvl>
    <w:lvl w:ilvl="1">
      <w:lvlJc w:val="left"/>
      <w:lvlText w:val="*"/>
      <w:numFmt w:val="bullet"/>
      <w:start w:val="1"/>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1)"/>
      <w:numFmt w:val="lowerLetter"/>
      <w:start w:val="2"/>
    </w:lvl>
  </w:abstractNum>
  <w:abstractNum w:abstractNumId="29">
    <w:nsid w:val="53299938"/>
    <w:multiLevelType w:val="hybridMultilevel"/>
    <w:lvl w:ilvl="0">
      <w:lvlJc w:val="left"/>
      <w:lvlText w:val="(%1)"/>
      <w:numFmt w:val="lowerLetter"/>
      <w:start w:val="1"/>
    </w:lvl>
  </w:abstractNum>
  <w:abstractNum w:abstractNumId="30">
    <w:nsid w:val="1FBFE8E0"/>
    <w:multiLevelType w:val="hybridMultilevel"/>
    <w:lvl w:ilvl="0">
      <w:lvlJc w:val="left"/>
      <w:lvlText w:val="(%1)"/>
      <w:numFmt w:val="lowerLetter"/>
      <w:start w:val="1"/>
    </w:lvl>
    <w:lvl w:ilvl="1">
      <w:lvlJc w:val="left"/>
      <w:lvlText w:val="(%2)"/>
      <w:numFmt w:val="lowerRoman"/>
      <w:start w:val="1"/>
    </w:lvl>
  </w:abstractNum>
  <w:abstractNum w:abstractNumId="31">
    <w:nsid w:val="5092CA79"/>
    <w:multiLevelType w:val="hybridMultilevel"/>
    <w:lvl w:ilvl="0">
      <w:lvlJc w:val="left"/>
      <w:lvlText w:val="(%1)"/>
      <w:numFmt w:val="lowerRoman"/>
      <w:start w:val="9"/>
    </w:lvl>
  </w:abstractNum>
  <w:abstractNum w:abstractNumId="32">
    <w:nsid w:val="1D545C4D"/>
    <w:multiLevelType w:val="hybridMultilevel"/>
    <w:lvl w:ilvl="0">
      <w:lvlJc w:val="left"/>
      <w:lvlText w:val="(%1)"/>
      <w:numFmt w:val="lowerLetter"/>
      <w:start w:val="3"/>
    </w:lvl>
  </w:abstractNum>
  <w:abstractNum w:abstractNumId="33">
    <w:nsid w:val="59ADEA3D"/>
    <w:multiLevelType w:val="hybridMultilevel"/>
    <w:lvl w:ilvl="0">
      <w:lvlJc w:val="left"/>
      <w:lvlText w:val="(%1)"/>
      <w:numFmt w:val="lowerLetter"/>
      <w:start w:val="1"/>
    </w:lvl>
  </w:abstractNum>
  <w:abstractNum w:abstractNumId="34">
    <w:nsid w:val="288F1A34"/>
    <w:multiLevelType w:val="hybridMultilevel"/>
    <w:lvl w:ilvl="0">
      <w:lvlJc w:val="left"/>
      <w:lvlText w:val="(%1)"/>
      <w:numFmt w:val="lowerLetter"/>
      <w:start w:val="4"/>
    </w:lvl>
  </w:abstractNum>
  <w:abstractNum w:abstractNumId="35">
    <w:nsid w:val="2A155DBC"/>
    <w:multiLevelType w:val="hybridMultilevel"/>
    <w:lvl w:ilvl="0">
      <w:lvlJc w:val="left"/>
      <w:lvlText w:val="(%1)"/>
      <w:numFmt w:val="lowerLetter"/>
      <w:start w:val="1"/>
    </w:lvl>
  </w:abstractNum>
  <w:abstractNum w:abstractNumId="36">
    <w:nsid w:val="1D9F6E5F"/>
    <w:multiLevelType w:val="hybridMultilevel"/>
    <w:lvl w:ilvl="0">
      <w:lvlJc w:val="left"/>
      <w:lvlText w:val="(%1)"/>
      <w:numFmt w:val="lowerLetter"/>
      <w:start w:val="1"/>
    </w:lvl>
  </w:abstractNum>
  <w:abstractNum w:abstractNumId="37">
    <w:nsid w:val="97E1B4E"/>
    <w:multiLevelType w:val="hybridMultilevel"/>
    <w:lvl w:ilvl="0">
      <w:lvlJc w:val="left"/>
      <w:lvlText w:val="(%1)"/>
      <w:numFmt w:val="lowerLetter"/>
      <w:start w:val="4"/>
    </w:lvl>
  </w:abstractNum>
  <w:abstractNum w:abstractNumId="38">
    <w:nsid w:val="51088277"/>
    <w:multiLevelType w:val="hybridMultilevel"/>
    <w:lvl w:ilvl="0">
      <w:lvlJc w:val="left"/>
      <w:lvlText w:val="(%1)"/>
      <w:numFmt w:val="lowerRoman"/>
      <w:start w:val="2"/>
    </w:lvl>
  </w:abstractNum>
  <w:abstractNum w:abstractNumId="39">
    <w:nsid w:val="1CA0C5FA"/>
    <w:multiLevelType w:val="hybridMultilevel"/>
    <w:lvl w:ilvl="0">
      <w:lvlJc w:val="left"/>
      <w:lvlText w:val="(%1)"/>
      <w:numFmt w:val="lowerLetter"/>
      <w:start w:val="1"/>
    </w:lvl>
  </w:abstractNum>
  <w:abstractNum w:abstractNumId="40">
    <w:nsid w:val="53584BCB"/>
    <w:multiLevelType w:val="hybridMultilevel"/>
    <w:lvl w:ilvl="0">
      <w:lvlJc w:val="left"/>
      <w:lvlText w:val="(%1)"/>
      <w:numFmt w:val="lowerLetter"/>
      <w:start w:val="2"/>
    </w:lvl>
  </w:abstractNum>
  <w:abstractNum w:abstractNumId="41">
    <w:nsid w:val="415E286C"/>
    <w:multiLevelType w:val="hybridMultilevel"/>
    <w:lvl w:ilvl="0">
      <w:lvlJc w:val="left"/>
      <w:lvlText w:val="(%1)"/>
      <w:numFmt w:val="lowerLetter"/>
      <w:start w:val="3"/>
    </w:lvl>
  </w:abstractNum>
  <w:abstractNum w:abstractNumId="42">
    <w:nsid w:val="7C58FD05"/>
    <w:multiLevelType w:val="hybridMultilevel"/>
    <w:lvl w:ilvl="0">
      <w:lvlJc w:val="left"/>
      <w:lvlText w:val="(%1)"/>
      <w:numFmt w:val="lowerLetter"/>
      <w:start w:val="6"/>
    </w:lvl>
  </w:abstractNum>
  <w:abstractNum w:abstractNumId="43">
    <w:nsid w:val="23D86AAC"/>
    <w:multiLevelType w:val="hybridMultilevel"/>
    <w:lvl w:ilvl="0">
      <w:lvlJc w:val="left"/>
      <w:lvlText w:val="(%1)"/>
      <w:numFmt w:val="lowerLetter"/>
      <w:start w:val="7"/>
    </w:lvl>
  </w:abstractNum>
  <w:abstractNum w:abstractNumId="44">
    <w:nsid w:val="45E6D486"/>
    <w:multiLevelType w:val="hybridMultilevel"/>
    <w:lvl w:ilvl="0">
      <w:lvlJc w:val="left"/>
      <w:lvlText w:val="(%1)"/>
      <w:numFmt w:val="lowerLetter"/>
      <w:start w:val="11"/>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2"/>
    </w:lvl>
  </w:abstractNum>
  <w:abstractNum w:abstractNumId="47">
    <w:nsid w:val="3C5991AA"/>
    <w:multiLevelType w:val="hybridMultilevel"/>
    <w:lvl w:ilvl="0">
      <w:lvlJc w:val="left"/>
      <w:lvlText w:val="%1"/>
      <w:numFmt w:val="lowerRoman"/>
      <w:start w:val="1"/>
    </w:lvl>
    <w:lvl w:ilvl="1">
      <w:lvlJc w:val="left"/>
      <w:lvlText w:val="(%2)"/>
      <w:numFmt w:val="lowerLetter"/>
      <w:start w:val="1"/>
    </w:lvl>
  </w:abstractNum>
  <w:abstractNum w:abstractNumId="48">
    <w:nsid w:val="4BD8591A"/>
    <w:multiLevelType w:val="hybridMultilevel"/>
    <w:lvl w:ilvl="0">
      <w:lvlJc w:val="left"/>
      <w:lvlText w:val="(%1)"/>
      <w:numFmt w:val="lowerRoman"/>
      <w:start w:val="1"/>
    </w:lvl>
    <w:lvl w:ilvl="1">
      <w:lvlJc w:val="left"/>
      <w:lvlText w:val="%2"/>
      <w:numFmt w:val="lowerLetter"/>
      <w:start w:val="1"/>
    </w:lvl>
  </w:abstractNum>
  <w:abstractNum w:abstractNumId="49">
    <w:nsid w:val="78DF6A55"/>
    <w:multiLevelType w:val="hybridMultilevel"/>
    <w:lvl w:ilvl="0">
      <w:lvlJc w:val="left"/>
      <w:lvlText w:val="(%1)"/>
      <w:numFmt w:val="lowerRoman"/>
      <w:start w:val="3"/>
    </w:lvl>
  </w:abstractNum>
  <w:abstractNum w:abstractNumId="50">
    <w:nsid w:val="39B7AAA2"/>
    <w:multiLevelType w:val="hybridMultilevel"/>
    <w:lvl w:ilvl="0">
      <w:lvlJc w:val="left"/>
      <w:lvlText w:val="(%1)"/>
      <w:numFmt w:val="lowerLetter"/>
      <w:start w:val="4"/>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3"/>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3"/>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2"/>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Roman"/>
      <w:start w:val="1"/>
    </w:lvl>
    <w:lvl w:ilvl="1">
      <w:lvlJc w:val="left"/>
      <w:lvlText w:val="(%2)"/>
      <w:numFmt w:val="lowerLetter"/>
      <w:start w:val="1"/>
    </w:lvl>
  </w:abstractNum>
  <w:abstractNum w:abstractNumId="61">
    <w:nsid w:val="3DB012B3"/>
    <w:multiLevelType w:val="hybridMultilevel"/>
    <w:lvl w:ilvl="0">
      <w:lvlJc w:val="left"/>
      <w:lvlText w:val="(%1)"/>
      <w:numFmt w:val="lowerRoman"/>
      <w:start w:val="1"/>
    </w:lvl>
    <w:lvl w:ilvl="1">
      <w:lvlJc w:val="left"/>
      <w:lvlText w:val="%2"/>
      <w:numFmt w:val="lowerLetter"/>
      <w:start w:val="1"/>
    </w:lvl>
  </w:abstractNum>
  <w:abstractNum w:abstractNumId="62">
    <w:nsid w:val="2708C9AF"/>
    <w:multiLevelType w:val="hybridMultilevel"/>
    <w:lvl w:ilvl="0">
      <w:lvlJc w:val="left"/>
      <w:lvlText w:val="(%1)"/>
      <w:numFmt w:val="lowerLetter"/>
      <w:start w:val="2"/>
    </w:lvl>
  </w:abstractNum>
  <w:abstractNum w:abstractNumId="63">
    <w:nsid w:val="5B25ACE2"/>
    <w:multiLevelType w:val="hybridMultilevel"/>
    <w:lvl w:ilvl="0">
      <w:lvlJc w:val="left"/>
      <w:lvlText w:val="%1"/>
      <w:numFmt w:val="lowerLetter"/>
      <w:start w:val="1"/>
    </w:lvl>
    <w:lvl w:ilvl="1">
      <w:lvlJc w:val="left"/>
      <w:lvlText w:val="(%2)"/>
      <w:numFmt w:val="lowerLetter"/>
      <w:start w:val="3"/>
    </w:lvl>
  </w:abstractNum>
  <w:abstractNum w:abstractNumId="64">
    <w:nsid w:val="175DFCF0"/>
    <w:multiLevelType w:val="hybridMultilevel"/>
    <w:lvl w:ilvl="0">
      <w:lvlJc w:val="left"/>
      <w:lvlText w:val="(%1)"/>
      <w:numFmt w:val="lowerLetter"/>
      <w:start w:val="2"/>
    </w:lvl>
    <w:lvl w:ilvl="1">
      <w:lvlJc w:val="left"/>
      <w:lvlText w:val="%2"/>
      <w:numFmt w:val="lowerLetter"/>
      <w:start w:val="1"/>
    </w:lvl>
  </w:abstractNum>
  <w:abstractNum w:abstractNumId="65">
    <w:nsid w:val="4F97E3E4"/>
    <w:multiLevelType w:val="hybridMultilevel"/>
    <w:lvl w:ilvl="0">
      <w:lvlJc w:val="left"/>
      <w:lvlText w:val="(%1)"/>
      <w:numFmt w:val="lowerRoman"/>
      <w:start w:val="2"/>
    </w:lvl>
  </w:abstractNum>
  <w:abstractNum w:abstractNumId="66">
    <w:nsid w:val="53B0A9E"/>
    <w:multiLevelType w:val="hybridMultilevel"/>
    <w:lvl w:ilvl="0">
      <w:lvlJc w:val="left"/>
      <w:lvlText w:val="(%1)"/>
      <w:numFmt w:val="lowerLetter"/>
      <w:start w:val="1"/>
    </w:lvl>
  </w:abstractNum>
  <w:abstractNum w:abstractNumId="67">
    <w:nsid w:val="34FD6B4F"/>
    <w:multiLevelType w:val="hybridMultilevel"/>
    <w:lvl w:ilvl="0">
      <w:lvlJc w:val="left"/>
      <w:lvlText w:val="%1"/>
      <w:numFmt w:val="lowerRoman"/>
      <w:start w:val="1"/>
    </w:lvl>
    <w:lvl w:ilvl="1">
      <w:lvlJc w:val="left"/>
      <w:lvlText w:val="(%2)"/>
      <w:numFmt w:val="lowerLetter"/>
      <w:start w:val="6"/>
    </w:lvl>
  </w:abstractNum>
  <w:abstractNum w:abstractNumId="68">
    <w:nsid w:val="5915FF32"/>
    <w:multiLevelType w:val="hybridMultilevel"/>
    <w:lvl w:ilvl="0">
      <w:lvlJc w:val="left"/>
      <w:lvlText w:val="(%1)"/>
      <w:numFmt w:val="lowerRoman"/>
      <w:start w:val="1"/>
    </w:lvl>
    <w:lvl w:ilvl="1">
      <w:lvlJc w:val="left"/>
      <w:lvlText w:val="%2"/>
      <w:numFmt w:val="lowerLetter"/>
      <w:start w:val="1"/>
    </w:lvl>
  </w:abstractNum>
  <w:abstractNum w:abstractNumId="69">
    <w:nsid w:val="56438D15"/>
    <w:multiLevelType w:val="hybridMultilevel"/>
    <w:lvl w:ilvl="0">
      <w:lvlJc w:val="left"/>
      <w:lvlText w:val="(%1)"/>
      <w:numFmt w:val="upperLetter"/>
      <w:start w:val="1"/>
    </w:lvl>
    <w:lvl w:ilvl="1">
      <w:lvlJc w:val="left"/>
      <w:lvlText w:val="(%2)"/>
      <w:numFmt w:val="decimal"/>
      <w:start w:val="1"/>
    </w:lvl>
  </w:abstractNum>
  <w:abstractNum w:abstractNumId="70">
    <w:nsid w:val="519E3149"/>
    <w:multiLevelType w:val="hybridMultilevel"/>
    <w:lvl w:ilvl="0">
      <w:lvlJc w:val="left"/>
      <w:lvlText w:val="%1"/>
      <w:numFmt w:val="upperLetter"/>
      <w:start w:val="1"/>
    </w:lvl>
    <w:lvl w:ilvl="1">
      <w:lvlJc w:val="left"/>
      <w:lvlText w:val="(%2)"/>
      <w:numFmt w:val="decimal"/>
      <w:start w:val="2"/>
    </w:lvl>
  </w:abstractNum>
  <w:abstractNum w:abstractNumId="71">
    <w:nsid w:val="2C6E4AFD"/>
    <w:multiLevelType w:val="hybridMultilevel"/>
    <w:lvl w:ilvl="0">
      <w:lvlJc w:val="left"/>
      <w:lvlText w:val="(%1)"/>
      <w:numFmt w:val="upperLetter"/>
      <w:start w:val="3"/>
    </w:lvl>
    <w:lvl w:ilvl="1">
      <w:lvlJc w:val="left"/>
      <w:lvlText w:val="(%2)"/>
      <w:numFmt w:val="decimal"/>
      <w:start w:val="4"/>
    </w:lvl>
  </w:abstractNum>
  <w:abstractNum w:abstractNumId="72">
    <w:nsid w:val="17A1B582"/>
    <w:multiLevelType w:val="hybridMultilevel"/>
    <w:lvl w:ilvl="0">
      <w:lvlJc w:val="left"/>
      <w:lvlText w:val="%1"/>
      <w:numFmt w:val="lowerRoman"/>
      <w:start w:val="1"/>
    </w:lvl>
    <w:lvl w:ilvl="1">
      <w:lvlJc w:val="left"/>
      <w:lvlText w:val="(%2)"/>
      <w:numFmt w:val="upperLetter"/>
      <w:start w:val="3"/>
    </w:lvl>
  </w:abstractNum>
  <w:abstractNum w:abstractNumId="73">
    <w:nsid w:val="4DF72E4E"/>
    <w:multiLevelType w:val="hybridMultilevel"/>
    <w:lvl w:ilvl="0">
      <w:lvlJc w:val="left"/>
      <w:lvlText w:val="(%1)"/>
      <w:numFmt w:val="lowerRoman"/>
      <w:start w:val="1"/>
    </w:lvl>
    <w:lvl w:ilvl="1">
      <w:lvlJc w:val="left"/>
      <w:lvlText w:val="%2"/>
      <w:numFmt w:val="upperLetter"/>
      <w:start w:val="1"/>
    </w:lvl>
  </w:abstractNum>
  <w:abstractNum w:abstractNumId="74">
    <w:nsid w:val="5046B5A9"/>
    <w:multiLevelType w:val="hybridMultilevel"/>
    <w:lvl w:ilvl="0">
      <w:lvlJc w:val="left"/>
      <w:lvlText w:val="(%1)"/>
      <w:numFmt w:val="lowerLetter"/>
      <w:start w:val="7"/>
    </w:lvl>
  </w:abstractNum>
  <w:abstractNum w:abstractNumId="75">
    <w:nsid w:val="5D888A08"/>
    <w:multiLevelType w:val="hybridMultilevel"/>
    <w:lvl w:ilvl="0">
      <w:lvlJc w:val="left"/>
      <w:lvlText w:val="(%1)"/>
      <w:numFmt w:val="lowerLetter"/>
      <w:start w:val="1"/>
    </w:lvl>
  </w:abstractNum>
  <w:abstractNum w:abstractNumId="76">
    <w:nsid w:val="2A082C70"/>
    <w:multiLevelType w:val="hybridMultilevel"/>
    <w:lvl w:ilvl="0">
      <w:lvlJc w:val="left"/>
      <w:lvlText w:val="%1"/>
      <w:numFmt w:val="lowerLetter"/>
      <w:start w:val="1"/>
    </w:lvl>
    <w:lvl w:ilvl="1">
      <w:lvlJc w:val="left"/>
      <w:lvlText w:val="(%2)"/>
      <w:numFmt w:val="lowerLetter"/>
      <w:start w:val="2"/>
    </w:lvl>
  </w:abstractNum>
  <w:abstractNum w:abstractNumId="77">
    <w:nsid w:val="5EC6AFD4"/>
    <w:multiLevelType w:val="hybridMultilevel"/>
    <w:lvl w:ilvl="0">
      <w:lvlJc w:val="left"/>
      <w:lvlText w:val="(%1)"/>
      <w:numFmt w:val="lowerLetter"/>
      <w:start w:val="1"/>
    </w:lvl>
    <w:lvl w:ilvl="1">
      <w:lvlJc w:val="left"/>
      <w:lvlText w:val="%2"/>
      <w:numFmt w:val="lowerLetter"/>
      <w:start w:val="1"/>
    </w:lvl>
  </w:abstractNum>
  <w:abstractNum w:abstractNumId="78">
    <w:nsid w:val="19E21BB2"/>
    <w:multiLevelType w:val="hybridMultilevel"/>
    <w:lvl w:ilvl="0">
      <w:lvlJc w:val="left"/>
      <w:lvlText w:val="(%1)"/>
      <w:numFmt w:val="lowerLetter"/>
      <w:start w:val="3"/>
    </w:lvl>
  </w:abstractNum>
  <w:abstractNum w:abstractNumId="79">
    <w:nsid w:val="75E0858A"/>
    <w:multiLevelType w:val="hybridMultilevel"/>
    <w:lvl w:ilvl="0">
      <w:lvlJc w:val="left"/>
      <w:lvlText w:val="(%1)"/>
      <w:numFmt w:val="lowerLetter"/>
      <w:start w:val="35"/>
    </w:lvl>
    <w:lvl w:ilvl="1">
      <w:lvlJc w:val="left"/>
      <w:lvlText w:val="(%2)"/>
      <w:numFmt w:val="lowerLetter"/>
      <w:start w:val="5"/>
    </w:lvl>
  </w:abstractNum>
  <w:abstractNum w:abstractNumId="80">
    <w:nsid w:val="57A61A29"/>
    <w:multiLevelType w:val="hybridMultilevel"/>
    <w:lvl w:ilvl="0">
      <w:lvlJc w:val="left"/>
      <w:lvlText w:val="%1"/>
      <w:numFmt w:val="upperLetter"/>
      <w:start w:val="1"/>
    </w:lvl>
    <w:lvl w:ilvl="1">
      <w:lvlJc w:val="left"/>
      <w:lvlText w:val="(%2)"/>
      <w:numFmt w:val="lowerLetter"/>
      <w:start w:val="1"/>
    </w:lvl>
  </w:abstractNum>
  <w:abstractNum w:abstractNumId="81">
    <w:nsid w:val="5399C654"/>
    <w:multiLevelType w:val="hybridMultilevel"/>
    <w:lvl w:ilvl="0">
      <w:lvlJc w:val="left"/>
      <w:lvlText w:val="(%1)"/>
      <w:numFmt w:val="upperLetter"/>
      <w:start w:val="2"/>
    </w:lvl>
    <w:lvl w:ilvl="1">
      <w:lvlJc w:val="left"/>
      <w:lvlText w:val="%2"/>
      <w:numFmt w:val="lowerLetter"/>
      <w:start w:val="1"/>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lowerRoman"/>
      <w:start w:val="1"/>
    </w:lvl>
    <w:lvl w:ilvl="1">
      <w:lvlJc w:val="left"/>
      <w:lvlText w:val="(%2)"/>
      <w:numFmt w:val="lowerLetter"/>
      <w:start w:val="2"/>
    </w:lvl>
  </w:abstractNum>
  <w:abstractNum w:abstractNumId="84">
    <w:nsid w:val="B37E80A"/>
    <w:multiLevelType w:val="hybridMultilevel"/>
    <w:lvl w:ilvl="0">
      <w:lvlJc w:val="left"/>
      <w:lvlText w:val="(%1)"/>
      <w:numFmt w:val="lowerRoman"/>
      <w:start w:val="1"/>
    </w:lvl>
    <w:lvl w:ilvl="1">
      <w:lvlJc w:val="left"/>
      <w:lvlText w:val="(%2)"/>
      <w:numFmt w:val="lowerLetter"/>
      <w:start w:val="4"/>
    </w:lvl>
  </w:abstractNum>
  <w:abstractNum w:abstractNumId="85">
    <w:nsid w:val="2157F6BC"/>
    <w:multiLevelType w:val="hybridMultilevel"/>
    <w:lvl w:ilvl="0">
      <w:lvlJc w:val="left"/>
      <w:lvlText w:val="(%1)"/>
      <w:numFmt w:val="lowerLetter"/>
      <w:start w:val="5"/>
    </w:lvl>
  </w:abstractNum>
  <w:abstractNum w:abstractNumId="86">
    <w:nsid w:val="704E1DD5"/>
    <w:multiLevelType w:val="hybridMultilevel"/>
    <w:lvl w:ilvl="0">
      <w:lvlJc w:val="left"/>
      <w:lvlText w:val="(%1)"/>
      <w:numFmt w:val="lowerLetter"/>
      <w:start w:val="1"/>
    </w:lvl>
  </w:abstractNum>
  <w:abstractNum w:abstractNumId="87">
    <w:nsid w:val="57D2F10E"/>
    <w:multiLevelType w:val="hybridMultilevel"/>
    <w:lvl w:ilvl="0">
      <w:lvlJc w:val="left"/>
      <w:lvlText w:val="(%1)"/>
      <w:numFmt w:val="lowerLetter"/>
      <w:start w:val="2"/>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Roman"/>
      <w:start w:val="1"/>
    </w:lvl>
  </w:abstractNum>
  <w:abstractNum w:abstractNumId="90">
    <w:nsid w:val="2E48F044"/>
    <w:multiLevelType w:val="hybridMultilevel"/>
    <w:lvl w:ilvl="0">
      <w:lvlJc w:val="left"/>
      <w:lvlText w:val="%1"/>
      <w:numFmt w:val="lowerLetter"/>
      <w:start w:val="1"/>
    </w:lvl>
    <w:lvl w:ilvl="1">
      <w:lvlJc w:val="left"/>
      <w:lvlText w:val="(%2)"/>
      <w:numFmt w:val="lowerLetter"/>
      <w:start w:val="2"/>
    </w:lvl>
  </w:abstractNum>
  <w:abstractNum w:abstractNumId="91">
    <w:nsid w:val="49D0FEAC"/>
    <w:multiLevelType w:val="hybridMultilevel"/>
    <w:lvl w:ilvl="0">
      <w:lvlJc w:val="left"/>
      <w:lvlText w:val="(%1)"/>
      <w:numFmt w:val="lowerLetter"/>
      <w:start w:val="9"/>
    </w:lvl>
    <w:lvl w:ilvl="1">
      <w:lvlJc w:val="left"/>
      <w:lvlText w:val="%2"/>
      <w:numFmt w:val="lowerLetter"/>
      <w:start w:val="1"/>
    </w:lvl>
  </w:abstractNum>
  <w:abstractNum w:abstractNumId="92">
    <w:nsid w:val="4BEE5A5B"/>
    <w:multiLevelType w:val="hybridMultilevel"/>
    <w:lvl w:ilvl="0">
      <w:lvlJc w:val="left"/>
      <w:lvlText w:val="(%1)"/>
      <w:numFmt w:val="lowerRoman"/>
      <w:start w:val="2"/>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Letter"/>
      <w:start w:val="1"/>
    </w:lvl>
  </w:abstractNum>
  <w:abstractNum w:abstractNumId="98">
    <w:nsid w:val="1849C29B"/>
    <w:multiLevelType w:val="hybridMultilevel"/>
    <w:lvl w:ilvl="0">
      <w:lvlJc w:val="left"/>
      <w:lvlText w:val="(%1)"/>
      <w:numFmt w:val="lowerLetter"/>
      <w:start w:val="6"/>
    </w:lvl>
  </w:abstractNum>
  <w:abstractNum w:abstractNumId="99">
    <w:nsid w:val="7DFF9D09"/>
    <w:multiLevelType w:val="hybridMultilevel"/>
    <w:lvl w:ilvl="0">
      <w:lvlJc w:val="left"/>
      <w:lvlText w:val="(%1)"/>
      <w:numFmt w:val="lowerLetter"/>
      <w:start w:val="14"/>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1"/>
    </w:lvl>
    <w:lvl w:ilvl="1">
      <w:lvlJc w:val="left"/>
      <w:lvlText w:val="(%2)"/>
      <w:numFmt w:val="lowerLetter"/>
      <w:start w:val="2"/>
    </w:lvl>
  </w:abstractNum>
  <w:abstractNum w:abstractNumId="103">
    <w:nsid w:val="1816F8C4"/>
    <w:multiLevelType w:val="hybridMultilevel"/>
    <w:lvl w:ilvl="0">
      <w:lvlJc w:val="left"/>
      <w:lvlText w:val="(%1)"/>
      <w:numFmt w:val="lowerLetter"/>
      <w:start w:val="61"/>
    </w:lvl>
    <w:lvl w:ilvl="1">
      <w:lvlJc w:val="left"/>
      <w:lvlText w:val="(%2)"/>
      <w:numFmt w:val="lowerLetter"/>
      <w:start w:val="4"/>
    </w:lvl>
  </w:abstractNum>
  <w:abstractNum w:abstractNumId="104">
    <w:nsid w:val="37DF2233"/>
    <w:multiLevelType w:val="hybridMultilevel"/>
    <w:lvl w:ilvl="0">
      <w:lvlJc w:val="left"/>
      <w:lvlText w:val="(%1)"/>
      <w:numFmt w:val="lowerLetter"/>
      <w:start w:val="1"/>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1"/>
    </w:lvl>
  </w:abstractNum>
  <w:abstractNum w:abstractNumId="108">
    <w:nsid w:val="597B4D84"/>
    <w:multiLevelType w:val="hybridMultilevel"/>
    <w:lvl w:ilvl="0">
      <w:lvlJc w:val="left"/>
      <w:lvlText w:val="(%1)"/>
      <w:numFmt w:val="lowerLetter"/>
      <w:start w:val="4"/>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6"/>
    </w:lvl>
  </w:abstractNum>
  <w:abstractNum w:abstractNumId="111">
    <w:nsid w:val="312167AD"/>
    <w:multiLevelType w:val="hybridMultilevel"/>
    <w:lvl w:ilvl="0">
      <w:lvlJc w:val="left"/>
      <w:lvlText w:val="(%1)"/>
      <w:numFmt w:val="lowerLetter"/>
      <w:start w:val="14"/>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4"/>
    </w:lvl>
  </w:abstractNum>
  <w:abstractNum w:abstractNumId="114">
    <w:nsid w:val="75486E47"/>
    <w:multiLevelType w:val="hybridMultilevel"/>
    <w:lvl w:ilvl="0">
      <w:lvlJc w:val="left"/>
      <w:lvlText w:val="(%1)"/>
      <w:numFmt w:val="lowerLetter"/>
      <w:start w:val="14"/>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2"/>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lowerLetter"/>
      <w:start w:val="11"/>
    </w:lvl>
  </w:abstractNum>
  <w:abstractNum w:abstractNumId="119">
    <w:nsid w:val="260D8C4A"/>
    <w:multiLevelType w:val="hybridMultilevel"/>
    <w:lvl w:ilvl="0">
      <w:lvlJc w:val="left"/>
      <w:lvlText w:val="%1"/>
      <w:numFmt w:val="lowerLetter"/>
      <w:start w:val="1"/>
    </w:lvl>
    <w:lvl w:ilvl="1">
      <w:lvlJc w:val="left"/>
      <w:lvlText w:val="(%2)"/>
      <w:numFmt w:val="lowerLetter"/>
      <w:start w:val="1"/>
    </w:lvl>
  </w:abstractNum>
  <w:abstractNum w:abstractNumId="120">
    <w:nsid w:val="73D4D3C4"/>
    <w:multiLevelType w:val="hybridMultilevel"/>
    <w:lvl w:ilvl="0">
      <w:lvlJc w:val="left"/>
      <w:lvlText w:val="(%1)"/>
      <w:numFmt w:val="lowerLetter"/>
      <w:start w:val="9"/>
    </w:lvl>
    <w:lvl w:ilvl="1">
      <w:lvlJc w:val="left"/>
      <w:lvlText w:val="%2"/>
      <w:numFmt w:val="lowerLetter"/>
      <w:start w:val="1"/>
    </w:lvl>
  </w:abstractNum>
  <w:abstractNum w:abstractNumId="121">
    <w:nsid w:val="746F2E30"/>
    <w:multiLevelType w:val="hybridMultilevel"/>
    <w:lvl w:ilvl="0">
      <w:lvlJc w:val="left"/>
      <w:lvlText w:val="%1"/>
      <w:numFmt w:val="upperLetter"/>
      <w:start w:val="1"/>
    </w:lvl>
    <w:lvl w:ilvl="1">
      <w:lvlJc w:val="left"/>
      <w:lvlText w:val="(%2)"/>
      <w:numFmt w:val="lowerRoman"/>
      <w:start w:val="2"/>
    </w:lvl>
  </w:abstractNum>
  <w:abstractNum w:abstractNumId="122">
    <w:nsid w:val="6FDE8AF6"/>
    <w:multiLevelType w:val="hybridMultilevel"/>
    <w:lvl w:ilvl="0">
      <w:lvlJc w:val="left"/>
      <w:lvlText w:val="(%1)"/>
      <w:numFmt w:val="upperLetter"/>
      <w:start w:val="1"/>
    </w:lvl>
    <w:lvl w:ilvl="1">
      <w:lvlJc w:val="left"/>
      <w:lvlText w:val="%2"/>
      <w:numFmt w:val="lowerRoman"/>
      <w:start w:val="1"/>
    </w:lvl>
  </w:abstractNum>
  <w:abstractNum w:abstractNumId="123">
    <w:nsid w:val="3FC32E20"/>
    <w:multiLevelType w:val="hybridMultilevel"/>
    <w:lvl w:ilvl="0">
      <w:lvlJc w:val="left"/>
      <w:lvlText w:val="(%1)"/>
      <w:numFmt w:val="lowerLetter"/>
      <w:start w:val="2"/>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1)"/>
      <w:numFmt w:val="lowerLetter"/>
      <w:start w:val="4"/>
    </w:lvl>
  </w:abstractNum>
  <w:abstractNum w:abstractNumId="127">
    <w:nsid w:val="6EAA85FB"/>
    <w:multiLevelType w:val="hybridMultilevel"/>
    <w:lvl w:ilvl="0">
      <w:lvlJc w:val="left"/>
      <w:lvlText w:val="(%1)"/>
      <w:numFmt w:val="lowerLetter"/>
      <w:start w:val="2"/>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4"/>
    </w:lvl>
  </w:abstractNum>
  <w:abstractNum w:abstractNumId="131">
    <w:nsid w:val="3F7C2FF4"/>
    <w:multiLevelType w:val="hybridMultilevel"/>
    <w:lvl w:ilvl="0">
      <w:lvlJc w:val="left"/>
      <w:lvlText w:val="(%1)"/>
      <w:numFmt w:val="lowerLetter"/>
      <w:start w:val="12"/>
    </w:lvl>
  </w:abstractNum>
  <w:abstractNum w:abstractNumId="132">
    <w:nsid w:val="25413BEC"/>
    <w:multiLevelType w:val="hybridMultilevel"/>
    <w:lvl w:ilvl="0">
      <w:lvlJc w:val="left"/>
      <w:lvlText w:val="(%1)"/>
      <w:numFmt w:val="lowerRoman"/>
      <w:start w:val="6"/>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1"/>
    </w:lvl>
  </w:abstractNum>
  <w:abstractNum w:abstractNumId="135">
    <w:nsid w:val="5D205E20"/>
    <w:multiLevelType w:val="hybridMultilevel"/>
    <w:lvl w:ilvl="0">
      <w:lvlJc w:val="left"/>
      <w:lvlText w:val="%1"/>
      <w:numFmt w:val="lowerLetter"/>
      <w:start w:val="1"/>
    </w:lvl>
    <w:lvl w:ilvl="1">
      <w:lvlJc w:val="left"/>
      <w:lvlText w:val="(%2)"/>
      <w:numFmt w:val="lowerLetter"/>
      <w:start w:val="1"/>
    </w:lvl>
  </w:abstractNum>
  <w:abstractNum w:abstractNumId="136">
    <w:nsid w:val="11CCA8BA"/>
    <w:multiLevelType w:val="hybridMultilevel"/>
    <w:lvl w:ilvl="0">
      <w:lvlJc w:val="left"/>
      <w:lvlText w:val="(%1)"/>
      <w:numFmt w:val="lowerLetter"/>
      <w:start w:val="9"/>
    </w:lvl>
    <w:lvl w:ilvl="1">
      <w:lvlJc w:val="left"/>
      <w:lvlText w:val="%2"/>
      <w:numFmt w:val="lowerLetter"/>
      <w:start w:val="1"/>
    </w:lvl>
  </w:abstractNum>
  <w:abstractNum w:abstractNumId="137">
    <w:nsid w:val="4D32AB86"/>
    <w:multiLevelType w:val="hybridMultilevel"/>
    <w:lvl w:ilvl="0">
      <w:lvlJc w:val="left"/>
      <w:lvlText w:val="%1"/>
      <w:numFmt w:val="lowerRoman"/>
      <w:start w:val="1"/>
    </w:lvl>
    <w:lvl w:ilvl="1">
      <w:lvlJc w:val="left"/>
      <w:lvlText w:val="(%2)"/>
      <w:numFmt w:val="lowerLetter"/>
      <w:start w:val="2"/>
    </w:lvl>
  </w:abstractNum>
  <w:abstractNum w:abstractNumId="138">
    <w:nsid w:val="3F07ACC3"/>
    <w:multiLevelType w:val="hybridMultilevel"/>
    <w:lvl w:ilvl="0">
      <w:lvlJc w:val="left"/>
      <w:lvlText w:val="(%1)"/>
      <w:numFmt w:val="lowerRoman"/>
      <w:start w:val="1"/>
    </w:lvl>
    <w:lvl w:ilvl="1">
      <w:lvlJc w:val="left"/>
      <w:lvlText w:val="%2"/>
      <w:numFmt w:val="lowerLetter"/>
      <w:start w:val="1"/>
    </w:lvl>
  </w:abstractNum>
  <w:abstractNum w:abstractNumId="139">
    <w:nsid w:val="6B47F63E"/>
    <w:multiLevelType w:val="hybridMultilevel"/>
    <w:lvl w:ilvl="0">
      <w:lvlJc w:val="left"/>
      <w:lvlText w:val="(%1)"/>
      <w:numFmt w:val="lowerLetter"/>
      <w:start w:val="1"/>
    </w:lvl>
  </w:abstractNum>
  <w:abstractNum w:abstractNumId="140">
    <w:nsid w:val="5CB44A05"/>
    <w:multiLevelType w:val="hybridMultilevel"/>
    <w:lvl w:ilvl="0">
      <w:lvlJc w:val="left"/>
      <w:lvlText w:val="(%1)"/>
      <w:numFmt w:val="lowerLetter"/>
      <w:start w:val="3"/>
    </w:lvl>
  </w:abstractNum>
  <w:abstractNum w:abstractNumId="141">
    <w:nsid w:val="16CF80F1"/>
    <w:multiLevelType w:val="hybridMultilevel"/>
    <w:lvl w:ilvl="0">
      <w:lvlJc w:val="left"/>
      <w:lvlText w:val="(%1)"/>
      <w:numFmt w:val="lowerLetter"/>
      <w:start w:val="5"/>
    </w:lvl>
  </w:abstractNum>
  <w:abstractNum w:abstractNumId="142">
    <w:nsid w:val="1C695DEC"/>
    <w:multiLevelType w:val="hybridMultilevel"/>
    <w:lvl w:ilvl="0">
      <w:lvlJc w:val="left"/>
      <w:lvlText w:val="%1"/>
      <w:numFmt w:val="lowerRoman"/>
      <w:start w:val="1"/>
    </w:lvl>
    <w:lvl w:ilvl="1">
      <w:lvlJc w:val="left"/>
      <w:lvlText w:val="(%2)"/>
      <w:numFmt w:val="lowerLetter"/>
      <w:start w:val="1"/>
    </w:lvl>
  </w:abstractNum>
  <w:abstractNum w:abstractNumId="143">
    <w:nsid w:val="3FCFAED9"/>
    <w:multiLevelType w:val="hybridMultilevel"/>
    <w:lvl w:ilvl="0">
      <w:lvlJc w:val="left"/>
      <w:lvlText w:val="(%1)"/>
      <w:numFmt w:val="lowerRoman"/>
      <w:start w:val="1"/>
    </w:lvl>
    <w:lvl w:ilvl="1">
      <w:lvlJc w:val="left"/>
      <w:lvlText w:val="%2"/>
      <w:numFmt w:val="lowerLetter"/>
      <w:start w:val="1"/>
    </w:lvl>
  </w:abstractNum>
  <w:abstractNum w:abstractNumId="144">
    <w:nsid w:val="F856867"/>
    <w:multiLevelType w:val="hybridMultilevel"/>
    <w:lvl w:ilvl="0">
      <w:lvlJc w:val="left"/>
      <w:lvlText w:val="(%1)"/>
      <w:numFmt w:val="lowerLetter"/>
      <w:start w:val="2"/>
    </w:lvl>
  </w:abstractNum>
  <w:abstractNum w:abstractNumId="145">
    <w:nsid w:val="11B1CC33"/>
    <w:multiLevelType w:val="hybridMultilevel"/>
    <w:lvl w:ilvl="0">
      <w:lvlJc w:val="left"/>
      <w:lvlText w:val="(%1)"/>
      <w:numFmt w:val="lowerLetter"/>
      <w:start w:val="3"/>
    </w:lvl>
  </w:abstractNum>
  <w:abstractNum w:abstractNumId="146">
    <w:nsid w:val="2E22FBB7"/>
    <w:multiLevelType w:val="hybridMultilevel"/>
    <w:lvl w:ilvl="0">
      <w:lvlJc w:val="left"/>
      <w:lvlText w:val="(%1)"/>
      <w:numFmt w:val="lowerLetter"/>
      <w:start w:val="5"/>
    </w:lvl>
  </w:abstractNum>
  <w:abstractNum w:abstractNumId="147">
    <w:nsid w:val="29934699"/>
    <w:multiLevelType w:val="hybridMultilevel"/>
    <w:lvl w:ilvl="0">
      <w:lvlJc w:val="left"/>
      <w:lvlText w:val="%1"/>
      <w:numFmt w:val="upperLetter"/>
      <w:start w:val="1"/>
    </w:lvl>
    <w:lvl w:ilvl="1">
      <w:lvlJc w:val="left"/>
      <w:lvlText w:val="(%2)"/>
      <w:numFmt w:val="lowerLetter"/>
      <w:start w:val="1"/>
    </w:lvl>
  </w:abstractNum>
  <w:abstractNum w:abstractNumId="148">
    <w:nsid w:val="77485850"/>
    <w:multiLevelType w:val="hybridMultilevel"/>
    <w:lvl w:ilvl="0">
      <w:lvlJc w:val="left"/>
      <w:lvlText w:val="(%1)"/>
      <w:numFmt w:val="upperLetter"/>
      <w:start w:val="1"/>
    </w:lvl>
    <w:lvl w:ilvl="1">
      <w:lvlJc w:val="left"/>
      <w:lvlText w:val="%2"/>
      <w:numFmt w:val="lowerLetter"/>
      <w:start w:val="1"/>
    </w:lvl>
  </w:abstractNum>
  <w:abstractNum w:abstractNumId="149">
    <w:nsid w:val="744939A3"/>
    <w:multiLevelType w:val="hybridMultilevel"/>
    <w:lvl w:ilvl="0">
      <w:lvlJc w:val="left"/>
      <w:lvlText w:val="(%1)"/>
      <w:numFmt w:val="upperLetter"/>
      <w:start w:val="1"/>
    </w:lvl>
  </w:abstractNum>
  <w:abstractNum w:abstractNumId="150">
    <w:nsid w:val="4FA0D2E3"/>
    <w:multiLevelType w:val="hybridMultilevel"/>
    <w:lvl w:ilvl="0">
      <w:lvlJc w:val="left"/>
      <w:lvlText w:val="(%1)"/>
      <w:numFmt w:val="upperLetter"/>
      <w:start w:val="2"/>
    </w:lvl>
  </w:abstractNum>
  <w:abstractNum w:abstractNumId="151">
    <w:nsid w:val="6B1D2C14"/>
    <w:multiLevelType w:val="hybridMultilevel"/>
    <w:lvl w:ilvl="0">
      <w:lvlJc w:val="left"/>
      <w:lvlText w:val="(%1)"/>
      <w:numFmt w:val="lowerRoman"/>
      <w:start w:val="3"/>
    </w:lvl>
  </w:abstractNum>
  <w:abstractNum w:abstractNumId="152">
    <w:nsid w:val="68B867D3"/>
    <w:multiLevelType w:val="hybridMultilevel"/>
    <w:lvl w:ilvl="0">
      <w:lvlJc w:val="left"/>
      <w:lvlText w:val="(%1)"/>
      <w:numFmt w:val="lowerLetter"/>
      <w:start w:val="3"/>
    </w:lvl>
  </w:abstractNum>
  <w:abstractNum w:abstractNumId="153">
    <w:nsid w:val="3F7F5DD9"/>
    <w:multiLevelType w:val="hybridMultilevel"/>
    <w:lvl w:ilvl="0">
      <w:lvlJc w:val="left"/>
      <w:lvlText w:val="(%1)"/>
      <w:numFmt w:val="lowerLetter"/>
      <w:start w:val="4"/>
    </w:lvl>
  </w:abstractNum>
  <w:abstractNum w:abstractNumId="154">
    <w:nsid w:val="2AE05A34"/>
    <w:multiLevelType w:val="hybridMultilevel"/>
    <w:lvl w:ilvl="0">
      <w:lvlJc w:val="left"/>
      <w:lvlText w:val="(%1)"/>
      <w:numFmt w:val="lowerLetter"/>
      <w:start w:val="1"/>
    </w:lvl>
  </w:abstractNum>
  <w:abstractNum w:abstractNumId="155">
    <w:nsid w:val="32794FF7"/>
    <w:multiLevelType w:val="hybridMultilevel"/>
    <w:lvl w:ilvl="0">
      <w:lvlJc w:val="left"/>
      <w:lvlText w:val="(%1)"/>
      <w:numFmt w:val="lowerLetter"/>
      <w:start w:val="1"/>
    </w:lvl>
  </w:abstractNum>
  <w:abstractNum w:abstractNumId="156">
    <w:nsid w:val="5454945E"/>
    <w:multiLevelType w:val="hybridMultilevel"/>
    <w:lvl w:ilvl="0">
      <w:lvlJc w:val="left"/>
      <w:lvlText w:val="(%1)"/>
      <w:numFmt w:val="lowerLetter"/>
      <w:start w:val="4"/>
    </w:lvl>
  </w:abstractNum>
  <w:abstractNum w:abstractNumId="157">
    <w:nsid w:val="4DEFDFA0"/>
    <w:multiLevelType w:val="hybridMultilevel"/>
    <w:lvl w:ilvl="0">
      <w:lvlJc w:val="left"/>
      <w:lvlText w:val="%1"/>
      <w:numFmt w:val="lowerRoman"/>
      <w:start w:val="1"/>
    </w:lvl>
    <w:lvl w:ilvl="1">
      <w:lvlJc w:val="left"/>
      <w:lvlText w:val="(%2)"/>
      <w:numFmt w:val="lowerLetter"/>
      <w:start w:val="1"/>
    </w:lvl>
  </w:abstractNum>
  <w:abstractNum w:abstractNumId="158">
    <w:nsid w:val="2123D5F2"/>
    <w:multiLevelType w:val="hybridMultilevel"/>
    <w:lvl w:ilvl="0">
      <w:lvlJc w:val="left"/>
      <w:lvlText w:val="(%1)"/>
      <w:numFmt w:val="lowerRoman"/>
      <w:start w:val="1"/>
    </w:lvl>
    <w:lvl w:ilvl="1">
      <w:lvlJc w:val="left"/>
      <w:lvlText w:val="%2"/>
      <w:numFmt w:val="lowerLetter"/>
      <w:start w:val="1"/>
    </w:lvl>
  </w:abstractNum>
  <w:abstractNum w:abstractNumId="159">
    <w:nsid w:val="135B8110"/>
    <w:multiLevelType w:val="hybridMultilevel"/>
    <w:lvl w:ilvl="0">
      <w:lvlJc w:val="left"/>
      <w:lvlText w:val="(%1)"/>
      <w:numFmt w:val="lowerLetter"/>
      <w:start w:val="1"/>
    </w:lvl>
  </w:abstractNum>
  <w:abstractNum w:abstractNumId="160">
    <w:nsid w:val="94927A8"/>
    <w:multiLevelType w:val="hybridMultilevel"/>
    <w:lvl w:ilvl="0">
      <w:lvlJc w:val="left"/>
      <w:lvlText w:val="(%1)"/>
      <w:numFmt w:val="lowerLetter"/>
      <w:start w:val="2"/>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1)"/>
      <w:numFmt w:val="lowerLetter"/>
      <w:start w:val="5"/>
    </w:lvl>
  </w:abstractNum>
  <w:abstractNum w:abstractNumId="163">
    <w:nsid w:val="2E8A6394"/>
    <w:multiLevelType w:val="hybridMultilevel"/>
    <w:lvl w:ilvl="0">
      <w:lvlJc w:val="left"/>
      <w:lvlText w:val="%1."/>
      <w:numFmt w:val="decimal"/>
      <w:start w:val="1"/>
    </w:lvl>
    <w:lvl w:ilvl="1">
      <w:lvlJc w:val="left"/>
      <w:lvlText w:val="(%2)"/>
      <w:numFmt w:val="lowerLetter"/>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decimal"/>
      <w:start w:val="2"/>
    </w:lvl>
  </w:abstractNum>
  <w:abstractNum w:abstractNumId="166">
    <w:nsid w:val="BAAC1B4"/>
    <w:multiLevelType w:val="hybridMultilevel"/>
    <w:lvl w:ilvl="0">
      <w:lvlJc w:val="left"/>
      <w:lvlText w:val="%1."/>
      <w:numFmt w:val="decimal"/>
      <w:start w:val="3"/>
    </w:lvl>
  </w:abstractNum>
  <w:abstractNum w:abstractNumId="167">
    <w:nsid w:val="36B2ACBC"/>
    <w:multiLevelType w:val="hybridMultilevel"/>
    <w:lvl w:ilvl="0">
      <w:lvlJc w:val="left"/>
      <w:lvlText w:val="%1."/>
      <w:numFmt w:val="decimal"/>
      <w:start w:val="1"/>
    </w:lvl>
  </w:abstractNum>
  <w:abstractNum w:abstractNumId="168">
    <w:nsid w:val="779D8544"/>
    <w:multiLevelType w:val="hybridMultilevel"/>
    <w:lvl w:ilvl="0">
      <w:lvlJc w:val="left"/>
      <w:lvlText w:val="(%1)"/>
      <w:numFmt w:val="lowerRoman"/>
      <w:start w:val="1"/>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1."/>
      <w:numFmt w:val="decimal"/>
      <w:start w:val="4"/>
    </w:lvl>
  </w:abstractNum>
  <w:abstractNum w:abstractNumId="171">
    <w:nsid w:val="5451CF49"/>
    <w:multiLevelType w:val="hybridMultilevel"/>
    <w:lvl w:ilvl="0">
      <w:lvlJc w:val="left"/>
      <w:lvlText w:val="%1."/>
      <w:numFmt w:val="decimal"/>
      <w:start w:val="5"/>
    </w:lvl>
  </w:abstractNum>
  <w:abstractNum w:abstractNumId="172">
    <w:nsid w:val="6181EF69"/>
    <w:multiLevelType w:val="hybridMultilevel"/>
    <w:lvl w:ilvl="0">
      <w:lvlJc w:val="left"/>
      <w:lvlText w:val="%1."/>
      <w:numFmt w:val="decimal"/>
      <w:start w:val="1"/>
    </w:lvl>
    <w:lvl w:ilvl="1">
      <w:lvlJc w:val="left"/>
      <w:lvlText w:val="(%2)"/>
      <w:numFmt w:val="lowerLetter"/>
      <w:start w:val="1"/>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decimal"/>
      <w:start w:val="1"/>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lowerLetter"/>
      <w:start w:val="1"/>
    </w:lvl>
  </w:abstractNum>
  <w:abstractNum w:abstractNumId="180">
    <w:nsid w:val="368DB3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74" Type="http://schemas.openxmlformats.org/officeDocument/2006/relationships/image" Target="media/image27.png"/><Relationship Id="rId75" Type="http://schemas.openxmlformats.org/officeDocument/2006/relationships/image" Target="media/image28.png"/><Relationship Id="rId76" Type="http://schemas.openxmlformats.org/officeDocument/2006/relationships/image" Target="media/image29.png"/><Relationship Id="rId77" Type="http://schemas.openxmlformats.org/officeDocument/2006/relationships/image" Target="media/image30.png"/><Relationship Id="rId78" Type="http://schemas.openxmlformats.org/officeDocument/2006/relationships/image" Target="media/image31.png"/><Relationship Id="rId79" Type="http://schemas.openxmlformats.org/officeDocument/2006/relationships/image" Target="media/image32.png"/><Relationship Id="rId80" Type="http://schemas.openxmlformats.org/officeDocument/2006/relationships/image" Target="media/image33.png"/><Relationship Id="rId81" Type="http://schemas.openxmlformats.org/officeDocument/2006/relationships/image" Target="media/image34.png"/><Relationship Id="rId82" Type="http://schemas.openxmlformats.org/officeDocument/2006/relationships/image" Target="media/image35.png"/><Relationship Id="rId83" Type="http://schemas.openxmlformats.org/officeDocument/2006/relationships/image" Target="media/image36.png"/><Relationship Id="rId84" Type="http://schemas.openxmlformats.org/officeDocument/2006/relationships/image" Target="media/image37.png"/><Relationship Id="rId85" Type="http://schemas.openxmlformats.org/officeDocument/2006/relationships/image" Target="media/image38.png"/><Relationship Id="rId86" Type="http://schemas.openxmlformats.org/officeDocument/2006/relationships/image" Target="media/image39.png"/><Relationship Id="rId87"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jpe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25" Type="http://schemas.openxmlformats.org/officeDocument/2006/relationships/hyperlink" Target="http://www.sec.gov/Archives/edgar/data/1297989/000119312515166288/d901368dex21.htm" TargetMode="External"/><Relationship Id="rId26" Type="http://schemas.openxmlformats.org/officeDocument/2006/relationships/hyperlink" Target="http://www.sec.gov/Archives/edgar/data/1297989/000119312506214684/dex31.htm" TargetMode="External"/><Relationship Id="rId27" Type="http://schemas.openxmlformats.org/officeDocument/2006/relationships/hyperlink" Target="http://www.sec.gov/Archives/edgar/data/1297989/000114420417011696/v460716_ex3-2.htm" TargetMode="External"/><Relationship Id="rId28" Type="http://schemas.openxmlformats.org/officeDocument/2006/relationships/hyperlink" Target="http://www.sec.gov/Archives/edgar/data/1297989/000119312506214684/dex41.htm" TargetMode="External"/><Relationship Id="rId29" Type="http://schemas.openxmlformats.org/officeDocument/2006/relationships/hyperlink" Target="http://www.sec.gov/Archives/edgar/data/1297989/000129798917000010/exls-ex101x09x19x2017rohit.htm" TargetMode="External"/><Relationship Id="rId30" Type="http://schemas.openxmlformats.org/officeDocument/2006/relationships/hyperlink" Target="http://www.sec.gov/Archives/edgar/data/1297989/000119312504207482/dex1015.htm" TargetMode="External"/><Relationship Id="rId31" Type="http://schemas.openxmlformats.org/officeDocument/2006/relationships/hyperlink" Target="http://www.sec.gov/Archives/edgar/data/1297989/000129798916000006/exls-ex103x03x31x2016x10xq.htm" TargetMode="External"/><Relationship Id="rId32" Type="http://schemas.openxmlformats.org/officeDocument/2006/relationships/hyperlink" Target="http://www.sec.gov/Archives/edgar/data/1297989/000129798916000006/exls-ex101x03x31x2016x10xq.htm" TargetMode="External"/><Relationship Id="rId33" Type="http://schemas.openxmlformats.org/officeDocument/2006/relationships/hyperlink" Target="http://www.sec.gov/Archives/edgar/data/1297989/000119312515166288/d901368dex101.htm" TargetMode="External"/><Relationship Id="rId34" Type="http://schemas.openxmlformats.org/officeDocument/2006/relationships/hyperlink" Target="http://www.sec.gov/Archives/edgar/data/1297989/000129798917000002/exls-ex106x213116x10k.htm" TargetMode="External"/><Relationship Id="rId35" Type="http://schemas.openxmlformats.org/officeDocument/2006/relationships/hyperlink" Target="http://www.sec.gov/Archives/edgar/data/1297989/000119312511068676/dex1029.htm" TargetMode="External"/><Relationship Id="rId36" Type="http://schemas.openxmlformats.org/officeDocument/2006/relationships/hyperlink" Target="http://www.sec.gov/Archives/edgar/data/1297989/000119312506155175/dex1016.htm" TargetMode="External"/><Relationship Id="rId37" Type="http://schemas.openxmlformats.org/officeDocument/2006/relationships/hyperlink" Target="http://www.sec.gov/Archives/edgar/data/1297989/000119312506155175/dex1018.htm" TargetMode="External"/><Relationship Id="rId38" Type="http://schemas.openxmlformats.org/officeDocument/2006/relationships/hyperlink" Target="http://www.sec.gov/Archives/edgar/data/1297989/000119312506155175/dex1020.htm" TargetMode="External"/><Relationship Id="rId39" Type="http://schemas.openxmlformats.org/officeDocument/2006/relationships/hyperlink" Target="http://www.sec.gov/Archives/edgar/data/1297989/000119312506208742/dex1021.htm" TargetMode="External"/><Relationship Id="rId40" Type="http://schemas.openxmlformats.org/officeDocument/2006/relationships/hyperlink" Target="http://www.sec.gov/Archives/edgar/data/1297989/000119312506202168/dex1022.htm" TargetMode="External"/><Relationship Id="rId41" Type="http://schemas.openxmlformats.org/officeDocument/2006/relationships/hyperlink" Target="http://www.sec.gov/Archives/edgar/data/1297989/000119312506202168/dex1023.htm" TargetMode="External"/><Relationship Id="rId42" Type="http://schemas.openxmlformats.org/officeDocument/2006/relationships/hyperlink" Target="http://www.sec.gov/Archives/edgar/data/1297989/000119312506202168/dex1031.htm" TargetMode="External"/><Relationship Id="rId43" Type="http://schemas.openxmlformats.org/officeDocument/2006/relationships/hyperlink" Target="http://www.sec.gov/Archives/edgar/data/1297989/000119312506202168/dex1032.htm" TargetMode="External"/><Relationship Id="rId44" Type="http://schemas.openxmlformats.org/officeDocument/2006/relationships/hyperlink" Target="http://www.sec.gov/Archives/edgar/data/1297989/000119312506202168/dex1033.htm" TargetMode="External"/><Relationship Id="rId45" Type="http://schemas.openxmlformats.org/officeDocument/2006/relationships/hyperlink" Target="http://www.sec.gov/Archives/edgar/data/1297989/000119312506208742/dex1038.htm" TargetMode="External"/><Relationship Id="rId46" Type="http://schemas.openxmlformats.org/officeDocument/2006/relationships/hyperlink" Target="http://www.sec.gov/Archives/edgar/data/1297989/000119312506202168/dex1039.htm" TargetMode="External"/><Relationship Id="rId47" Type="http://schemas.openxmlformats.org/officeDocument/2006/relationships/hyperlink" Target="http://www.sec.gov/Archives/edgar/data/1297989/000119312506202168/dex1040.htm" TargetMode="External"/><Relationship Id="rId48" Type="http://schemas.openxmlformats.org/officeDocument/2006/relationships/hyperlink" Target="http://www.sec.gov/Archives/edgar/data/1297989/000119312506202168/dex1042.htm" TargetMode="External"/><Relationship Id="rId49" Type="http://schemas.openxmlformats.org/officeDocument/2006/relationships/hyperlink" Target="http://www.sec.gov/Archives/edgar/data/1297989/000119312506202168/dex1043.htm" TargetMode="External"/><Relationship Id="rId50" Type="http://schemas.openxmlformats.org/officeDocument/2006/relationships/hyperlink" Target="http://www.sec.gov/Archives/edgar/data/1297989/000119312506202168/dex1044.htm" TargetMode="External"/><Relationship Id="rId51" Type="http://schemas.openxmlformats.org/officeDocument/2006/relationships/hyperlink" Target="http://www.sec.gov/Archives/edgar/data/1297989/000119312506202168/dex1045.htm" TargetMode="External"/><Relationship Id="rId52" Type="http://schemas.openxmlformats.org/officeDocument/2006/relationships/hyperlink" Target="http://www.sec.gov/Archives/edgar/data/1297989/000119312506208742/dex1046.htm" TargetMode="External"/><Relationship Id="rId53" Type="http://schemas.openxmlformats.org/officeDocument/2006/relationships/hyperlink" Target="http://www.sec.gov/Archives/edgar/data/1297989/000095014210000117/ex99-1form8k_020410.htm" TargetMode="External"/><Relationship Id="rId54" Type="http://schemas.openxmlformats.org/officeDocument/2006/relationships/hyperlink" Target="http://www.sec.gov/Archives/edgar/data/1297989/000095014210000117/ex99-2form8k_020410.htm" TargetMode="External"/><Relationship Id="rId55" Type="http://schemas.openxmlformats.org/officeDocument/2006/relationships/hyperlink" Target="http://www.sec.gov/Archives/edgar/data/1297989/000095014210000117/ex99-3form8k_020410.htm" TargetMode="External"/><Relationship Id="rId56" Type="http://schemas.openxmlformats.org/officeDocument/2006/relationships/hyperlink" Target="http://www.sec.gov/Archives/edgar/data/1297989/000095014210000117/ex99-4form8k_020410.htm" TargetMode="External"/><Relationship Id="rId57" Type="http://schemas.openxmlformats.org/officeDocument/2006/relationships/hyperlink" Target="http://www.sec.gov/Archives/edgar/data/1297989/000095014210000117/ex99-5form8k_020410.htm" TargetMode="External"/><Relationship Id="rId58" Type="http://schemas.openxmlformats.org/officeDocument/2006/relationships/hyperlink" Target="http://www.sec.gov/Archives/edgar/data/1297989/000119312509016370/dex46.htm" TargetMode="External"/><Relationship Id="rId59" Type="http://schemas.openxmlformats.org/officeDocument/2006/relationships/hyperlink" Target="http://www.sec.gov/Archives/edgar/data/1297989/000119312514177305/d701173dex101.htm" TargetMode="External"/><Relationship Id="rId60" Type="http://schemas.openxmlformats.org/officeDocument/2006/relationships/hyperlink" Target="http://www.sec.gov/Archives/edgar/data/1297989/000119312515069666/d845158dex1039.htm" TargetMode="External"/><Relationship Id="rId61" Type="http://schemas.openxmlformats.org/officeDocument/2006/relationships/hyperlink" Target="http://www.sec.gov/Archives/edgar/data/1297989/000119312515069666/d845158dex1040.htm" TargetMode="External"/><Relationship Id="rId62" Type="http://schemas.openxmlformats.org/officeDocument/2006/relationships/hyperlink" Target="http://www.sec.gov/Archives/edgar/data/1297989/000119312515235176/d948602dex101.htm" TargetMode="External"/><Relationship Id="rId63" Type="http://schemas.openxmlformats.org/officeDocument/2006/relationships/hyperlink" Target="http://www.sec.gov/Archives/edgar/data/1297989/000129798916000015/exls-ex101x09x30x2016x10xq.htm" TargetMode="External"/><Relationship Id="rId64" Type="http://schemas.openxmlformats.org/officeDocument/2006/relationships/hyperlink" Target="http://www.sec.gov/Archives/edgar/data/1297989/000129798917000002/exls-ex1040x213116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2019-12-29T00:31:16Z</dcterms:created>
  <dcterms:modified xsi:type="dcterms:W3CDTF">2019-12-29T00:31:16Z</dcterms:modified>
</cp:coreProperties>
</file>