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6930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9303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Kapoor Rohit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4"/>
        <w:spacing w:after="0"/>
        <w:rPr>
          <w:sz w:val="20"/>
          <w:szCs w:val="20"/>
          <w:color w:val="auto"/>
        </w:rPr>
      </w:pPr>
      <w:r>
        <w:rPr>
          <w:rFonts w:ascii="Arial" w:cs="Arial" w:eastAsia="Arial" w:hAnsi="Arial"/>
          <w:sz w:val="17"/>
          <w:szCs w:val="17"/>
          <w:color w:val="0000FF"/>
        </w:rPr>
        <w:t>CEO &amp; Vice Chairman</w:t>
      </w:r>
    </w:p>
    <w:p>
      <w:pPr>
        <w:spacing w:after="0" w:line="263" w:lineRule="exact"/>
        <w:rPr>
          <w:sz w:val="24"/>
          <w:szCs w:val="24"/>
          <w:color w:val="auto"/>
        </w:rPr>
      </w:pPr>
    </w:p>
    <w:p>
      <w:pPr>
        <w:sectPr>
          <w:pgSz w:w="11900" w:h="16838" w:orient="portrait"/>
          <w:cols w:equalWidth="0" w:num="3">
            <w:col w:w="3180" w:space="720"/>
            <w:col w:w="3116" w:space="720"/>
            <w:col w:w="3344"/>
          </w:cols>
          <w:pgMar w:left="460" w:top="220" w:right="359" w:bottom="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4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720" w:type="dxa"/>
            <w:vAlign w:val="bottom"/>
            <w:gridSpan w:val="6"/>
            <w:vMerge w:val="restart"/>
          </w:tcPr>
          <w:p>
            <w:pPr>
              <w:jc w:val="center"/>
              <w:ind w:right="138"/>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1"/>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6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4"/>
          </w:tcPr>
          <w:p>
            <w:pPr>
              <w:ind w:left="260"/>
              <w:spacing w:after="0" w:line="145" w:lineRule="exact"/>
              <w:rPr>
                <w:sz w:val="20"/>
                <w:szCs w:val="20"/>
                <w:color w:val="auto"/>
              </w:rPr>
            </w:pPr>
            <w:r>
              <w:rPr>
                <w:rFonts w:ascii="Arial" w:cs="Arial" w:eastAsia="Arial" w:hAnsi="Arial"/>
                <w:sz w:val="13"/>
                <w:szCs w:val="13"/>
                <w:color w:val="auto"/>
              </w:rPr>
              <w:t>Line)</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640" w:type="dxa"/>
            <w:vAlign w:val="bottom"/>
          </w:tcPr>
          <w:p>
            <w:pPr>
              <w:ind w:left="40"/>
              <w:spacing w:after="0"/>
              <w:rPr>
                <w:sz w:val="20"/>
                <w:szCs w:val="20"/>
                <w:color w:val="auto"/>
              </w:rPr>
            </w:pPr>
            <w:r>
              <w:rPr>
                <w:rFonts w:ascii="Arial" w:cs="Arial" w:eastAsia="Arial" w:hAnsi="Arial"/>
                <w:sz w:val="17"/>
                <w:szCs w:val="17"/>
                <w:color w:val="0000FF"/>
              </w:rPr>
              <w:t>10022</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04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0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3"/>
          </w:tcPr>
          <w:p>
            <w:pPr>
              <w:ind w:left="1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4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gridSpan w:val="6"/>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1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$0.001 per share</w:t>
            </w:r>
          </w:p>
        </w:tc>
        <w:tc>
          <w:tcPr>
            <w:tcW w:w="1180" w:type="dxa"/>
            <w:vAlign w:val="bottom"/>
            <w:tcBorders>
              <w:bottom w:val="single" w:sz="8" w:color="2C2C2C"/>
            </w:tcBorders>
            <w:gridSpan w:val="3"/>
          </w:tcPr>
          <w:p>
            <w:pPr>
              <w:jc w:val="right"/>
              <w:ind w:right="136"/>
              <w:spacing w:after="0"/>
              <w:rPr>
                <w:sz w:val="20"/>
                <w:szCs w:val="20"/>
                <w:color w:val="auto"/>
              </w:rPr>
            </w:pPr>
            <w:r>
              <w:rPr>
                <w:rFonts w:ascii="Arial" w:cs="Arial" w:eastAsia="Arial" w:hAnsi="Arial"/>
                <w:sz w:val="17"/>
                <w:szCs w:val="17"/>
                <w:color w:val="0000FF"/>
              </w:rPr>
              <w:t>02/17/2022</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8,850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460" w:type="dxa"/>
            <w:vAlign w:val="bottom"/>
            <w:tcBorders>
              <w:bottom w:val="single" w:sz="8" w:color="2C2C2C"/>
            </w:tcBorders>
          </w:tcPr>
          <w:p>
            <w:pPr>
              <w:ind w:left="100"/>
              <w:spacing w:after="0" w:line="306" w:lineRule="exact"/>
              <w:rPr>
                <w:sz w:val="20"/>
                <w:szCs w:val="20"/>
                <w:color w:val="auto"/>
              </w:rPr>
            </w:pPr>
            <w:r>
              <w:rPr>
                <w:rFonts w:ascii="Arial" w:cs="Arial" w:eastAsia="Arial" w:hAnsi="Arial"/>
                <w:sz w:val="33"/>
                <w:szCs w:val="33"/>
                <w:color w:val="000000"/>
                <w:w w:val="89"/>
                <w:vertAlign w:val="subscript"/>
              </w:rPr>
              <w:t>$</w:t>
            </w:r>
            <w:r>
              <w:rPr>
                <w:rFonts w:ascii="Arial" w:cs="Arial" w:eastAsia="Arial" w:hAnsi="Arial"/>
                <w:sz w:val="33"/>
                <w:szCs w:val="33"/>
                <w:color w:val="0000FF"/>
                <w:w w:val="89"/>
                <w:vertAlign w:val="subscript"/>
              </w:rPr>
              <w:t>0</w:t>
            </w:r>
            <w:r>
              <w:rPr>
                <w:rFonts w:ascii="Arial" w:cs="Arial" w:eastAsia="Arial" w:hAnsi="Arial"/>
                <w:sz w:val="11"/>
                <w:szCs w:val="11"/>
                <w:color w:val="008000"/>
                <w:w w:val="89"/>
              </w:rPr>
              <w:t>(1)</w:t>
            </w:r>
          </w:p>
        </w:tc>
        <w:tc>
          <w:tcPr>
            <w:tcW w:w="12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7"/>
              </w:rPr>
              <w:t>152,720</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40" w:type="dxa"/>
            <w:vAlign w:val="bottom"/>
            <w:gridSpan w:val="6"/>
            <w:vMerge w:val="restart"/>
          </w:tcPr>
          <w:p>
            <w:pPr>
              <w:ind w:left="60"/>
              <w:spacing w:after="0"/>
              <w:rPr>
                <w:sz w:val="20"/>
                <w:szCs w:val="20"/>
                <w:color w:val="auto"/>
              </w:rPr>
            </w:pPr>
            <w:r>
              <w:rPr>
                <w:rFonts w:ascii="Arial" w:cs="Arial" w:eastAsia="Arial" w:hAnsi="Arial"/>
                <w:sz w:val="17"/>
                <w:szCs w:val="17"/>
                <w:color w:val="0000FF"/>
                <w:w w:val="88"/>
              </w:rPr>
              <w:t>Common Stock, par value $0.001 per share</w:t>
            </w:r>
            <w:r>
              <w:rPr>
                <w:rFonts w:ascii="Arial" w:cs="Arial" w:eastAsia="Arial" w:hAnsi="Arial"/>
                <w:sz w:val="21"/>
                <w:szCs w:val="21"/>
                <w:color w:val="008000"/>
                <w:w w:val="88"/>
                <w:vertAlign w:val="superscript"/>
              </w:rPr>
              <w:t>(2)</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97,185</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6"/>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40" w:type="dxa"/>
            <w:vAlign w:val="bottom"/>
            <w:gridSpan w:val="6"/>
            <w:vMerge w:val="restart"/>
          </w:tcPr>
          <w:p>
            <w:pPr>
              <w:ind w:left="60"/>
              <w:spacing w:after="0"/>
              <w:rPr>
                <w:sz w:val="20"/>
                <w:szCs w:val="20"/>
                <w:color w:val="auto"/>
              </w:rPr>
            </w:pPr>
            <w:r>
              <w:rPr>
                <w:rFonts w:ascii="Arial" w:cs="Arial" w:eastAsia="Arial" w:hAnsi="Arial"/>
                <w:sz w:val="17"/>
                <w:szCs w:val="17"/>
                <w:color w:val="0000FF"/>
                <w:w w:val="93"/>
              </w:rPr>
              <w:t>Common Stock, par value $0.001 per share</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40,219</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40" w:type="dxa"/>
            <w:vAlign w:val="bottom"/>
            <w:gridSpan w:val="6"/>
            <w:vMerge w:val="restart"/>
          </w:tcPr>
          <w:p>
            <w:pPr>
              <w:ind w:left="60"/>
              <w:spacing w:after="0"/>
              <w:rPr>
                <w:sz w:val="20"/>
                <w:szCs w:val="20"/>
                <w:color w:val="auto"/>
              </w:rPr>
            </w:pPr>
            <w:r>
              <w:rPr>
                <w:rFonts w:ascii="Arial" w:cs="Arial" w:eastAsia="Arial" w:hAnsi="Arial"/>
                <w:sz w:val="17"/>
                <w:szCs w:val="17"/>
                <w:color w:val="0000FF"/>
                <w:w w:val="93"/>
              </w:rPr>
              <w:t>Common Stock, par value $0.001 per share</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177,134</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40" w:type="dxa"/>
            <w:vAlign w:val="bottom"/>
            <w:gridSpan w:val="6"/>
            <w:vMerge w:val="restart"/>
          </w:tcPr>
          <w:p>
            <w:pPr>
              <w:ind w:left="60"/>
              <w:spacing w:after="0"/>
              <w:rPr>
                <w:sz w:val="20"/>
                <w:szCs w:val="20"/>
                <w:color w:val="auto"/>
              </w:rPr>
            </w:pPr>
            <w:r>
              <w:rPr>
                <w:rFonts w:ascii="Arial" w:cs="Arial" w:eastAsia="Arial" w:hAnsi="Arial"/>
                <w:sz w:val="17"/>
                <w:szCs w:val="17"/>
                <w:color w:val="0000FF"/>
                <w:w w:val="93"/>
              </w:rPr>
              <w:t>Common Stock, par value $0.001 per share</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0"/>
              </w:rPr>
              <w:t>Footnote</w:t>
            </w:r>
            <w:r>
              <w:rPr>
                <w:rFonts w:ascii="Arial" w:cs="Arial" w:eastAsia="Arial" w:hAnsi="Arial"/>
                <w:sz w:val="21"/>
                <w:szCs w:val="21"/>
                <w:color w:val="008000"/>
                <w:w w:val="9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40" w:type="dxa"/>
            <w:vAlign w:val="bottom"/>
            <w:gridSpan w:val="6"/>
            <w:vMerge w:val="restart"/>
          </w:tcPr>
          <w:p>
            <w:pPr>
              <w:ind w:left="60"/>
              <w:spacing w:after="0"/>
              <w:rPr>
                <w:sz w:val="20"/>
                <w:szCs w:val="20"/>
                <w:color w:val="auto"/>
              </w:rPr>
            </w:pPr>
            <w:r>
              <w:rPr>
                <w:rFonts w:ascii="Arial" w:cs="Arial" w:eastAsia="Arial" w:hAnsi="Arial"/>
                <w:sz w:val="17"/>
                <w:szCs w:val="17"/>
                <w:color w:val="0000FF"/>
                <w:w w:val="93"/>
              </w:rPr>
              <w:t>Common Stock, par value $0.001 per share</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8"/>
              </w:rPr>
              <w:t>84,000</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80" w:type="dxa"/>
            <w:vAlign w:val="bottom"/>
            <w:gridSpan w:val="9"/>
          </w:tcPr>
          <w:p>
            <w:pPr>
              <w:jc w:val="center"/>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46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(8)</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(8)</w:t>
            </w: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0000FF"/>
                <w:w w:val="84"/>
              </w:rPr>
              <w:t>25,164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Arial" w:cs="Arial" w:eastAsia="Arial" w:hAnsi="Arial"/>
                <w:sz w:val="13"/>
                <w:szCs w:val="13"/>
                <w:color w:val="0000FF"/>
              </w:rPr>
              <w:t>02/16/2022</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00" w:type="dxa"/>
            <w:vAlign w:val="bottom"/>
          </w:tcPr>
          <w:p>
            <w:pPr>
              <w:ind w:left="140"/>
              <w:spacing w:after="0" w:line="141" w:lineRule="exact"/>
              <w:rPr>
                <w:sz w:val="20"/>
                <w:szCs w:val="20"/>
                <w:color w:val="auto"/>
              </w:rPr>
            </w:pPr>
            <w:r>
              <w:rPr>
                <w:rFonts w:ascii="Arial" w:cs="Arial" w:eastAsia="Arial" w:hAnsi="Arial"/>
                <w:sz w:val="13"/>
                <w:szCs w:val="13"/>
                <w:color w:val="0000FF"/>
              </w:rPr>
              <w:t>25,164</w:t>
            </w:r>
          </w:p>
        </w:tc>
        <w:tc>
          <w:tcPr>
            <w:tcW w:w="4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par value</w:t>
            </w:r>
          </w:p>
        </w:tc>
        <w:tc>
          <w:tcPr>
            <w:tcW w:w="460" w:type="dxa"/>
            <w:vAlign w:val="bottom"/>
            <w:vMerge w:val="continue"/>
          </w:tcPr>
          <w:p>
            <w:pPr>
              <w:spacing w:after="0"/>
              <w:rPr>
                <w:sz w:val="12"/>
                <w:szCs w:val="12"/>
                <w:color w:val="auto"/>
              </w:rPr>
            </w:pPr>
          </w:p>
        </w:tc>
        <w:tc>
          <w:tcPr>
            <w:tcW w:w="820" w:type="dxa"/>
            <w:vAlign w:val="bottom"/>
            <w:gridSpan w:val="3"/>
          </w:tcPr>
          <w:p>
            <w:pPr>
              <w:ind w:left="3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25,164</w:t>
            </w:r>
          </w:p>
        </w:tc>
        <w:tc>
          <w:tcPr>
            <w:tcW w:w="540" w:type="dxa"/>
            <w:vAlign w:val="bottom"/>
          </w:tcPr>
          <w:p>
            <w:pPr>
              <w:ind w:left="380"/>
              <w:spacing w:after="0" w:line="141"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$0.001</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(9)</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(9)</w:t>
            </w: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0000FF"/>
                <w:w w:val="93"/>
              </w:rPr>
              <w:t>8,850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Arial" w:cs="Arial" w:eastAsia="Arial" w:hAnsi="Arial"/>
                <w:sz w:val="13"/>
                <w:szCs w:val="13"/>
                <w:color w:val="0000FF"/>
              </w:rPr>
              <w:t>02/17/2022</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line="141"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12"/>
                <w:szCs w:val="12"/>
                <w:color w:val="auto"/>
              </w:rPr>
            </w:pPr>
          </w:p>
        </w:tc>
        <w:tc>
          <w:tcPr>
            <w:tcW w:w="440" w:type="dxa"/>
            <w:vAlign w:val="bottom"/>
          </w:tcPr>
          <w:p>
            <w:pPr>
              <w:ind w:left="40"/>
              <w:spacing w:after="0" w:line="141" w:lineRule="exact"/>
              <w:rPr>
                <w:sz w:val="20"/>
                <w:szCs w:val="20"/>
                <w:color w:val="auto"/>
              </w:rPr>
            </w:pPr>
            <w:r>
              <w:rPr>
                <w:rFonts w:ascii="Arial" w:cs="Arial" w:eastAsia="Arial" w:hAnsi="Arial"/>
                <w:sz w:val="13"/>
                <w:szCs w:val="13"/>
                <w:color w:val="0000FF"/>
              </w:rPr>
              <w:t>8,850</w:t>
            </w: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Arial" w:cs="Arial" w:eastAsia="Arial" w:hAnsi="Arial"/>
                <w:sz w:val="13"/>
                <w:szCs w:val="13"/>
                <w:color w:val="0000FF"/>
              </w:rPr>
              <w:t>par value</w:t>
            </w:r>
          </w:p>
        </w:tc>
        <w:tc>
          <w:tcPr>
            <w:tcW w:w="460" w:type="dxa"/>
            <w:vAlign w:val="bottom"/>
            <w:vMerge w:val="continue"/>
          </w:tcPr>
          <w:p>
            <w:pPr>
              <w:spacing w:after="0"/>
              <w:rPr>
                <w:sz w:val="12"/>
                <w:szCs w:val="12"/>
                <w:color w:val="auto"/>
              </w:rPr>
            </w:pPr>
          </w:p>
        </w:tc>
        <w:tc>
          <w:tcPr>
            <w:tcW w:w="820" w:type="dxa"/>
            <w:vAlign w:val="bottom"/>
            <w:gridSpan w:val="3"/>
          </w:tcPr>
          <w:p>
            <w:pPr>
              <w:ind w:left="3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26,550</w:t>
            </w:r>
          </w:p>
        </w:tc>
        <w:tc>
          <w:tcPr>
            <w:tcW w:w="540" w:type="dxa"/>
            <w:vAlign w:val="bottom"/>
          </w:tcPr>
          <w:p>
            <w:pPr>
              <w:ind w:left="380"/>
              <w:spacing w:after="0" w:line="141"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Arial" w:cs="Arial" w:eastAsia="Arial" w:hAnsi="Arial"/>
                <w:sz w:val="13"/>
                <w:szCs w:val="13"/>
                <w:color w:val="0000FF"/>
              </w:rPr>
              <w:t>$0.001</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-2532380</wp:posOffset>
            </wp:positionV>
            <wp:extent cx="29210" cy="253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374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1" w:lineRule="exact"/>
        <w:rPr>
          <w:rFonts w:ascii="Arial" w:cs="Arial" w:eastAsia="Arial" w:hAnsi="Arial"/>
          <w:sz w:val="13"/>
          <w:szCs w:val="13"/>
          <w:color w:val="008000"/>
        </w:rPr>
      </w:pPr>
    </w:p>
    <w:p>
      <w:pPr>
        <w:ind w:left="40" w:right="18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16, 2023. Vesting will be accelerated upon certain termination of employment events and upon a "Change in Control" (as defined in the ExlService Holdings, Inc. 2018 Omnibus Incentive Plan).</w:t>
      </w:r>
    </w:p>
    <w:p>
      <w:pPr>
        <w:spacing w:after="0" w:line="27" w:lineRule="exact"/>
        <w:rPr>
          <w:rFonts w:ascii="Arial" w:cs="Arial" w:eastAsia="Arial" w:hAnsi="Arial"/>
          <w:sz w:val="13"/>
          <w:szCs w:val="13"/>
          <w:color w:val="008000"/>
        </w:rPr>
      </w:pPr>
    </w:p>
    <w:p>
      <w:pPr>
        <w:ind w:left="40" w:right="32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35,400 restricted stock units, vesting in four annual installments beginning on the first anniversary of the grant date. 25 percent of the restricted stock units became vested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right="300"/>
        <w:spacing w:after="0" w:line="333" w:lineRule="auto"/>
        <w:rPr>
          <w:sz w:val="20"/>
          <w:szCs w:val="20"/>
          <w:color w:val="auto"/>
        </w:rPr>
      </w:pPr>
      <w:r>
        <w:rPr>
          <w:rFonts w:ascii="Arial" w:cs="Arial" w:eastAsia="Arial" w:hAnsi="Arial"/>
          <w:sz w:val="11"/>
          <w:szCs w:val="11"/>
          <w:color w:val="008000"/>
        </w:rPr>
        <w:t>Note: On February 16, 2022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600" w:type="dxa"/>
        <w:tblCellMar>
          <w:top w:w="0" w:type="dxa"/>
          <w:left w:w="0" w:type="dxa"/>
          <w:bottom w:w="0" w:type="dxa"/>
          <w:right w:w="0" w:type="dxa"/>
        </w:tblCellMar>
      </w:tblPr>
      <w:tr>
        <w:trPr>
          <w:trHeight w:val="181"/>
        </w:trPr>
        <w:tc>
          <w:tcPr>
            <w:tcW w:w="2040" w:type="dxa"/>
            <w:vAlign w:val="bottom"/>
            <w:tcBorders>
              <w:bottom w:val="single" w:sz="8" w:color="auto"/>
            </w:tcBorders>
            <w:gridSpan w:val="2"/>
          </w:tcPr>
          <w:p>
            <w:pPr>
              <w:spacing w:after="0" w:line="161" w:lineRule="exact"/>
              <w:rPr>
                <w:sz w:val="20"/>
                <w:szCs w:val="20"/>
                <w:color w:val="auto"/>
              </w:rPr>
            </w:pPr>
            <w:r>
              <w:rPr>
                <w:rFonts w:ascii="Arial" w:cs="Arial" w:eastAsia="Arial" w:hAnsi="Arial"/>
                <w:sz w:val="17"/>
                <w:szCs w:val="17"/>
                <w:color w:val="0000FF"/>
                <w:w w:val="89"/>
              </w:rPr>
              <w:t>/s/ Lazbart Oseni, Attorney-in-</w:t>
            </w:r>
          </w:p>
        </w:tc>
        <w:tc>
          <w:tcPr>
            <w:tcW w:w="160" w:type="dxa"/>
            <w:vAlign w:val="bottom"/>
          </w:tcPr>
          <w:p>
            <w:pPr>
              <w:spacing w:after="0"/>
              <w:rPr>
                <w:sz w:val="15"/>
                <w:szCs w:val="15"/>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02/18/2022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99"/>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2022-02-18T16:13:11Z</dcterms:created>
  <dcterms:modified xsi:type="dcterms:W3CDTF">2022-02-18T16:13:11Z</dcterms:modified>
</cp:coreProperties>
</file>