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Bartlett Thomas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EXLSERVICE HOLDINGS,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320 PARK AVENUE</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ExlService Holdings, Inc.</w:t>
              </w:r>
            </w:hyperlink>
            <w:r>
              <w:rPr/>
              <w:t xml:space="preserve"> [ </w:t>
            </w:r>
            <w:r>
              <w:rPr>
                <w:rFonts w:ascii="Times;serif" w:hAnsi="Times;serif"/>
                <w:color w:val="0000FF"/>
                <w:sz w:val="24"/>
                <w:shd w:fill="FFFFFF" w:val="clear"/>
              </w:rPr>
              <w:t>EXLS</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03/06/2024</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179"/>
              <w:gridCol w:w="6355"/>
            </w:tblGrid>
            <w:tr>
              <w:trPr/>
              <w:tc>
                <w:tcPr>
                  <w:tcW w:w="179" w:type="dxa"/>
                  <w:tcBorders/>
                  <w:vAlign w:val="center"/>
                </w:tcPr>
                <w:tbl>
                  <w:tblPr>
                    <w:tblW w:w="266" w:type="dxa"/>
                    <w:jc w:val="left"/>
                    <w:tblInd w:w="0" w:type="dxa"/>
                    <w:tblLayout w:type="fixed"/>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color w:val="0000FF"/>
                            <w:shd w:fill="FFFFFF" w:val="clear"/>
                          </w:rPr>
                        </w:pPr>
                        <w:r>
                          <w:rPr>
                            <w:color w:val="0000FF"/>
                            <w:shd w:fill="FFFFFF" w:val="clear"/>
                          </w:rPr>
                          <w:t>  </w:t>
                        </w:r>
                      </w:p>
                    </w:tc>
                  </w:tr>
                </w:tbl>
                <w:p>
                  <w:pPr>
                    <w:pStyle w:val="TableContents"/>
                    <w:bidi w:val="0"/>
                    <w:spacing w:before="0" w:after="283"/>
                    <w:jc w:val="left"/>
                    <w:rPr>
                      <w:sz w:val="4"/>
                      <w:szCs w:val="4"/>
                    </w:rPr>
                  </w:pPr>
                  <w:r>
                    <w:rPr>
                      <w:sz w:val="4"/>
                      <w:szCs w:val="4"/>
                    </w:rPr>
                  </w:r>
                </w:p>
              </w:tc>
              <w:tc>
                <w:tcPr>
                  <w:tcW w:w="635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03/06/2024</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 par value $0.001 per share</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1,973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1,973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represents a contingent right to receive one share of the Company's common stock upon settlement.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2018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Mr. Oseni is the Company's Head of Administration and Accounts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Lazbart Oseni,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03/08/2024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315047" TargetMode="External"/><Relationship Id="rId4" Type="http://schemas.openxmlformats.org/officeDocument/2006/relationships/hyperlink" Target="http://www.sec.gov/cgi-bin/browse-edgar?action=getcompany&amp;CIK=0001297989"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752</Words>
  <Characters>3977</Characters>
  <CharactersWithSpaces>4663</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