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June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001-33089</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280 Park Avenue, 38th Floor</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70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87" w:right="37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On June 15, 2018, at the Annual Meeting of Stockholders (the “Annual Meeting”) of ExlService Holdings, Inc. (the “Company”), the Company’s stockholders approved the 2018 Omnibus Incentive Plan (the “2018 Plan”), which, among other things, reserves 3,175,000 shares of the Company’s common stock for grants of a variety of types of awards, including options, stock appreciation rights, restricted stock, restricted stock units (time-vested or performance-vested), phantom stock awards, stock bonuses and/or cash bonus awards, and sets annual limits on the number of shares and the cash value that may be granted to a participant with respect to each type of award.</w:t>
      </w:r>
    </w:p>
    <w:p>
      <w:pPr>
        <w:spacing w:after="0" w:line="188"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The description in the first paragraph of this Item 5.02 is qualified in its entirety by reference to the 2018 Plan filed as Exhibit 10.1 to this Current Report on Form 8-K. For a more complete description of the 2018 Plan, please refer to “Proposal 4: Approval of the 2018 Omnibus Incentive Plan” in the Company’s proxy statement filed with the Securities and Exchange Commission in connection with the Annual Meeting.</w:t>
      </w:r>
    </w:p>
    <w:p>
      <w:pPr>
        <w:spacing w:after="0" w:line="16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forms of award agreements pursuant to which recipients may be granted awards under the 2018 Plan are filed as Exhibits 10.2, 10.3 and 10.4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40" w:firstLine="311"/>
        <w:spacing w:after="0" w:line="259" w:lineRule="auto"/>
        <w:rPr>
          <w:sz w:val="20"/>
          <w:szCs w:val="20"/>
          <w:color w:val="auto"/>
        </w:rPr>
      </w:pPr>
      <w:r>
        <w:rPr>
          <w:rFonts w:ascii="Arial" w:cs="Arial" w:eastAsia="Arial" w:hAnsi="Arial"/>
          <w:sz w:val="18"/>
          <w:szCs w:val="18"/>
          <w:color w:val="auto"/>
        </w:rPr>
        <w:t>On June 15, 2018, at the Annual Meeting, the Company’s stockholders voted on the following items: (1) the election of three Class III members of the board of directors of the Company for a term of three years each, (2) the ratification of the selection of Deloitte &amp; Touche LLP as the independent registered public accounting firm of the Company for fiscal year 2018; (3) the approval, on a non-binding advisory basis, of the compensation of the named executive officers of the Company (“Say-on-Pay”); and (4) the approval of the 2018 Plan.</w:t>
      </w:r>
    </w:p>
    <w:p>
      <w:pPr>
        <w:spacing w:after="0" w:line="187" w:lineRule="exact"/>
        <w:rPr>
          <w:sz w:val="20"/>
          <w:szCs w:val="20"/>
          <w:color w:val="auto"/>
        </w:rPr>
      </w:pPr>
    </w:p>
    <w:p>
      <w:pPr>
        <w:ind w:right="100" w:firstLine="311"/>
        <w:spacing w:after="0" w:line="264"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Each of the three nominees for election to the board of directors was duly elected to serve as a director until the annual meeting of stockholders in 2021 or until his or her successor is duly elected and qualified in accordance with the by-laws of the Company. The final results of the voting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Broker</w:t>
            </w: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640" w:type="dxa"/>
            <w:vAlign w:val="bottom"/>
          </w:tcPr>
          <w:p>
            <w:pPr>
              <w:jc w:val="right"/>
              <w:ind w:right="710"/>
              <w:spacing w:after="0"/>
              <w:rPr>
                <w:sz w:val="20"/>
                <w:szCs w:val="20"/>
                <w:color w:val="auto"/>
              </w:rPr>
            </w:pPr>
            <w:r>
              <w:rPr>
                <w:rFonts w:ascii="Arial" w:cs="Arial" w:eastAsia="Arial" w:hAnsi="Arial"/>
                <w:sz w:val="18"/>
                <w:szCs w:val="18"/>
                <w:b w:val="1"/>
                <w:bCs w:val="1"/>
                <w:color w:val="auto"/>
              </w:rPr>
              <w:t>For</w:t>
            </w: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Against</w:t>
            </w: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Abstain</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Non-Votes</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Deborah Kerr</w:t>
            </w:r>
          </w:p>
        </w:tc>
        <w:tc>
          <w:tcPr>
            <w:tcW w:w="3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30,935,715</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382,046</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3,471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1,647,168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Nitin Sahney</w:t>
            </w:r>
          </w:p>
        </w:tc>
        <w:tc>
          <w:tcPr>
            <w:tcW w:w="3640" w:type="dxa"/>
            <w:vAlign w:val="bottom"/>
          </w:tcPr>
          <w:p>
            <w:pPr>
              <w:jc w:val="right"/>
              <w:ind w:right="210"/>
              <w:spacing w:after="0"/>
              <w:rPr>
                <w:sz w:val="20"/>
                <w:szCs w:val="20"/>
                <w:color w:val="auto"/>
              </w:rPr>
            </w:pPr>
            <w:r>
              <w:rPr>
                <w:rFonts w:ascii="Arial" w:cs="Arial" w:eastAsia="Arial" w:hAnsi="Arial"/>
                <w:sz w:val="18"/>
                <w:szCs w:val="18"/>
                <w:color w:val="auto"/>
              </w:rPr>
              <w:t>30,122,323</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1,197,623</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1,286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1,647,168</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Garen Staglin</w:t>
            </w:r>
          </w:p>
        </w:tc>
        <w:tc>
          <w:tcPr>
            <w:tcW w:w="3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30,778,422</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539,339</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3,471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1,647,168</w:t>
            </w:r>
          </w:p>
        </w:tc>
      </w:tr>
    </w:tbl>
    <w:p>
      <w:pPr>
        <w:spacing w:after="0" w:line="202" w:lineRule="exact"/>
        <w:rPr>
          <w:sz w:val="20"/>
          <w:szCs w:val="20"/>
          <w:color w:val="auto"/>
        </w:rPr>
      </w:pPr>
    </w:p>
    <w:p>
      <w:pPr>
        <w:ind w:right="80" w:firstLine="311"/>
        <w:spacing w:after="0" w:line="277"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proposal to ratify the selection of Deloitte &amp; Touche LLP as the independent registered public accounting firm of the Company for fiscal year 2018 was approved. The final results of the voting were as follows:</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1980" w:type="dxa"/>
            <w:vAlign w:val="bottom"/>
          </w:tcPr>
          <w:p>
            <w:pPr>
              <w:jc w:val="right"/>
              <w:ind w:right="1610"/>
              <w:spacing w:after="0"/>
              <w:rPr>
                <w:sz w:val="20"/>
                <w:szCs w:val="20"/>
                <w:color w:val="auto"/>
              </w:rPr>
            </w:pPr>
            <w:r>
              <w:rPr>
                <w:rFonts w:ascii="Arial" w:cs="Arial" w:eastAsia="Arial" w:hAnsi="Arial"/>
                <w:sz w:val="18"/>
                <w:szCs w:val="18"/>
                <w:b w:val="1"/>
                <w:bCs w:val="1"/>
                <w:color w:val="auto"/>
                <w:w w:val="89"/>
              </w:rPr>
              <w:t>For</w:t>
            </w: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Against</w:t>
            </w:r>
          </w:p>
        </w:tc>
        <w:tc>
          <w:tcPr>
            <w:tcW w:w="1640" w:type="dxa"/>
            <w:vAlign w:val="bottom"/>
          </w:tcPr>
          <w:p>
            <w:pPr>
              <w:jc w:val="right"/>
              <w:ind w:right="65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Non-Votes</w:t>
            </w:r>
          </w:p>
        </w:tc>
      </w:tr>
      <w:tr>
        <w:trPr>
          <w:trHeight w:val="216"/>
        </w:trPr>
        <w:tc>
          <w:tcPr>
            <w:tcW w:w="1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32,648,765</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318,869</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766</w:t>
            </w: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Say-on-Pay proposal was approved. The final results of the voting were as follows: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1980" w:type="dxa"/>
            <w:vAlign w:val="bottom"/>
          </w:tcPr>
          <w:p>
            <w:pPr>
              <w:jc w:val="right"/>
              <w:ind w:right="1610"/>
              <w:spacing w:after="0"/>
              <w:rPr>
                <w:sz w:val="20"/>
                <w:szCs w:val="20"/>
                <w:color w:val="auto"/>
              </w:rPr>
            </w:pPr>
            <w:r>
              <w:rPr>
                <w:rFonts w:ascii="Arial" w:cs="Arial" w:eastAsia="Arial" w:hAnsi="Arial"/>
                <w:sz w:val="18"/>
                <w:szCs w:val="18"/>
                <w:b w:val="1"/>
                <w:bCs w:val="1"/>
                <w:color w:val="auto"/>
                <w:w w:val="89"/>
              </w:rPr>
              <w:t>For</w:t>
            </w: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Against</w:t>
            </w:r>
          </w:p>
        </w:tc>
        <w:tc>
          <w:tcPr>
            <w:tcW w:w="1640" w:type="dxa"/>
            <w:vAlign w:val="bottom"/>
          </w:tcPr>
          <w:p>
            <w:pPr>
              <w:jc w:val="right"/>
              <w:ind w:right="65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Non-Votes</w:t>
            </w:r>
          </w:p>
        </w:tc>
      </w:tr>
      <w:tr>
        <w:trPr>
          <w:trHeight w:val="216"/>
        </w:trPr>
        <w:tc>
          <w:tcPr>
            <w:tcW w:w="1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29,625,796</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1,690,530</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4,906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1,647,168</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The proposal to approve the 2018 Plan was approved. The final results of the voting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Broker</w:t>
            </w:r>
          </w:p>
        </w:tc>
        <w:tc>
          <w:tcPr>
            <w:tcW w:w="22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rPr>
              <w:t>For</w:t>
            </w: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Against</w:t>
            </w:r>
          </w:p>
        </w:tc>
        <w:tc>
          <w:tcPr>
            <w:tcW w:w="1900" w:type="dxa"/>
            <w:vAlign w:val="bottom"/>
          </w:tcPr>
          <w:p>
            <w:pPr>
              <w:jc w:val="right"/>
              <w:ind w:right="65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Non-Votes</w:t>
            </w:r>
          </w:p>
        </w:tc>
        <w:tc>
          <w:tcPr>
            <w:tcW w:w="228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29,426,295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1,894,011</w:t>
            </w:r>
          </w:p>
        </w:tc>
        <w:tc>
          <w:tcPr>
            <w:tcW w:w="1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1,647,168</w:t>
            </w:r>
          </w:p>
        </w:tc>
        <w:tc>
          <w:tcPr>
            <w:tcW w:w="2280" w:type="dxa"/>
            <w:vAlign w:val="bottom"/>
          </w:tcPr>
          <w:p>
            <w:pPr>
              <w:spacing w:after="0"/>
              <w:rPr>
                <w:sz w:val="18"/>
                <w:szCs w:val="18"/>
                <w:color w:val="auto"/>
              </w:rPr>
            </w:pPr>
          </w:p>
        </w:tc>
      </w:tr>
      <w:tr>
        <w:trPr>
          <w:trHeight w:val="432"/>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Item 9.01. Financial Statement and Exhibits.</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(d) Exhibits.</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4280" w:type="dxa"/>
            <w:vAlign w:val="bottom"/>
            <w:gridSpan w:val="4"/>
          </w:tcPr>
          <w:p>
            <w:pPr>
              <w:spacing w:after="0"/>
              <w:rPr>
                <w:sz w:val="20"/>
                <w:szCs w:val="20"/>
                <w:color w:val="auto"/>
              </w:rPr>
            </w:pPr>
            <w:r>
              <w:rPr>
                <w:rFonts w:ascii="Arial" w:cs="Arial" w:eastAsia="Arial" w:hAnsi="Arial"/>
                <w:sz w:val="18"/>
                <w:szCs w:val="18"/>
                <w:color w:val="auto"/>
              </w:rPr>
              <w:t>The following exhibits are filed herewith:</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4"/>
                <w:szCs w:val="24"/>
                <w:color w:val="auto"/>
              </w:rPr>
            </w:pPr>
          </w:p>
        </w:tc>
        <w:tc>
          <w:tcPr>
            <w:tcW w:w="324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94"/>
              </w:rPr>
              <w:t>Description</w:t>
            </w:r>
          </w:p>
        </w:tc>
        <w:tc>
          <w:tcPr>
            <w:tcW w:w="1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ExlService Holdings, Inc. 2018 Omnibus Incentive Plan</w:t>
        </w:r>
      </w:hyperlink>
    </w:p>
    <w:p>
      <w:pPr>
        <w:spacing w:after="0" w:line="23"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Form of Restricted Stock Unit Agreement (U.S. Executive Officers Combined)</w:t>
        </w:r>
      </w:hyperlink>
    </w:p>
    <w:p>
      <w:pPr>
        <w:spacing w:after="0" w:line="9"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Form of Restricted Stock Unit Agreement (International Executive Officers)</w:t>
        </w:r>
      </w:hyperlink>
    </w:p>
    <w:p>
      <w:pPr>
        <w:spacing w:after="0" w:line="9"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hyperlink w:anchor="page51">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w:anchor="page51">
        <w:r>
          <w:rPr>
            <w:rFonts w:ascii="Arial" w:cs="Arial" w:eastAsia="Arial" w:hAnsi="Arial"/>
            <w:sz w:val="16"/>
            <w:szCs w:val="16"/>
            <w:u w:val="single" w:color="auto"/>
            <w:color w:val="0000EE"/>
          </w:rPr>
          <w:t>Form of Restricted Stock Unit Agreement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19"/>
                <w:szCs w:val="19"/>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(Registrant)</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June 19, 2018</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Nancy Saltzman</w:t>
            </w:r>
          </w:p>
        </w:tc>
      </w:tr>
      <w:tr>
        <w:trPr>
          <w:trHeight w:val="216"/>
        </w:trPr>
        <w:tc>
          <w:tcPr>
            <w:tcW w:w="3580" w:type="dxa"/>
            <w:vAlign w:val="bottom"/>
          </w:tcPr>
          <w:p>
            <w:pPr>
              <w:spacing w:after="0"/>
              <w:rPr>
                <w:sz w:val="18"/>
                <w:szCs w:val="18"/>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675"/>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PLAN</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Plan document is an omnibus document which includes, in addition to the Plan, separate sub-plans (“</w:t>
      </w:r>
      <w:r>
        <w:rPr>
          <w:rFonts w:ascii="Arial" w:cs="Arial" w:eastAsia="Arial" w:hAnsi="Arial"/>
          <w:sz w:val="16"/>
          <w:szCs w:val="16"/>
          <w:u w:val="single" w:color="auto"/>
          <w:color w:val="auto"/>
        </w:rPr>
        <w:t>Sub Plans</w:t>
      </w:r>
      <w:r>
        <w:rPr>
          <w:rFonts w:ascii="Arial" w:cs="Arial" w:eastAsia="Arial" w:hAnsi="Arial"/>
          <w:sz w:val="16"/>
          <w:szCs w:val="16"/>
          <w:color w:val="auto"/>
        </w:rPr>
        <w:t>”) that permit offerings of grants to employees of certain Designated Foreign Subsidiaries.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 that the appropriate incentive can be provided, the Plan provides for granting Incentive Stock Options, Nonqualified Stock Options, Stock Appreciation Rights, Restricted Stock, Restricted Stock Units, Phantom Stock Awards, Stock Bonuses and Cash Bonus Awards, or any combination or variation of the foregoing.</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replaces and supersedes the 2015 Amendment and Restatement of the ExlService Holdings, Inc. 2006 Omnibus Award Plan (the “</w:t>
      </w:r>
      <w:r>
        <w:rPr>
          <w:rFonts w:ascii="Arial" w:cs="Arial" w:eastAsia="Arial" w:hAnsi="Arial"/>
          <w:sz w:val="18"/>
          <w:szCs w:val="18"/>
          <w:u w:val="single" w:color="auto"/>
          <w:color w:val="auto"/>
        </w:rPr>
        <w:t>Prior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and is effective upon the date approved by the Company’s stockholders. Upon approval of the Plan by the Company’s stockholders, no new awards shall be made under the Prior Plan, although outstanding awards previously made under the Prior Plan shall continue to be governed by the terms of the Prior Plan. Shares of Stock that are subject to outstanding awards under the Prior Plan that expire, are forfeited or otherwise terminate unexercised may be subjected to new Awards under the Plan, as provided in Section 5.</w:t>
      </w:r>
    </w:p>
    <w:p>
      <w:pPr>
        <w:spacing w:after="0" w:line="18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definitions shall be applicable throughout the Plan.</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306" w:val="left"/>
        </w:tabs>
        <w:numPr>
          <w:ilvl w:val="1"/>
          <w:numId w:val="3"/>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and (ii) to the extent provided by the Committee, any entity in which the Company has a significant equity interest.</w:t>
      </w:r>
    </w:p>
    <w:p>
      <w:pPr>
        <w:spacing w:after="0" w:line="170" w:lineRule="exact"/>
        <w:rPr>
          <w:rFonts w:ascii="Arial" w:cs="Arial" w:eastAsia="Arial" w:hAnsi="Arial"/>
          <w:sz w:val="18"/>
          <w:szCs w:val="18"/>
          <w:color w:val="auto"/>
        </w:rPr>
      </w:pPr>
    </w:p>
    <w:p>
      <w:pPr>
        <w:ind w:firstLine="656"/>
        <w:spacing w:after="0" w:line="277" w:lineRule="auto"/>
        <w:tabs>
          <w:tab w:leader="none" w:pos="1341" w:val="left"/>
        </w:tabs>
        <w:numPr>
          <w:ilvl w:val="1"/>
          <w:numId w:val="3"/>
        </w:numPr>
        <w:rPr>
          <w:rFonts w:ascii="Arial" w:cs="Arial" w:eastAsia="Arial" w:hAnsi="Arial"/>
          <w:sz w:val="18"/>
          <w:szCs w:val="18"/>
          <w:color w:val="auto"/>
        </w:rPr>
      </w:pPr>
      <w:r>
        <w:rPr>
          <w:rFonts w:ascii="Arial" w:cs="Arial" w:eastAsia="Arial" w:hAnsi="Arial"/>
          <w:sz w:val="18"/>
          <w:szCs w:val="18"/>
          <w:color w:val="auto"/>
        </w:rPr>
        <w:t>“Award” means, individually or collectively, any Incentive Stock Option, Nonqualified Stock Option, Stock Appreciation Right, Restricted Stock, Restricted Stock Unit, Phantom Stock Award, Stock Bonus or Cash Bonus Award granted under the Plan.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“Award Agreement” means an agreement pursuant to which an Award is granted.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Bonus Award” means an Award of a cash bonus pursuant to Section 11(a)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left="-20" w:firstLine="656"/>
        <w:spacing w:after="0" w:line="26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good faith determination by the Committee that the Participant has ceased to perform his duties to the Company or an Affiliate (other than as a result of his incapacity due to physical or mental illness or 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 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 neglect of his duties to such party, or (v) in the case of a Participant who is a non-employee director, the Participant ceasing to be a member of the Board in connection with the Participant engaging in any of the activities described in clauses (i) through (iv) above.</w:t>
      </w:r>
    </w:p>
    <w:p>
      <w:pPr>
        <w:spacing w:after="0" w:line="179" w:lineRule="exact"/>
        <w:rPr>
          <w:rFonts w:ascii="Arial" w:cs="Arial" w:eastAsia="Arial" w:hAnsi="Arial"/>
          <w:sz w:val="17"/>
          <w:szCs w:val="17"/>
          <w:color w:val="auto"/>
        </w:rPr>
      </w:pPr>
    </w:p>
    <w:p>
      <w:pPr>
        <w:ind w:left="-20" w:firstLine="656"/>
        <w:spacing w:after="0" w:line="277" w:lineRule="auto"/>
        <w:tabs>
          <w:tab w:leader="none" w:pos="1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Control” shall, unless in the case of a particular Award the applicable Award Agreement states otherwise or contains a different definition of “Change in Control,” be deemed to occur upon:</w:t>
      </w:r>
    </w:p>
    <w:p>
      <w:pPr>
        <w:spacing w:after="0" w:line="170" w:lineRule="exact"/>
        <w:rPr>
          <w:rFonts w:ascii="Arial" w:cs="Arial" w:eastAsia="Arial" w:hAnsi="Arial"/>
          <w:sz w:val="18"/>
          <w:szCs w:val="18"/>
          <w:color w:val="auto"/>
        </w:rPr>
      </w:pPr>
    </w:p>
    <w:p>
      <w:pPr>
        <w:jc w:val="both"/>
        <w:ind w:left="-20" w:firstLine="1305"/>
        <w:spacing w:after="0" w:line="270" w:lineRule="auto"/>
        <w:tabs>
          <w:tab w:leader="none" w:pos="2063"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w:t>
      </w:r>
      <w:r>
        <w:rPr>
          <w:rFonts w:ascii="Arial" w:cs="Arial" w:eastAsia="Arial" w:hAnsi="Arial"/>
          <w:sz w:val="17"/>
          <w:szCs w:val="17"/>
          <w:u w:val="single" w:color="auto"/>
          <w:color w:val="auto"/>
        </w:rPr>
        <w:t>Person</w:t>
      </w:r>
      <w:r>
        <w:rPr>
          <w:rFonts w:ascii="Arial" w:cs="Arial" w:eastAsia="Arial" w:hAnsi="Arial"/>
          <w:sz w:val="17"/>
          <w:szCs w:val="17"/>
          <w:color w:val="auto"/>
        </w:rPr>
        <w:t>”) of beneficial ownership (within the meaning of Rule 13d-3 promulgated under the Exchange Act) of more than 50% (on a fully diluted basis) of either (A)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7"/>
          <w:szCs w:val="17"/>
          <w:u w:val="single" w:color="auto"/>
          <w:color w:val="auto"/>
        </w:rPr>
        <w:t>Outstanding Company Common Stock</w:t>
      </w:r>
      <w:r>
        <w:rPr>
          <w:rFonts w:ascii="Arial" w:cs="Arial" w:eastAsia="Arial" w:hAnsi="Arial"/>
          <w:sz w:val="17"/>
          <w:szCs w:val="17"/>
          <w:color w:val="auto"/>
        </w:rPr>
        <w:t>”) or (B) the combined voting power of the then 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provided, however, that for purposes of this Plan, the following acquisitions shall not constitute a Change in Control: (I) any acquisition by the Company or any Affiliate, (II) any acquisition by any employee benefit plan sponsored or maintained by the Company or any Affiliate, (III) any acquisition which complies with clauses (A), (B) and (C) of subsection (v) of this Section 2(f)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177" w:lineRule="exact"/>
        <w:rPr>
          <w:rFonts w:ascii="Arial" w:cs="Arial" w:eastAsia="Arial" w:hAnsi="Arial"/>
          <w:sz w:val="17"/>
          <w:szCs w:val="17"/>
          <w:color w:val="auto"/>
        </w:rPr>
      </w:pPr>
    </w:p>
    <w:p>
      <w:pPr>
        <w:jc w:val="both"/>
        <w:ind w:left="-20" w:firstLine="1305"/>
        <w:spacing w:after="0" w:line="272" w:lineRule="auto"/>
        <w:tabs>
          <w:tab w:leader="none" w:pos="1965" w:val="left"/>
        </w:tabs>
        <w:numPr>
          <w:ilvl w:val="1"/>
          <w:numId w:val="4"/>
        </w:numPr>
        <w:rPr>
          <w:rFonts w:ascii="Arial" w:cs="Arial" w:eastAsia="Arial" w:hAnsi="Arial"/>
          <w:sz w:val="17"/>
          <w:szCs w:val="17"/>
          <w:color w:val="auto"/>
        </w:rPr>
      </w:pPr>
      <w:r>
        <w:rPr>
          <w:rFonts w:ascii="Arial" w:cs="Arial" w:eastAsia="Arial" w:hAnsi="Arial"/>
          <w:sz w:val="17"/>
          <w:szCs w:val="17"/>
          <w:color w:val="auto"/>
        </w:rPr>
        <w:t>individuals who, on the date hereof, constitute the Board (the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177" w:lineRule="exact"/>
        <w:rPr>
          <w:rFonts w:ascii="Arial" w:cs="Arial" w:eastAsia="Arial" w:hAnsi="Arial"/>
          <w:sz w:val="17"/>
          <w:szCs w:val="17"/>
          <w:color w:val="auto"/>
        </w:rPr>
      </w:pPr>
    </w:p>
    <w:p>
      <w:pPr>
        <w:ind w:left="1920" w:hanging="635"/>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225" w:lineRule="exact"/>
        <w:rPr>
          <w:rFonts w:ascii="Arial" w:cs="Arial" w:eastAsia="Arial" w:hAnsi="Arial"/>
          <w:sz w:val="18"/>
          <w:szCs w:val="18"/>
          <w:color w:val="auto"/>
        </w:rPr>
      </w:pPr>
    </w:p>
    <w:p>
      <w:pPr>
        <w:ind w:left="1900" w:hanging="615"/>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 w:name="page6"/>
    <w:bookmarkEnd w:id="5"/>
    <w:p>
      <w:pPr>
        <w:jc w:val="both"/>
        <w:ind w:left="-8" w:firstLine="1305"/>
        <w:spacing w:after="0" w:line="268" w:lineRule="auto"/>
        <w:tabs>
          <w:tab w:leader="none" w:pos="1903" w:val="left"/>
        </w:tabs>
        <w:numPr>
          <w:ilvl w:val="2"/>
          <w:numId w:val="5"/>
        </w:numPr>
        <w:rPr>
          <w:rFonts w:ascii="Arial" w:cs="Arial" w:eastAsia="Arial" w:hAnsi="Arial"/>
          <w:sz w:val="17"/>
          <w:szCs w:val="17"/>
          <w:color w:val="auto"/>
        </w:rPr>
      </w:pPr>
      <w:r>
        <w:rPr>
          <w:rFonts w:ascii="Arial" w:cs="Arial" w:eastAsia="Arial" w:hAnsi="Arial"/>
          <w:sz w:val="17"/>
          <w:szCs w:val="17"/>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unless immediately following such Business Combination: (A) more than 50% of the total voting power of (x) the entity resulting from such Business Combination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7"/>
          <w:szCs w:val="17"/>
          <w:u w:val="single" w:color="auto"/>
          <w:color w:val="auto"/>
        </w:rPr>
        <w:t>Parent Company</w:t>
      </w:r>
      <w:r>
        <w:rPr>
          <w:rFonts w:ascii="Arial" w:cs="Arial" w:eastAsia="Arial" w:hAnsi="Arial"/>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or one or more Designated Holders),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83" w:lineRule="exact"/>
        <w:rPr>
          <w:rFonts w:ascii="Arial" w:cs="Arial" w:eastAsia="Arial" w:hAnsi="Arial"/>
          <w:sz w:val="17"/>
          <w:szCs w:val="17"/>
          <w:color w:val="auto"/>
        </w:rPr>
      </w:pPr>
    </w:p>
    <w:p>
      <w:pPr>
        <w:ind w:left="-8" w:firstLine="656"/>
        <w:spacing w:after="0" w:line="277" w:lineRule="auto"/>
        <w:tabs>
          <w:tab w:leader="none" w:pos="1308" w:val="left"/>
        </w:tabs>
        <w:numPr>
          <w:ilvl w:val="1"/>
          <w:numId w:val="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170" w:lineRule="exact"/>
        <w:rPr>
          <w:rFonts w:ascii="Arial" w:cs="Arial" w:eastAsia="Arial" w:hAnsi="Arial"/>
          <w:sz w:val="18"/>
          <w:szCs w:val="18"/>
          <w:color w:val="auto"/>
        </w:rPr>
      </w:pPr>
    </w:p>
    <w:p>
      <w:pPr>
        <w:ind w:left="-8" w:right="20" w:firstLine="656"/>
        <w:spacing w:after="0" w:line="277" w:lineRule="auto"/>
        <w:tabs>
          <w:tab w:leader="none" w:pos="1391"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if the Board is acting as the Committee, the individuals constituting Eligible Directors of the Board.</w:t>
      </w:r>
    </w:p>
    <w:p>
      <w:pPr>
        <w:spacing w:after="0" w:line="170" w:lineRule="exact"/>
        <w:rPr>
          <w:rFonts w:ascii="Arial" w:cs="Arial" w:eastAsia="Arial" w:hAnsi="Arial"/>
          <w:sz w:val="18"/>
          <w:szCs w:val="18"/>
          <w:color w:val="auto"/>
        </w:rPr>
      </w:pPr>
    </w:p>
    <w:p>
      <w:pPr>
        <w:ind w:left="-8" w:firstLine="656"/>
        <w:spacing w:after="0" w:line="277" w:lineRule="auto"/>
        <w:tabs>
          <w:tab w:leader="none" w:pos="1298"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“Common Stock” means the Series B Common Stock, par value $0.001 per share, of the Company and any stock into which such common stock may be converted or into which it may be exchanged.</w:t>
      </w:r>
    </w:p>
    <w:p>
      <w:pPr>
        <w:spacing w:after="0" w:line="170" w:lineRule="exact"/>
        <w:rPr>
          <w:rFonts w:ascii="Arial" w:cs="Arial" w:eastAsia="Arial" w:hAnsi="Arial"/>
          <w:sz w:val="18"/>
          <w:szCs w:val="18"/>
          <w:color w:val="auto"/>
        </w:rPr>
      </w:pPr>
    </w:p>
    <w:p>
      <w:pPr>
        <w:ind w:left="1312" w:hanging="664"/>
        <w:spacing w:after="0"/>
        <w:tabs>
          <w:tab w:leader="none" w:pos="1312"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“Company” means ExlService Holdings, Inc. and any successor thereto.</w:t>
      </w:r>
    </w:p>
    <w:p>
      <w:pPr>
        <w:spacing w:after="0" w:line="225" w:lineRule="exact"/>
        <w:rPr>
          <w:rFonts w:ascii="Arial" w:cs="Arial" w:eastAsia="Arial" w:hAnsi="Arial"/>
          <w:sz w:val="18"/>
          <w:szCs w:val="18"/>
          <w:color w:val="auto"/>
        </w:rPr>
      </w:pPr>
    </w:p>
    <w:p>
      <w:pPr>
        <w:ind w:left="-8" w:firstLine="656"/>
        <w:spacing w:after="0" w:line="277" w:lineRule="auto"/>
        <w:tabs>
          <w:tab w:leader="none" w:pos="154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170" w:lineRule="exact"/>
        <w:rPr>
          <w:rFonts w:ascii="Arial" w:cs="Arial" w:eastAsia="Arial" w:hAnsi="Arial"/>
          <w:sz w:val="18"/>
          <w:szCs w:val="18"/>
          <w:color w:val="auto"/>
        </w:rPr>
      </w:pPr>
    </w:p>
    <w:p>
      <w:pPr>
        <w:ind w:left="-8" w:firstLine="656"/>
        <w:spacing w:after="0" w:line="277" w:lineRule="auto"/>
        <w:tabs>
          <w:tab w:leader="none" w:pos="136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170" w:lineRule="exact"/>
        <w:rPr>
          <w:rFonts w:ascii="Arial" w:cs="Arial" w:eastAsia="Arial" w:hAnsi="Arial"/>
          <w:sz w:val="18"/>
          <w:szCs w:val="18"/>
          <w:color w:val="auto"/>
        </w:rPr>
      </w:pPr>
    </w:p>
    <w:p>
      <w:pPr>
        <w:jc w:val="both"/>
        <w:ind w:left="-8" w:firstLine="656"/>
        <w:spacing w:after="0" w:line="273" w:lineRule="auto"/>
        <w:tabs>
          <w:tab w:leader="none" w:pos="1327"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as determined by the Committee based upon medical evidence acceptable to it.</w:t>
      </w:r>
    </w:p>
    <w:p>
      <w:pPr>
        <w:spacing w:after="0" w:line="178" w:lineRule="exact"/>
        <w:rPr>
          <w:rFonts w:ascii="Arial" w:cs="Arial" w:eastAsia="Arial" w:hAnsi="Arial"/>
          <w:sz w:val="17"/>
          <w:szCs w:val="17"/>
          <w:color w:val="auto"/>
        </w:rPr>
      </w:pPr>
    </w:p>
    <w:p>
      <w:pPr>
        <w:ind w:left="1312" w:hanging="664"/>
        <w:spacing w:after="0"/>
        <w:tabs>
          <w:tab w:leader="none" w:pos="1312" w:val="left"/>
        </w:tabs>
        <w:numPr>
          <w:ilvl w:val="1"/>
          <w:numId w:val="6"/>
        </w:numPr>
        <w:rPr>
          <w:rFonts w:ascii="Arial" w:cs="Arial" w:eastAsia="Arial" w:hAnsi="Arial"/>
          <w:sz w:val="18"/>
          <w:szCs w:val="18"/>
          <w:color w:val="auto"/>
        </w:rPr>
      </w:pPr>
      <w:r>
        <w:rPr>
          <w:rFonts w:ascii="Arial" w:cs="Arial" w:eastAsia="Arial" w:hAnsi="Arial"/>
          <w:sz w:val="18"/>
          <w:szCs w:val="18"/>
          <w:color w:val="auto"/>
        </w:rPr>
        <w:t>“Effective Date” means the date on which this Plan is approved by the Company’s stockholders.</w:t>
      </w:r>
    </w:p>
    <w:p>
      <w:pPr>
        <w:spacing w:after="0" w:line="225" w:lineRule="exact"/>
        <w:rPr>
          <w:rFonts w:ascii="Arial" w:cs="Arial" w:eastAsia="Arial" w:hAnsi="Arial"/>
          <w:sz w:val="18"/>
          <w:szCs w:val="18"/>
          <w:color w:val="auto"/>
        </w:rPr>
      </w:pPr>
    </w:p>
    <w:p>
      <w:pPr>
        <w:jc w:val="both"/>
        <w:ind w:left="-8" w:firstLine="656"/>
        <w:spacing w:after="0" w:line="286" w:lineRule="auto"/>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“Eligible Director” means a person who is (i) a “non-employee director” within the meaning of Rule 16b-3 under the Exchange Act, or a person meeting any similar requirement under any successor rule or regulation, and (ii) an “independent director” under the rules of the stock exchange on which the Stock is listed or the National Association of Securities Dealers Automated Quotation System (the “</w:t>
      </w:r>
      <w:r>
        <w:rPr>
          <w:rFonts w:ascii="Arial" w:cs="Arial" w:eastAsia="Arial" w:hAnsi="Arial"/>
          <w:sz w:val="17"/>
          <w:szCs w:val="17"/>
          <w:u w:val="single" w:color="auto"/>
          <w:color w:val="auto"/>
        </w:rPr>
        <w:t>Nasdaq</w:t>
      </w:r>
      <w:r>
        <w:rPr>
          <w:rFonts w:ascii="Arial" w:cs="Arial" w:eastAsia="Arial" w:hAnsi="Arial"/>
          <w:sz w:val="17"/>
          <w:szCs w:val="17"/>
          <w:color w:val="auto"/>
        </w:rPr>
        <w:t>”), as applicable;.</w:t>
      </w:r>
    </w:p>
    <w:p>
      <w:pPr>
        <w:spacing w:after="0" w:line="165" w:lineRule="exact"/>
        <w:rPr>
          <w:rFonts w:ascii="Arial" w:cs="Arial" w:eastAsia="Arial" w:hAnsi="Arial"/>
          <w:sz w:val="17"/>
          <w:szCs w:val="17"/>
          <w:color w:val="auto"/>
        </w:rPr>
      </w:pPr>
    </w:p>
    <w:p>
      <w:pPr>
        <w:jc w:val="both"/>
        <w:ind w:left="-8" w:firstLine="656"/>
        <w:spacing w:after="0" w:line="288" w:lineRule="auto"/>
        <w:tabs>
          <w:tab w:leader="none" w:pos="1323"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“Eligible Person” means any (i) individual regularly employed by the Company or Affiliate who satisfies all of the requirements of Section 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or</w:t>
      </w:r>
    </w:p>
    <w:p>
      <w:pPr>
        <w:ind w:left="312" w:hanging="312"/>
        <w:spacing w:after="0"/>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consultant or advisor to the Company or an Affiliate who may be offered securities pursuant to Form S-8.</w:t>
      </w:r>
    </w:p>
    <w:p>
      <w:pPr>
        <w:spacing w:after="0" w:line="210" w:lineRule="exact"/>
        <w:rPr>
          <w:rFonts w:ascii="Arial" w:cs="Arial" w:eastAsia="Arial" w:hAnsi="Arial"/>
          <w:sz w:val="18"/>
          <w:szCs w:val="18"/>
          <w:color w:val="auto"/>
        </w:rPr>
      </w:pPr>
    </w:p>
    <w:p>
      <w:pPr>
        <w:ind w:left="1272" w:hanging="624"/>
        <w:spacing w:after="0"/>
        <w:tabs>
          <w:tab w:leader="none" w:pos="1272"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6" w:name="page7"/>
    <w:bookmarkEnd w:id="6"/>
    <w:p>
      <w:pPr>
        <w:jc w:val="both"/>
        <w:ind w:firstLine="656"/>
        <w:spacing w:after="0" w:line="255" w:lineRule="auto"/>
        <w:tabs>
          <w:tab w:leader="none" w:pos="1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Market Value,” on a given date, means (i) if the Stock is listed on a national securities exchange, the closing price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last sale price on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189" w:lineRule="exact"/>
        <w:rPr>
          <w:rFonts w:ascii="Arial" w:cs="Arial" w:eastAsia="Arial" w:hAnsi="Arial"/>
          <w:sz w:val="18"/>
          <w:szCs w:val="18"/>
          <w:color w:val="auto"/>
        </w:rPr>
      </w:pPr>
    </w:p>
    <w:p>
      <w:pPr>
        <w:ind w:firstLine="656"/>
        <w:spacing w:after="0" w:line="277" w:lineRule="auto"/>
        <w:tabs>
          <w:tab w:leader="none" w:pos="13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170" w:lineRule="exact"/>
        <w:rPr>
          <w:rFonts w:ascii="Arial" w:cs="Arial" w:eastAsia="Arial" w:hAnsi="Arial"/>
          <w:sz w:val="18"/>
          <w:szCs w:val="18"/>
          <w:color w:val="auto"/>
        </w:rPr>
      </w:pPr>
    </w:p>
    <w:p>
      <w:pPr>
        <w:ind w:firstLine="656"/>
        <w:spacing w:after="0" w:line="277" w:lineRule="auto"/>
        <w:tabs>
          <w:tab w:leader="none" w:pos="1421"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 of the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 of the Plan.</w:t>
      </w:r>
    </w:p>
    <w:p>
      <w:pPr>
        <w:spacing w:after="0" w:line="225" w:lineRule="exact"/>
        <w:rPr>
          <w:rFonts w:ascii="Arial" w:cs="Arial" w:eastAsia="Arial" w:hAnsi="Arial"/>
          <w:sz w:val="18"/>
          <w:szCs w:val="18"/>
          <w:color w:val="auto"/>
        </w:rPr>
      </w:pPr>
    </w:p>
    <w:p>
      <w:pPr>
        <w:ind w:right="20" w:firstLine="656"/>
        <w:spacing w:after="0" w:line="277" w:lineRule="auto"/>
        <w:tabs>
          <w:tab w:leader="none" w:pos="1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“Participant” means an Eligible Person who has been selected by the Committee to participate in the Plan and to receive an Award pursuant to Section 6 of the Plan.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“Parent” means any parent of the Company, as defined in Section 424(e) of the Code.</w:t>
      </w:r>
    </w:p>
    <w:p>
      <w:pPr>
        <w:spacing w:after="0" w:line="225" w:lineRule="exact"/>
        <w:rPr>
          <w:sz w:val="20"/>
          <w:szCs w:val="20"/>
          <w:color w:val="auto"/>
        </w:rPr>
      </w:pPr>
    </w:p>
    <w:p>
      <w:pPr>
        <w:jc w:val="both"/>
        <w:ind w:firstLine="656"/>
        <w:spacing w:after="0" w:line="270" w:lineRule="auto"/>
        <w:tabs>
          <w:tab w:leader="none" w:pos="1417"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“Performance Criteria” shall mean the criterion or criteria that the Committee shall select for purposes of establishing the Performance Goal(s) for a Performance Period with respect to any Award under the Plan. The Performance Criteria that may be used to establish the Performance Goal(s) may be based on the achievement of specific levels of performance of the Company (or Affiliate, division or operational unit of the Company). Performance Criteria, may include, without limitation, any of the following: (i) net earnings or net income (before or after taxes); (ii) basic or diluted earnings per share (before or after taxes); (iii) net revenue or net revenue growth; (iv) gross revenue; (v) new client revenue; (vi) gross profit or gross profit growth; (vii) net operating profit (before or after taxes; (viii) return measures (including, but not limited to, return on assets, capital, invested capital, equity or sales); (ix) cash flow (including, but not limited to, operating cash flow, free cash flow, and cash flow return on capital); (x) earnings before or after taxes, interest, depreciation and/or amortization; (xi) share price (included, but not limited to, growth measures and total stockholder return); and (xii) any other objective or subjective criterion or criteria that the Committee may select from time to time.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Without limiting the Committee’s authority to select any Performance Criteria as it determines appropriate, any Performance Criteria may be used on an absolute or relative basis to measure the performance of the Company and/or an Affiliate as a whole or any business unit of the Company and/or an Affiliate or any combination thereof, as the Committee may deem appropriate, or any Performance Criteria as compared to the performance of a group of comparable companies, or published or special index that the Committee, in its sole discretion, deems appropriate, or the Company may select Performance Criterion as compared to a selected peer group or published index. Performance goals may also be based on individual performance goals. The Committee also has the authority to provide for accelerated vesting of any Award based on the achievement of Performance Goals pursuant to the Performance Criteria.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56"/>
        <w:spacing w:after="0" w:line="270" w:lineRule="auto"/>
        <w:tabs>
          <w:tab w:leader="none" w:pos="1308"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Goals” shall mean, for a Performance Period, the one or more goals established by the Committee for the Performance Period based upon the Performance Criteria. The Committee is authorized at any time during a Performance Period, in its sole and absolute discretion, to adjust or modify the calculation of a Performance Goal for such Performance Period based on the occurrence of any of following events: (i) asset write downs; (ii) litigation or claim judgments or settlements; (iii) the effect of changes in tax laws, accounting principles, or other laws or regulatory rules affecting reported result; (iv) any reorganization or restructuring programs; (v) extraordinary nonrecurring items as described in Accounting Principles Board Opinion No. 30 (or any successor pronouncement thereto) or unusual or infrequently occurring items pursuant to Accounting Standards Update 2015-01 (or any successor pronouncement thereto) and/or in management’s discussion and analysis of financial conditions and results of operations appearing in the Company’s annual report to stockholders for the applicable year; (vi) acquisitions or divestitures; (vii) any other specific unusual or nonrecurring events, or objectively determinable category thereof; (viii) foreign exchange gains or losses; (ix) a change in the Company’s fiscal year; or (x) any other event or circumstance the Committee deems appropriate.</w:t>
      </w:r>
    </w:p>
    <w:p>
      <w:pPr>
        <w:spacing w:after="0" w:line="177" w:lineRule="exact"/>
        <w:rPr>
          <w:rFonts w:ascii="Arial" w:cs="Arial" w:eastAsia="Arial" w:hAnsi="Arial"/>
          <w:sz w:val="17"/>
          <w:szCs w:val="17"/>
          <w:color w:val="auto"/>
        </w:rPr>
      </w:pPr>
    </w:p>
    <w:p>
      <w:pPr>
        <w:ind w:firstLine="656"/>
        <w:spacing w:after="0" w:line="277" w:lineRule="auto"/>
        <w:tabs>
          <w:tab w:leader="none" w:pos="1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as the Committee may select, over which the attainment of one or more Performance Goals will be measured for the purpose of determining a Participant’s right to and the payment of an Award.</w:t>
      </w:r>
    </w:p>
    <w:p>
      <w:pPr>
        <w:spacing w:after="0" w:line="170" w:lineRule="exact"/>
        <w:rPr>
          <w:rFonts w:ascii="Arial" w:cs="Arial" w:eastAsia="Arial" w:hAnsi="Arial"/>
          <w:sz w:val="18"/>
          <w:szCs w:val="18"/>
          <w:color w:val="auto"/>
        </w:rPr>
      </w:pPr>
    </w:p>
    <w:p>
      <w:pPr>
        <w:ind w:firstLine="656"/>
        <w:spacing w:after="0" w:line="277"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“Phantom Stock Award” shall mean a cash award whose value is determined based on the change in the value of the Company Common Stock from the Effective Date.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 means this ExlService Holdings, Inc. 2018 Omnibus Incentive Plan, as may be amended from time to time.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Plan” has the meaning given to it in Section 1 of this Plan.</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181" w:lineRule="exact"/>
        <w:rPr>
          <w:rFonts w:ascii="Arial" w:cs="Arial" w:eastAsia="Arial" w:hAnsi="Arial"/>
          <w:sz w:val="18"/>
          <w:szCs w:val="18"/>
          <w:color w:val="auto"/>
        </w:rPr>
      </w:pPr>
    </w:p>
    <w:p>
      <w:pPr>
        <w:ind w:firstLine="656"/>
        <w:spacing w:after="0" w:line="277" w:lineRule="auto"/>
        <w:tabs>
          <w:tab w:leader="none" w:pos="13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“Restricted Stock” means shares of Stock issued or transferred to a Participant subject to forfeiture and the other restrictions set forth in Section 9 of the Plan.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“Restricted Stock Unit” means a hypothetical investment equivalent to one share of Stock granted in connection with an Award made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w:t>
      </w:r>
    </w:p>
    <w:p>
      <w:pPr>
        <w:spacing w:after="0" w:line="210" w:lineRule="exact"/>
        <w:rPr>
          <w:rFonts w:ascii="Arial" w:cs="Arial" w:eastAsia="Arial" w:hAnsi="Arial"/>
          <w:sz w:val="16"/>
          <w:szCs w:val="16"/>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225" w:lineRule="exact"/>
        <w:rPr>
          <w:rFonts w:ascii="Arial" w:cs="Arial" w:eastAsia="Arial" w:hAnsi="Arial"/>
          <w:sz w:val="18"/>
          <w:szCs w:val="18"/>
          <w:color w:val="auto"/>
        </w:rPr>
      </w:pPr>
    </w:p>
    <w:p>
      <w:pPr>
        <w:ind w:firstLine="656"/>
        <w:spacing w:after="0" w:line="277" w:lineRule="auto"/>
        <w:tabs>
          <w:tab w:leader="none" w:pos="13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Participant” means each of the Chief Executive Officer and the President of the Company and an employee of the Company or an Affiliate that is designated as a member of the Executive Committee.</w:t>
      </w:r>
    </w:p>
    <w:p>
      <w:pPr>
        <w:spacing w:after="0" w:line="170" w:lineRule="exact"/>
        <w:rPr>
          <w:rFonts w:ascii="Arial" w:cs="Arial" w:eastAsia="Arial" w:hAnsi="Arial"/>
          <w:sz w:val="18"/>
          <w:szCs w:val="18"/>
          <w:color w:val="auto"/>
        </w:rPr>
      </w:pPr>
    </w:p>
    <w:p>
      <w:pPr>
        <w:ind w:right="20" w:firstLine="656"/>
        <w:spacing w:after="0" w:line="277" w:lineRule="auto"/>
        <w:tabs>
          <w:tab w:leader="none" w:pos="14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means the Common Stock or such other authorized shares of stock of the Company as the Committee may from time to time authorize for use under the Plan.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Bonus” means an Award granted under Section 10 of the Plan.</w:t>
      </w:r>
    </w:p>
    <w:p>
      <w:pPr>
        <w:spacing w:after="0" w:line="225" w:lineRule="exact"/>
        <w:rPr>
          <w:rFonts w:ascii="Arial" w:cs="Arial" w:eastAsia="Arial" w:hAnsi="Arial"/>
          <w:sz w:val="18"/>
          <w:szCs w:val="18"/>
          <w:color w:val="auto"/>
        </w:rPr>
      </w:pPr>
    </w:p>
    <w:p>
      <w:pPr>
        <w:ind w:right="20" w:firstLine="656"/>
        <w:spacing w:after="0" w:line="277" w:lineRule="auto"/>
        <w:tabs>
          <w:tab w:leader="none" w:pos="13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Option Agreement” means any agreement between the Company and a Participant who has been granted an Option pursuant to Section 7 which defines the rights and obligations of the parties thereto.</w:t>
      </w:r>
    </w:p>
    <w:p>
      <w:pPr>
        <w:spacing w:after="0" w:line="170" w:lineRule="exact"/>
        <w:rPr>
          <w:rFonts w:ascii="Arial" w:cs="Arial" w:eastAsia="Arial" w:hAnsi="Arial"/>
          <w:sz w:val="18"/>
          <w:szCs w:val="18"/>
          <w:color w:val="auto"/>
        </w:rPr>
      </w:pPr>
    </w:p>
    <w:p>
      <w:pPr>
        <w:ind w:firstLine="656"/>
        <w:spacing w:after="0" w:line="277" w:lineRule="auto"/>
        <w:tabs>
          <w:tab w:leader="none" w:pos="12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“Strike Price” means, (i) in the case of a SAR granted in tandem with an Option, the Option Price of the related Option, or (ii) in the case of a SAR granted independent of an Option, the Fair Market Value on the Date of Grant.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“Subsidiary” means any subsidiary of the Company, as defined in Section 424(f) of the Code.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firstLine="656"/>
        <w:spacing w:after="0" w:line="277" w:lineRule="auto"/>
        <w:tabs>
          <w:tab w:leader="none" w:pos="14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“Substitute Award” means an Award granted or issued to a Participant in assumption or substitution of outstanding awards by an entity acquired by the Company or any Affiliate or Subsidiary or with which the Company, an Affiliate or a Subsidiary combines.</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“Vested Unit” shall have the meaning ascribed thereto in Section 9(d).</w:t>
      </w:r>
    </w:p>
    <w:p>
      <w:pPr>
        <w:spacing w:after="0" w:line="225" w:lineRule="exact"/>
        <w:rPr>
          <w:rFonts w:ascii="Arial" w:cs="Arial" w:eastAsia="Arial" w:hAnsi="Arial"/>
          <w:sz w:val="18"/>
          <w:szCs w:val="18"/>
          <w:color w:val="auto"/>
        </w:rPr>
      </w:pPr>
    </w:p>
    <w:p>
      <w:pPr>
        <w:ind w:right="20" w:firstLine="656"/>
        <w:spacing w:after="0" w:line="277" w:lineRule="auto"/>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“Vice President Participant” means an employee of the Company or an Affiliate holding the office of vice president or any office senior or the office of vice president.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 and Stockholder Approval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is effective as of the Effective Date. No Option shall be treated as an Incentive Stock Option unless the Plan has been approved by the stockholders of the Company in a manner intended to comply with the stockholder approval requirements of Section 422(b)(i) of the Code; provided,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expiration date of the Plan, on and after which no Awards may be granted hereunder, shall be the tenth anniversary of the Effective Date; provided, however, that the administration of the Plan shall continue in effect until all matters relating to Awards previously granted have been settled.</w:t>
      </w:r>
    </w:p>
    <w:p>
      <w:pPr>
        <w:spacing w:after="0" w:line="14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rFonts w:ascii="Arial" w:cs="Arial" w:eastAsia="Arial" w:hAnsi="Arial"/>
          <w:sz w:val="18"/>
          <w:szCs w:val="18"/>
          <w:b w:val="1"/>
          <w:bCs w:val="1"/>
          <w:color w:val="auto"/>
        </w:rPr>
      </w:pPr>
    </w:p>
    <w:p>
      <w:pPr>
        <w:jc w:val="both"/>
        <w:ind w:firstLine="656"/>
        <w:spacing w:after="0" w:line="264" w:lineRule="auto"/>
        <w:tabs>
          <w:tab w:leader="none" w:pos="134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181" w:lineRule="exact"/>
        <w:rPr>
          <w:rFonts w:ascii="Arial" w:cs="Arial" w:eastAsia="Arial" w:hAnsi="Arial"/>
          <w:sz w:val="18"/>
          <w:szCs w:val="18"/>
          <w:color w:val="auto"/>
        </w:rPr>
      </w:pPr>
    </w:p>
    <w:p>
      <w:pPr>
        <w:jc w:val="both"/>
        <w:ind w:firstLine="656"/>
        <w:spacing w:after="0" w:line="269" w:lineRule="auto"/>
        <w:tabs>
          <w:tab w:leader="none" w:pos="137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Subject to the provisions of the Plan and applicable law, the Committee shall have the power, and in addition to other express powers and 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accelerate the exercisability of any option or SAR and to remove any restriction on any Award; (viii) interpret, administer, reconcile any inconsistency, correct any defect and/or supply any omission in the Plan and any instrument or agreement relating to, or Award granted under, the Plan; (ix) establish, amend, suspend, or waive such rules and regulations; (x) appoint such agents as it shall deem appropriate for the proper administration of the Plan; and (xi) make any other determination and take any other action that the Committee deems necessary or desirable for the administration of the Plan.</w:t>
      </w:r>
    </w:p>
    <w:p>
      <w:pPr>
        <w:spacing w:after="0" w:line="179" w:lineRule="exact"/>
        <w:rPr>
          <w:rFonts w:ascii="Arial" w:cs="Arial" w:eastAsia="Arial" w:hAnsi="Arial"/>
          <w:sz w:val="17"/>
          <w:szCs w:val="17"/>
          <w:color w:val="auto"/>
        </w:rPr>
      </w:pPr>
    </w:p>
    <w:p>
      <w:pPr>
        <w:jc w:val="both"/>
        <w:ind w:firstLine="656"/>
        <w:spacing w:after="0" w:line="286" w:lineRule="auto"/>
        <w:tabs>
          <w:tab w:leader="none" w:pos="1359"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persons subject to Section 16 of the 1934 Act.</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3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stockholder.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firstLine="656"/>
        <w:spacing w:after="0" w:line="277" w:lineRule="auto"/>
        <w:tabs>
          <w:tab w:leader="none" w:pos="1402"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member of the Board, Committee or any officer or employee to whom authority has been delegated administrative authority shall be liable for any action or determination made in good faith with respect to the Plan or any Award hereunder.</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Awards; Shares Subject to the Plan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Committee may, from time to time, grant Awards of Options, Stock Appreciation Rights, Restricted Stock, Restricted Stock Units, Phantom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Stock Awards, Stock Bonuses and/or Cash Bonus Awards to one or more Eligible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11" w:lineRule="exact"/>
        <w:rPr>
          <w:sz w:val="20"/>
          <w:szCs w:val="20"/>
          <w:color w:val="auto"/>
        </w:rPr>
      </w:pPr>
    </w:p>
    <w:p>
      <w:pPr>
        <w:jc w:val="both"/>
        <w:ind w:firstLine="656"/>
        <w:spacing w:after="0" w:line="259" w:lineRule="auto"/>
        <w:tabs>
          <w:tab w:leader="none" w:pos="14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Section 13, the aggregate number of shares of Stock in respect of which Awards may be granted under the Plan as of the Effective Date is (i) 3,175,000 shares of Stock, minus (ii) one (1) share of Stock for every one (1) share of Stock subject to an award granted under the Prior Plan after March 15, 2018. Any shares of Stock subject to an award under the Prior Plan and that expires, is forfeited, otherwise terminates, or is settled in cash, after March 15, 2018, shall be added to the shares of Stock reserved for issuance under the Plan.</w:t>
      </w:r>
    </w:p>
    <w:p>
      <w:pPr>
        <w:spacing w:after="0" w:line="186" w:lineRule="exact"/>
        <w:rPr>
          <w:rFonts w:ascii="Arial" w:cs="Arial" w:eastAsia="Arial" w:hAnsi="Arial"/>
          <w:sz w:val="18"/>
          <w:szCs w:val="18"/>
          <w:color w:val="auto"/>
        </w:rPr>
      </w:pPr>
    </w:p>
    <w:p>
      <w:pPr>
        <w:jc w:val="both"/>
        <w:ind w:firstLine="656"/>
        <w:spacing w:after="0" w:line="268" w:lineRule="auto"/>
        <w:tabs>
          <w:tab w:leader="none" w:pos="1387"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of Stock shall not be deemed to have been used in settlement of Awards in the event the Award is settled in cash. Shares of Stock delivered (either directly or by means of attestation) in full or partial satisfaction of applicable tax withholding obligations or withheld by the Company in full or partial satisfaction of applicable tax withholding obligations for any Award, other than an Option or a SAR, shall be deducted from the number of shares of Stock delivered to a Participant pursuant to such Award for purposes of determining the number of shares of Stock acquired pursuant to the Plan.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 Notwithstanding any to the contrary contained herein, the following shares of Stock shall not be added to the shares of Stock authorized for grant under this Section 5(a): (A) shares of Stock tendered by the Participant or withheld by the Company in payment of the purchase price of an Option or, after March 15, 2018, an option under the Prior Plan; (B) shares of Stock tendered by the Participant or withheld by the Company to satisfy applicable tax withholding obligations with respect to Options or SARS, or after March 15, 2018, options or SARs under the Prior Plan; (C) shares of Stock subject to a SAR, or after March 15, 2018, a stock appreciation right under the Prior Plan that are not issued in connection with its stock settlement or exercise thereof; and (D) shares of Stock reacquired by the Company on the open market or otherwise using cash proceeds from the exercise of Options or, after March 15, 2018, options under the Prior Plan.</w:t>
      </w:r>
    </w:p>
    <w:p>
      <w:pPr>
        <w:spacing w:after="0" w:line="183" w:lineRule="exact"/>
        <w:rPr>
          <w:rFonts w:ascii="Arial" w:cs="Arial" w:eastAsia="Arial" w:hAnsi="Arial"/>
          <w:sz w:val="17"/>
          <w:szCs w:val="17"/>
          <w:color w:val="auto"/>
        </w:rPr>
      </w:pPr>
    </w:p>
    <w:p>
      <w:pPr>
        <w:ind w:right="20" w:firstLine="656"/>
        <w:spacing w:after="0" w:line="277" w:lineRule="auto"/>
        <w:tabs>
          <w:tab w:leader="none" w:pos="13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170" w:lineRule="exact"/>
        <w:rPr>
          <w:rFonts w:ascii="Arial" w:cs="Arial" w:eastAsia="Arial" w:hAnsi="Arial"/>
          <w:sz w:val="18"/>
          <w:szCs w:val="18"/>
          <w:color w:val="auto"/>
        </w:rPr>
      </w:pPr>
    </w:p>
    <w:p>
      <w:pPr>
        <w:jc w:val="both"/>
        <w:ind w:firstLine="656"/>
        <w:spacing w:after="0" w:line="272" w:lineRule="auto"/>
        <w:tabs>
          <w:tab w:leader="none" w:pos="1407"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Subject to Section 13, (i) no person may be granted Options or SARs under the Plan during any calendar year with respect to more than 500,000 shares of Stock, (ii) the maximum number of time-based Restricted Stock, Restricted Stock Units, Phantom Stock Awards or Stock Bonuses that may be granted to any one Participant under the Plan in a calendar year is 500,000 shares of Stock or, in the event such Award is paid in cash, the equivalent cash value thereof on the date of vesting, and (iii) the maximum number of performance-based Restricted Stock, Restricted Stock Units, Phantom Stock Awards or Stock Bonuses that may be granted to any one Participant under the Plan in a calendar year is 500,000 shares of Stock or, in the event such Award is paid in cash, the equivalent cash value thereof on the date of vesting. The maximum amount that can be paid in any calendar year to any Participant pursuant to a Cash Bonus Award described in Section 11 shall be $10,000,000.</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3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Without limiting the generality of the preceding provisions of this Section 5, the Committee may, but solely with the Participant’s consent, agree to cancel any Award under the Plan and issue a new Award in substitution therefor upon such terms as the Committee may in its sole discretion determine, provided that the substituted Award satisfies all applicable Plan requirements as of the date such new Award is granted.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1280" w:hanging="624"/>
        <w:spacing w:after="0"/>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Substitute Awards shall not be counted against the shares of Stock available for granting Awards under the Plan.</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event the Company or any Subsidiary or Affiliate acquires or combines with a company that has shares available under a pre-existing plan, such shares shall be available for grant of Awards under this Plan, subject to applicable listing exchange requirements and shall not be counted against the shares of Stock available for granting Awards under the Plan.</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343" w:val="left"/>
        </w:tabs>
        <w:numPr>
          <w:ilvl w:val="1"/>
          <w:numId w:val="17"/>
        </w:numPr>
        <w:rPr>
          <w:rFonts w:ascii="Arial" w:cs="Arial" w:eastAsia="Arial" w:hAnsi="Arial"/>
          <w:sz w:val="17"/>
          <w:szCs w:val="17"/>
          <w:color w:val="auto"/>
        </w:rPr>
      </w:pPr>
      <w:r>
        <w:rPr>
          <w:rFonts w:ascii="Arial" w:cs="Arial" w:eastAsia="Arial" w:hAnsi="Arial"/>
          <w:sz w:val="17"/>
          <w:szCs w:val="17"/>
          <w:color w:val="auto"/>
        </w:rPr>
        <w:t>Notwithstanding any other provision in the Plan to the contrary, the maximum number of shares of Stock subject to Awards granted during a single calendar year to any Eligible Director, taken together with any cash fees paid during the calendar year to the Eligible Director in respect of the Eligible Director’s service as a member of the Board during such year (including service as a member or chair of any committees of the Board), shall not have an aggregate Fair Market Value on the Date of Grant (computed as of the Date of Grant in accordance with applicable financial accounting rules) in excess of $500,000. The independent members of the Board may make exceptions to this limit for a non-executive chair of the Board, provided that the Eligible Director receiving such additional compensation may not participate in the decision to award such compensation.</w:t>
      </w:r>
    </w:p>
    <w:p>
      <w:pPr>
        <w:spacing w:after="0" w:line="174"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16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Committee is authorized to grant one or more Incentive Stock Options or Nonqualified Stock Options to any Eligible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183" w:lineRule="exact"/>
        <w:rPr>
          <w:sz w:val="20"/>
          <w:szCs w:val="20"/>
          <w:color w:val="auto"/>
        </w:rPr>
      </w:pPr>
    </w:p>
    <w:p>
      <w:pPr>
        <w:ind w:firstLine="656"/>
        <w:spacing w:after="0" w:line="313" w:lineRule="auto"/>
        <w:tabs>
          <w:tab w:leader="none" w:pos="1352"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Option Price</w:t>
      </w:r>
      <w:r>
        <w:rPr>
          <w:rFonts w:ascii="Arial" w:cs="Arial" w:eastAsia="Arial" w:hAnsi="Arial"/>
          <w:sz w:val="17"/>
          <w:szCs w:val="17"/>
          <w:color w:val="auto"/>
        </w:rPr>
        <w:t>. Except with respect to an Option that is a Substitute Award, the exercise price (“</w:t>
      </w:r>
      <w:r>
        <w:rPr>
          <w:rFonts w:ascii="Arial" w:cs="Arial" w:eastAsia="Arial" w:hAnsi="Arial"/>
          <w:sz w:val="17"/>
          <w:szCs w:val="17"/>
          <w:u w:val="single" w:color="auto"/>
          <w:color w:val="auto"/>
        </w:rPr>
        <w:t>Option Price</w:t>
      </w:r>
      <w:r>
        <w:rPr>
          <w:rFonts w:ascii="Arial" w:cs="Arial" w:eastAsia="Arial" w:hAnsi="Arial"/>
          <w:sz w:val="17"/>
          <w:szCs w:val="17"/>
          <w:color w:val="auto"/>
        </w:rPr>
        <w:t>”) per share of Stock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shall be set by the Committee at the time of grant but shall not be less than the Fair Market Value of a share of Stock on the Date of Grant.</w:t>
      </w:r>
    </w:p>
    <w:p>
      <w:pPr>
        <w:spacing w:after="0" w:line="138" w:lineRule="exact"/>
        <w:rPr>
          <w:rFonts w:ascii="Arial" w:cs="Arial" w:eastAsia="Arial" w:hAnsi="Arial"/>
          <w:sz w:val="17"/>
          <w:szCs w:val="17"/>
          <w:color w:val="auto"/>
        </w:rPr>
      </w:pPr>
    </w:p>
    <w:p>
      <w:pPr>
        <w:jc w:val="both"/>
        <w:ind w:firstLine="656"/>
        <w:spacing w:after="0" w:line="288" w:lineRule="auto"/>
        <w:tabs>
          <w:tab w:leader="none" w:pos="1335"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Manner of Exercise and Form of Payment</w:t>
      </w:r>
      <w:r>
        <w:rPr>
          <w:rFonts w:ascii="Arial" w:cs="Arial" w:eastAsia="Arial" w:hAnsi="Arial"/>
          <w:sz w:val="16"/>
          <w:szCs w:val="16"/>
          <w:color w:val="auto"/>
        </w:rPr>
        <w:t>. No shares of Stock shall be delivered pursuant to any exercise of an Option until payment in</w:t>
      </w:r>
      <w:r>
        <w:rPr>
          <w:rFonts w:ascii="Arial" w:cs="Arial" w:eastAsia="Arial" w:hAnsi="Arial"/>
          <w:sz w:val="16"/>
          <w:szCs w:val="16"/>
          <w:b w:val="1"/>
          <w:bCs w:val="1"/>
          <w:color w:val="auto"/>
        </w:rPr>
        <w:t xml:space="preserve"> </w:t>
      </w:r>
      <w:r>
        <w:rPr>
          <w:rFonts w:ascii="Arial" w:cs="Arial" w:eastAsia="Arial" w:hAnsi="Arial"/>
          <w:sz w:val="16"/>
          <w:szCs w:val="16"/>
          <w:color w:val="auto"/>
        </w:rPr>
        <w:t>full of 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left="-20" w:firstLine="656"/>
        <w:spacing w:after="0" w:line="277" w:lineRule="auto"/>
        <w:tabs>
          <w:tab w:leader="none" w:pos="1319"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Vesting, Option Period and Expiration</w:t>
      </w:r>
      <w:r>
        <w:rPr>
          <w:rFonts w:ascii="Arial" w:cs="Arial" w:eastAsia="Arial" w:hAnsi="Arial"/>
          <w:sz w:val="17"/>
          <w:szCs w:val="17"/>
          <w:color w:val="auto"/>
        </w:rPr>
        <w:t>. Options shall vest and become exercisable in such manner and on such date or dates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Committee and shall expire after such period, not to exceed ten years, as may be determined by the Committee (the “</w:t>
      </w:r>
      <w:r>
        <w:rPr>
          <w:rFonts w:ascii="Arial" w:cs="Arial" w:eastAsia="Arial" w:hAnsi="Arial"/>
          <w:sz w:val="17"/>
          <w:szCs w:val="17"/>
          <w:u w:val="single" w:color="auto"/>
          <w:color w:val="auto"/>
        </w:rPr>
        <w:t>Option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168" w:lineRule="exact"/>
        <w:rPr>
          <w:rFonts w:ascii="Arial" w:cs="Arial" w:eastAsia="Arial" w:hAnsi="Arial"/>
          <w:sz w:val="17"/>
          <w:szCs w:val="17"/>
          <w:color w:val="auto"/>
        </w:rPr>
      </w:pPr>
    </w:p>
    <w:p>
      <w:pPr>
        <w:jc w:val="both"/>
        <w:ind w:left="-20" w:firstLine="656"/>
        <w:spacing w:after="0" w:line="266" w:lineRule="auto"/>
        <w:tabs>
          <w:tab w:leader="none" w:pos="138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Automatic Exercise</w:t>
      </w:r>
      <w:r>
        <w:rPr>
          <w:rFonts w:ascii="Arial" w:cs="Arial" w:eastAsia="Arial" w:hAnsi="Arial"/>
          <w:sz w:val="18"/>
          <w:szCs w:val="18"/>
          <w:color w:val="auto"/>
        </w:rPr>
        <w:t>. Unless otherwise provided in the Award Agreement, if on the last day of the Option Period, the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exceeds the Strike Price, the Participant has not exercised the Option, and the Option has not expired, such Option shall be deemed to have been exercised by the Participant on such last day and the Company shall make the appropriate payment therefor.</w:t>
      </w:r>
    </w:p>
    <w:p>
      <w:pPr>
        <w:spacing w:after="0" w:line="176" w:lineRule="exact"/>
        <w:rPr>
          <w:rFonts w:ascii="Arial" w:cs="Arial" w:eastAsia="Arial" w:hAnsi="Arial"/>
          <w:sz w:val="18"/>
          <w:szCs w:val="18"/>
          <w:color w:val="auto"/>
        </w:rPr>
      </w:pPr>
    </w:p>
    <w:p>
      <w:pPr>
        <w:jc w:val="both"/>
        <w:ind w:left="-20" w:firstLine="656"/>
        <w:spacing w:after="0" w:line="266" w:lineRule="auto"/>
        <w:tabs>
          <w:tab w:leader="none" w:pos="1427"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Stock Option Agreement - Other Terms and Conditions</w:t>
      </w:r>
      <w:r>
        <w:rPr>
          <w:rFonts w:ascii="Arial" w:cs="Arial" w:eastAsia="Arial" w:hAnsi="Arial"/>
          <w:sz w:val="18"/>
          <w:szCs w:val="18"/>
          <w:color w:val="auto"/>
        </w:rPr>
        <w:t>. Each Option granted under the Plan shall be evidenced by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as specifically provided otherwise in such Stock Option Agreement, each Option granted under the Plan shall be subject to the following terms and conditions:</w:t>
      </w:r>
    </w:p>
    <w:p>
      <w:pPr>
        <w:spacing w:after="0" w:line="180" w:lineRule="exact"/>
        <w:rPr>
          <w:rFonts w:ascii="Arial" w:cs="Arial" w:eastAsia="Arial" w:hAnsi="Arial"/>
          <w:sz w:val="18"/>
          <w:szCs w:val="18"/>
          <w:color w:val="auto"/>
        </w:rPr>
      </w:pPr>
    </w:p>
    <w:p>
      <w:pPr>
        <w:ind w:left="1900" w:hanging="615"/>
        <w:spacing w:after="0"/>
        <w:tabs>
          <w:tab w:leader="none" w:pos="1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225" w:lineRule="exact"/>
        <w:rPr>
          <w:rFonts w:ascii="Arial" w:cs="Arial" w:eastAsia="Arial" w:hAnsi="Arial"/>
          <w:sz w:val="18"/>
          <w:szCs w:val="18"/>
          <w:color w:val="auto"/>
        </w:rPr>
      </w:pPr>
    </w:p>
    <w:p>
      <w:pPr>
        <w:ind w:left="-20" w:firstLine="1305"/>
        <w:spacing w:after="0" w:line="342" w:lineRule="auto"/>
        <w:tabs>
          <w:tab w:leader="none" w:pos="1964" w:val="left"/>
        </w:tabs>
        <w:numPr>
          <w:ilvl w:val="1"/>
          <w:numId w:val="21"/>
        </w:numPr>
        <w:rPr>
          <w:rFonts w:ascii="Arial" w:cs="Arial" w:eastAsia="Arial" w:hAnsi="Arial"/>
          <w:sz w:val="16"/>
          <w:szCs w:val="16"/>
          <w:color w:val="auto"/>
        </w:rPr>
      </w:pPr>
      <w:r>
        <w:rPr>
          <w:rFonts w:ascii="Arial" w:cs="Arial" w:eastAsia="Arial" w:hAnsi="Arial"/>
          <w:sz w:val="16"/>
          <w:szCs w:val="16"/>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spacing w:after="0" w:line="123" w:lineRule="exact"/>
        <w:rPr>
          <w:rFonts w:ascii="Arial" w:cs="Arial" w:eastAsia="Arial" w:hAnsi="Arial"/>
          <w:sz w:val="16"/>
          <w:szCs w:val="16"/>
          <w:color w:val="auto"/>
        </w:rPr>
      </w:pPr>
    </w:p>
    <w:p>
      <w:pPr>
        <w:ind w:left="-20" w:firstLine="1305"/>
        <w:spacing w:after="0" w:line="277" w:lineRule="auto"/>
        <w:tabs>
          <w:tab w:leader="none" w:pos="19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Subject to Section 12(l), Options shall not be transferable by the Participant except by will or the laws of descent and distribution and shall be exercisable during the Participant’s lifetime only by him.</w:t>
      </w:r>
    </w:p>
    <w:p>
      <w:pPr>
        <w:spacing w:after="0" w:line="170" w:lineRule="exact"/>
        <w:rPr>
          <w:rFonts w:ascii="Arial" w:cs="Arial" w:eastAsia="Arial" w:hAnsi="Arial"/>
          <w:sz w:val="18"/>
          <w:szCs w:val="18"/>
          <w:color w:val="auto"/>
        </w:rPr>
      </w:pPr>
    </w:p>
    <w:p>
      <w:pPr>
        <w:ind w:left="-20" w:firstLine="1305"/>
        <w:spacing w:after="0" w:line="277" w:lineRule="auto"/>
        <w:tabs>
          <w:tab w:leader="none" w:pos="2063"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170" w:lineRule="exact"/>
        <w:rPr>
          <w:rFonts w:ascii="Arial" w:cs="Arial" w:eastAsia="Arial" w:hAnsi="Arial"/>
          <w:sz w:val="18"/>
          <w:szCs w:val="18"/>
          <w:color w:val="auto"/>
        </w:rPr>
      </w:pPr>
    </w:p>
    <w:p>
      <w:pPr>
        <w:jc w:val="both"/>
        <w:ind w:left="-20" w:firstLine="1305"/>
        <w:spacing w:after="0" w:line="291" w:lineRule="auto"/>
        <w:tabs>
          <w:tab w:leader="none" w:pos="188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167" w:lineRule="exact"/>
        <w:rPr>
          <w:rFonts w:ascii="Arial" w:cs="Arial" w:eastAsia="Arial" w:hAnsi="Arial"/>
          <w:sz w:val="16"/>
          <w:szCs w:val="16"/>
          <w:color w:val="auto"/>
        </w:rPr>
      </w:pPr>
    </w:p>
    <w:p>
      <w:pPr>
        <w:jc w:val="both"/>
        <w:ind w:left="-20" w:firstLine="1305"/>
        <w:spacing w:after="0" w:line="255"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189" w:lineRule="exact"/>
        <w:rPr>
          <w:rFonts w:ascii="Arial" w:cs="Arial" w:eastAsia="Arial" w:hAnsi="Arial"/>
          <w:sz w:val="18"/>
          <w:szCs w:val="18"/>
          <w:color w:val="auto"/>
        </w:rPr>
      </w:pPr>
    </w:p>
    <w:p>
      <w:pPr>
        <w:jc w:val="both"/>
        <w:ind w:left="-20" w:firstLine="1305"/>
        <w:spacing w:after="0" w:line="255" w:lineRule="auto"/>
        <w:tabs>
          <w:tab w:leader="none" w:pos="1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 w:name="page13"/>
    <w:bookmarkEnd w:id="12"/>
    <w:p>
      <w:pPr>
        <w:jc w:val="both"/>
        <w:ind w:firstLine="656"/>
        <w:spacing w:after="0" w:line="261" w:lineRule="auto"/>
        <w:tabs>
          <w:tab w:leader="none" w:pos="1373"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Incentive Stock Option Grants to 10% Stockholders</w:t>
      </w:r>
      <w:r>
        <w:rPr>
          <w:rFonts w:ascii="Arial" w:cs="Arial" w:eastAsia="Arial" w:hAnsi="Arial"/>
          <w:sz w:val="18"/>
          <w:szCs w:val="18"/>
          <w:color w:val="auto"/>
        </w:rPr>
        <w:t>. Notwithstanding anything to the contrary in this Section 7, if an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180" w:lineRule="exact"/>
        <w:rPr>
          <w:rFonts w:ascii="Arial" w:cs="Arial" w:eastAsia="Arial" w:hAnsi="Arial"/>
          <w:sz w:val="18"/>
          <w:szCs w:val="18"/>
          <w:color w:val="auto"/>
        </w:rPr>
      </w:pPr>
    </w:p>
    <w:p>
      <w:pPr>
        <w:jc w:val="both"/>
        <w:ind w:firstLine="656"/>
        <w:spacing w:after="0" w:line="266" w:lineRule="auto"/>
        <w:tabs>
          <w:tab w:leader="none" w:pos="1349"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$100,000 Per Year Limitation for Incentive Stock Options</w:t>
      </w:r>
      <w:r>
        <w:rPr>
          <w:rFonts w:ascii="Arial" w:cs="Arial" w:eastAsia="Arial" w:hAnsi="Arial"/>
          <w:sz w:val="18"/>
          <w:szCs w:val="18"/>
          <w:color w:val="auto"/>
        </w:rPr>
        <w:t>. To the extent the aggregate Fair Market Value (determined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177" w:lineRule="exact"/>
        <w:rPr>
          <w:sz w:val="20"/>
          <w:szCs w:val="20"/>
          <w:color w:val="auto"/>
        </w:rPr>
      </w:pPr>
    </w:p>
    <w:p>
      <w:pPr>
        <w:jc w:val="both"/>
        <w:ind w:firstLine="656"/>
        <w:spacing w:after="0" w:line="261" w:lineRule="auto"/>
        <w:tabs>
          <w:tab w:leader="none" w:pos="131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Expiration</w:t>
      </w:r>
      <w:r>
        <w:rPr>
          <w:rFonts w:ascii="Arial" w:cs="Arial" w:eastAsia="Arial" w:hAnsi="Arial"/>
          <w:sz w:val="18"/>
          <w:szCs w:val="18"/>
          <w:color w:val="auto"/>
        </w:rPr>
        <w:t>. A SAR granted in connection with an Option shall become exercisable, be transferable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180" w:lineRule="exact"/>
        <w:rPr>
          <w:rFonts w:ascii="Arial" w:cs="Arial" w:eastAsia="Arial" w:hAnsi="Arial"/>
          <w:sz w:val="18"/>
          <w:szCs w:val="18"/>
          <w:color w:val="auto"/>
        </w:rPr>
      </w:pPr>
    </w:p>
    <w:p>
      <w:pPr>
        <w:jc w:val="both"/>
        <w:ind w:firstLine="656"/>
        <w:spacing w:after="0" w:line="281" w:lineRule="auto"/>
        <w:tabs>
          <w:tab w:leader="none" w:pos="1362"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Automatic Exercise</w:t>
      </w:r>
      <w:r>
        <w:rPr>
          <w:rFonts w:ascii="Arial" w:cs="Arial" w:eastAsia="Arial" w:hAnsi="Arial"/>
          <w:sz w:val="17"/>
          <w:szCs w:val="17"/>
          <w:color w:val="auto"/>
        </w:rPr>
        <w:t>. Unless otherwise provided in the Award Agreement, if on the last day of the Option Period (or in the case of a SAR</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of an option, the period established by 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164" w:lineRule="exact"/>
        <w:rPr>
          <w:rFonts w:ascii="Arial" w:cs="Arial" w:eastAsia="Arial" w:hAnsi="Arial"/>
          <w:sz w:val="17"/>
          <w:szCs w:val="17"/>
          <w:color w:val="auto"/>
        </w:rPr>
      </w:pPr>
    </w:p>
    <w:p>
      <w:pPr>
        <w:jc w:val="both"/>
        <w:ind w:firstLine="656"/>
        <w:spacing w:after="0" w:line="281" w:lineRule="auto"/>
        <w:tabs>
          <w:tab w:leader="none" w:pos="1393"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Upon the exercise of a SAR, the Company shall pay to the Participant an amount equal to the number of shares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SAR 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164" w:lineRule="exact"/>
        <w:rPr>
          <w:rFonts w:ascii="Arial" w:cs="Arial" w:eastAsia="Arial" w:hAnsi="Arial"/>
          <w:sz w:val="17"/>
          <w:szCs w:val="17"/>
          <w:color w:val="auto"/>
        </w:rPr>
      </w:pPr>
    </w:p>
    <w:p>
      <w:pPr>
        <w:jc w:val="both"/>
        <w:ind w:firstLine="656"/>
        <w:spacing w:after="0" w:line="266" w:lineRule="auto"/>
        <w:tabs>
          <w:tab w:leader="none" w:pos="1349"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by filing an irrevocable written notice with the Committee or its designee, specifying the number of SARs to be exercised, and the date on which such SARs were awarded.</w:t>
      </w:r>
    </w:p>
    <w:p>
      <w:pPr>
        <w:spacing w:after="0" w:line="176" w:lineRule="exact"/>
        <w:rPr>
          <w:rFonts w:ascii="Arial" w:cs="Arial" w:eastAsia="Arial" w:hAnsi="Arial"/>
          <w:sz w:val="18"/>
          <w:szCs w:val="18"/>
          <w:color w:val="auto"/>
        </w:rPr>
      </w:pPr>
    </w:p>
    <w:p>
      <w:pPr>
        <w:ind w:right="20" w:firstLine="656"/>
        <w:spacing w:after="0" w:line="282" w:lineRule="auto"/>
        <w:tabs>
          <w:tab w:leader="none" w:pos="131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Except as otherwise provided in the case of SARs granted in connection with Options, a SAR shall expire on a date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which is not later than ten years after the Date of Grant of the SAR.</w:t>
      </w:r>
    </w:p>
    <w:p>
      <w:pPr>
        <w:spacing w:after="0" w:line="161" w:lineRule="exact"/>
        <w:rPr>
          <w:rFonts w:ascii="Arial" w:cs="Arial" w:eastAsia="Arial" w:hAnsi="Arial"/>
          <w:sz w:val="18"/>
          <w:szCs w:val="18"/>
          <w:color w:val="auto"/>
        </w:rPr>
      </w:pPr>
    </w:p>
    <w:p>
      <w:pPr>
        <w:ind w:firstLine="656"/>
        <w:spacing w:after="0" w:line="282" w:lineRule="auto"/>
        <w:tabs>
          <w:tab w:leader="none" w:pos="14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Tax Considerations</w:t>
      </w:r>
      <w:r>
        <w:rPr>
          <w:rFonts w:ascii="Arial" w:cs="Arial" w:eastAsia="Arial" w:hAnsi="Arial"/>
          <w:sz w:val="18"/>
          <w:szCs w:val="18"/>
          <w:color w:val="auto"/>
        </w:rPr>
        <w:t>. The Committee shall take into account Section 409A of the Code and applicable regulatory guidance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granting a SAR.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652" w:hanging="652"/>
        <w:spacing w:after="0"/>
        <w:tabs>
          <w:tab w:leader="none" w:pos="6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225" w:lineRule="exact"/>
        <w:rPr>
          <w:rFonts w:ascii="Arial" w:cs="Arial" w:eastAsia="Arial" w:hAnsi="Arial"/>
          <w:sz w:val="18"/>
          <w:szCs w:val="18"/>
          <w:b w:val="1"/>
          <w:bCs w:val="1"/>
          <w:color w:val="auto"/>
        </w:rPr>
      </w:pPr>
    </w:p>
    <w:p>
      <w:pPr>
        <w:ind w:left="1292" w:hanging="644"/>
        <w:spacing w:after="0"/>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 w:firstLine="1305"/>
        <w:spacing w:after="0" w:line="302" w:lineRule="auto"/>
        <w:tabs>
          <w:tab w:leader="none" w:pos="1914" w:val="left"/>
        </w:tabs>
        <w:numPr>
          <w:ilvl w:val="2"/>
          <w:numId w:val="25"/>
        </w:numPr>
        <w:rPr>
          <w:rFonts w:ascii="Arial" w:cs="Arial" w:eastAsia="Arial" w:hAnsi="Arial"/>
          <w:sz w:val="16"/>
          <w:szCs w:val="16"/>
          <w:color w:val="auto"/>
        </w:rPr>
      </w:pPr>
      <w:r>
        <w:rPr>
          <w:rFonts w:ascii="Arial" w:cs="Arial" w:eastAsia="Arial" w:hAnsi="Arial"/>
          <w:sz w:val="16"/>
          <w:szCs w:val="16"/>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and any applicable Performance Goals, as applicable, which may differ with respect to each grantee, the time or times at which Restricted Stock or Restricted Stock Units shall be granted or become vested and the number of shares or units to be covered by each grant.</w:t>
      </w:r>
    </w:p>
    <w:p>
      <w:pPr>
        <w:spacing w:after="0" w:line="154" w:lineRule="exact"/>
        <w:rPr>
          <w:rFonts w:ascii="Arial" w:cs="Arial" w:eastAsia="Arial" w:hAnsi="Arial"/>
          <w:sz w:val="16"/>
          <w:szCs w:val="16"/>
          <w:color w:val="auto"/>
        </w:rPr>
      </w:pPr>
    </w:p>
    <w:p>
      <w:pPr>
        <w:jc w:val="both"/>
        <w:ind w:left="-8" w:firstLine="1305"/>
        <w:spacing w:after="0" w:line="254" w:lineRule="auto"/>
        <w:tabs>
          <w:tab w:leader="none" w:pos="2085"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w:t>
      </w:r>
    </w:p>
    <w:p>
      <w:pPr>
        <w:spacing w:after="0" w:line="192" w:lineRule="exact"/>
        <w:rPr>
          <w:rFonts w:ascii="Arial" w:cs="Arial" w:eastAsia="Arial" w:hAnsi="Arial"/>
          <w:sz w:val="18"/>
          <w:szCs w:val="18"/>
          <w:color w:val="auto"/>
        </w:rPr>
      </w:pPr>
    </w:p>
    <w:p>
      <w:pPr>
        <w:jc w:val="both"/>
        <w:ind w:left="-8" w:firstLine="1305"/>
        <w:spacing w:after="0" w:line="259" w:lineRule="auto"/>
        <w:tabs>
          <w:tab w:leader="none" w:pos="2015" w:val="left"/>
        </w:tabs>
        <w:numPr>
          <w:ilvl w:val="2"/>
          <w:numId w:val="25"/>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186" w:lineRule="exact"/>
        <w:rPr>
          <w:rFonts w:ascii="Arial" w:cs="Arial" w:eastAsia="Arial" w:hAnsi="Arial"/>
          <w:sz w:val="18"/>
          <w:szCs w:val="18"/>
          <w:color w:val="auto"/>
        </w:rPr>
      </w:pPr>
    </w:p>
    <w:p>
      <w:pPr>
        <w:jc w:val="both"/>
        <w:ind w:left="-8" w:firstLine="1305"/>
        <w:spacing w:after="0" w:line="259" w:lineRule="auto"/>
        <w:tabs>
          <w:tab w:leader="none" w:pos="1938"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and subject to Section 12(b), each Restricted Stock Unit (representing one share of Stock) may be credited with cash and stock dividends paid by the Company in respect of one share of Stock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312" w:hanging="664"/>
        <w:spacing w:after="0"/>
        <w:tabs>
          <w:tab w:leader="none" w:pos="1312"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 w:firstLine="1305"/>
        <w:spacing w:after="0" w:line="255" w:lineRule="auto"/>
        <w:tabs>
          <w:tab w:leader="none" w:pos="1946" w:val="left"/>
        </w:tabs>
        <w:numPr>
          <w:ilvl w:val="2"/>
          <w:numId w:val="25"/>
        </w:numPr>
        <w:rPr>
          <w:rFonts w:ascii="Arial" w:cs="Arial" w:eastAsia="Arial" w:hAnsi="Arial"/>
          <w:sz w:val="18"/>
          <w:szCs w:val="18"/>
          <w:color w:val="auto"/>
        </w:rPr>
      </w:pPr>
      <w:r>
        <w:rPr>
          <w:rFonts w:ascii="Arial" w:cs="Arial" w:eastAsia="Arial" w:hAnsi="Arial"/>
          <w:sz w:val="18"/>
          <w:szCs w:val="18"/>
          <w:color w:val="auto"/>
        </w:rPr>
        <w:t>Restricted Stock awarded to a Participant shall be subject to the following restrictions until the expiration of the Restricted Period, and to such other terms and conditions, including and without limitation, the satisfaction of any applicable Performance Goals during such period,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9(c) and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89" w:lineRule="exact"/>
        <w:rPr>
          <w:rFonts w:ascii="Arial" w:cs="Arial" w:eastAsia="Arial" w:hAnsi="Arial"/>
          <w:sz w:val="18"/>
          <w:szCs w:val="18"/>
          <w:color w:val="auto"/>
        </w:rPr>
      </w:pPr>
    </w:p>
    <w:p>
      <w:pPr>
        <w:jc w:val="both"/>
        <w:ind w:left="-8" w:firstLine="1305"/>
        <w:spacing w:after="0" w:line="259" w:lineRule="auto"/>
        <w:tabs>
          <w:tab w:leader="none" w:pos="1922" w:val="left"/>
        </w:tabs>
        <w:numPr>
          <w:ilvl w:val="2"/>
          <w:numId w:val="25"/>
        </w:numPr>
        <w:rPr>
          <w:rFonts w:ascii="Arial" w:cs="Arial" w:eastAsia="Arial" w:hAnsi="Arial"/>
          <w:sz w:val="18"/>
          <w:szCs w:val="18"/>
          <w:color w:val="auto"/>
        </w:rPr>
      </w:pPr>
      <w:r>
        <w:rPr>
          <w:rFonts w:ascii="Arial" w:cs="Arial" w:eastAsia="Arial" w:hAnsi="Arial"/>
          <w:sz w:val="18"/>
          <w:szCs w:val="18"/>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186" w:lineRule="exact"/>
        <w:rPr>
          <w:rFonts w:ascii="Arial" w:cs="Arial" w:eastAsia="Arial" w:hAnsi="Arial"/>
          <w:sz w:val="18"/>
          <w:szCs w:val="18"/>
          <w:color w:val="auto"/>
        </w:rPr>
      </w:pPr>
    </w:p>
    <w:p>
      <w:pPr>
        <w:jc w:val="both"/>
        <w:ind w:left="-8" w:right="20" w:firstLine="1305"/>
        <w:spacing w:after="0" w:line="264" w:lineRule="auto"/>
        <w:tabs>
          <w:tab w:leader="none" w:pos="1952"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4" w:name="page15"/>
    <w:bookmarkEnd w:id="14"/>
    <w:p>
      <w:pPr>
        <w:ind w:firstLine="656"/>
        <w:spacing w:after="0" w:line="282" w:lineRule="auto"/>
        <w:tabs>
          <w:tab w:leader="none" w:pos="131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With respect to Restricted Stock and Restricted Stock Units, the Restricted Period shall commence on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end at the time or times set forth on a schedule established by the Committee in the applicable Award Agreement.</w:t>
      </w:r>
    </w:p>
    <w:p>
      <w:pPr>
        <w:spacing w:after="0" w:line="161" w:lineRule="exact"/>
        <w:rPr>
          <w:rFonts w:ascii="Arial" w:cs="Arial" w:eastAsia="Arial" w:hAnsi="Arial"/>
          <w:sz w:val="18"/>
          <w:szCs w:val="18"/>
          <w:color w:val="auto"/>
        </w:rPr>
      </w:pPr>
    </w:p>
    <w:p>
      <w:pPr>
        <w:jc w:val="both"/>
        <w:ind w:firstLine="656"/>
        <w:spacing w:after="0" w:line="274" w:lineRule="auto"/>
        <w:tabs>
          <w:tab w:leader="none" w:pos="133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Delivery of Restricted Stock and Settlement of Restricted Stock Units</w:t>
      </w:r>
      <w:r>
        <w:rPr>
          <w:rFonts w:ascii="Arial" w:cs="Arial" w:eastAsia="Arial" w:hAnsi="Arial"/>
          <w:sz w:val="17"/>
          <w:szCs w:val="17"/>
          <w:color w:val="auto"/>
        </w:rPr>
        <w:t>. Upon the expiration of the Restricted Period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applicable Award Agreement, 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7"/>
          <w:szCs w:val="17"/>
          <w:u w:val="single" w:color="auto"/>
          <w:color w:val="auto"/>
        </w:rPr>
        <w:t>Vested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Unit</w:t>
      </w:r>
      <w:r>
        <w:rPr>
          <w:rFonts w:ascii="Arial" w:cs="Arial" w:eastAsia="Arial" w:hAnsi="Arial"/>
          <w:sz w:val="17"/>
          <w:szCs w:val="17"/>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175" w:lineRule="exact"/>
        <w:rPr>
          <w:sz w:val="20"/>
          <w:szCs w:val="20"/>
          <w:color w:val="auto"/>
        </w:rPr>
      </w:pPr>
    </w:p>
    <w:p>
      <w:pPr>
        <w:ind w:firstLine="656"/>
        <w:spacing w:after="0" w:line="313" w:lineRule="auto"/>
        <w:tabs>
          <w:tab w:leader="none" w:pos="136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Stock Restrictions</w:t>
      </w:r>
      <w:r>
        <w:rPr>
          <w:rFonts w:ascii="Arial" w:cs="Arial" w:eastAsia="Arial" w:hAnsi="Arial"/>
          <w:sz w:val="17"/>
          <w:szCs w:val="17"/>
          <w:color w:val="auto"/>
        </w:rPr>
        <w:t>. Each certificate representing Restricted Stock awarded under the Plan shall bear a legend substantially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until the lapse of all restrictions with respect to such Stock as well as any other information the Company deems appropriate:</w:t>
      </w:r>
    </w:p>
    <w:p>
      <w:pPr>
        <w:spacing w:after="0" w:line="14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Transfer of this certificate and the shares represented hereby is restricted pursuant to the terms of the ExlService Holdings, Inc.</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2018 Omnibus Incentive Plan and a Restricted Stock Award Agreement, dated as of _____________, between ExlService Holdings, Inc.</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__________________. A copy of such Plan and Agreement is on file at the offices of ExlService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2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 Bonus Awards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may issue unrestricted Stock, or other Awards denominated in Stock, including and without limitation, fully-vested deferred stock units, under the Plan to Eligible Persons, alone or in tandem with other Awards, in such amounts and subject to such terms and conditions as the Committee shall from time to time in its sole discretion determine. A Stock Bonus Award under the Plan shall be granted as, or in payment of, a bonus, or to provide incentives or recognize special achievements or contributions.</w:t>
      </w:r>
    </w:p>
    <w:p>
      <w:pPr>
        <w:spacing w:after="0" w:line="18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Cash Bonus Awards and Certain Limitations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Committee shall have the authority to make an Award of a cash bonus to any Participant. Any such Award may be subject to a Performance Period, Performance Goals or such other terms and conditions as the Committee may designate in the applicable Award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652" w:hanging="652"/>
        <w:spacing w:after="0"/>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rFonts w:ascii="Arial" w:cs="Arial" w:eastAsia="Arial" w:hAnsi="Arial"/>
          <w:sz w:val="18"/>
          <w:szCs w:val="18"/>
          <w:b w:val="1"/>
          <w:bCs w:val="1"/>
          <w:color w:val="auto"/>
        </w:rPr>
      </w:pPr>
    </w:p>
    <w:p>
      <w:pPr>
        <w:jc w:val="both"/>
        <w:ind w:left="-8" w:firstLine="656"/>
        <w:spacing w:after="0" w:line="288" w:lineRule="auto"/>
        <w:tabs>
          <w:tab w:leader="none" w:pos="1358"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Additional Provisions of an Award</w:t>
      </w:r>
      <w:r>
        <w:rPr>
          <w:rFonts w:ascii="Arial" w:cs="Arial" w:eastAsia="Arial" w:hAnsi="Arial"/>
          <w:sz w:val="16"/>
          <w:szCs w:val="16"/>
          <w:color w:val="auto"/>
        </w:rPr>
        <w:t>. Awards to a Participant under the Plan also may be subject to such other provisions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and subject to those provisions of Section 9, including the prohibition on currently paying dividends or dividend equivalents prior to the release of restrictions or settlement of the corresponding Restricted Stock or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164" w:lineRule="exact"/>
        <w:rPr>
          <w:rFonts w:ascii="Arial" w:cs="Arial" w:eastAsia="Arial" w:hAnsi="Arial"/>
          <w:sz w:val="16"/>
          <w:szCs w:val="16"/>
          <w:color w:val="auto"/>
        </w:rPr>
      </w:pPr>
    </w:p>
    <w:p>
      <w:pPr>
        <w:jc w:val="both"/>
        <w:ind w:left="-8" w:firstLine="656"/>
        <w:spacing w:after="0" w:line="256" w:lineRule="auto"/>
        <w:tabs>
          <w:tab w:leader="none" w:pos="1368"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Treatment of Dividends and Dividend Equivalents on Unvested Awards</w:t>
      </w:r>
      <w:r>
        <w:rPr>
          <w:rFonts w:ascii="Arial" w:cs="Arial" w:eastAsia="Arial" w:hAnsi="Arial"/>
          <w:sz w:val="18"/>
          <w:szCs w:val="18"/>
          <w:color w:val="auto"/>
        </w:rPr>
        <w:t>. In no event shall dividends or dividend equivalents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paid in cash or shares of Stock) be paid with respect to Options or Stock Appreciation Rights. Notwithstanding any other provision of the Plan to the contrary, with respect to any Award that provides for or includes a right to dividends or dividend equivalents, if dividends are declared during the period that an Award is outstanding,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and the Award is settled (as applicable).</w:t>
      </w:r>
    </w:p>
    <w:p>
      <w:pPr>
        <w:spacing w:after="0" w:line="187" w:lineRule="exact"/>
        <w:rPr>
          <w:rFonts w:ascii="Arial" w:cs="Arial" w:eastAsia="Arial" w:hAnsi="Arial"/>
          <w:sz w:val="18"/>
          <w:szCs w:val="18"/>
          <w:color w:val="auto"/>
        </w:rPr>
      </w:pPr>
    </w:p>
    <w:p>
      <w:pPr>
        <w:ind w:left="-8" w:firstLine="656"/>
        <w:spacing w:after="0" w:line="282" w:lineRule="auto"/>
        <w:tabs>
          <w:tab w:leader="none" w:pos="1452"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Privileges of Stock Ownership</w:t>
      </w:r>
      <w:r>
        <w:rPr>
          <w:rFonts w:ascii="Arial" w:cs="Arial" w:eastAsia="Arial" w:hAnsi="Arial"/>
          <w:sz w:val="18"/>
          <w:szCs w:val="18"/>
          <w:color w:val="auto"/>
        </w:rPr>
        <w:t>. Except as otherwise specifically provided in the Plan, no person shall be entitled to the privileges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in respect of shares of Stock which are subject to Awards hereunder until such shares have been issued to that person.</w:t>
      </w:r>
    </w:p>
    <w:p>
      <w:pPr>
        <w:spacing w:after="0" w:line="161" w:lineRule="exact"/>
        <w:rPr>
          <w:rFonts w:ascii="Arial" w:cs="Arial" w:eastAsia="Arial" w:hAnsi="Arial"/>
          <w:sz w:val="18"/>
          <w:szCs w:val="18"/>
          <w:color w:val="auto"/>
        </w:rPr>
      </w:pPr>
    </w:p>
    <w:p>
      <w:pPr>
        <w:jc w:val="both"/>
        <w:ind w:left="-8" w:firstLine="656"/>
        <w:spacing w:after="0" w:line="290" w:lineRule="auto"/>
        <w:tabs>
          <w:tab w:leader="none" w:pos="1422"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Government and Other Regulations</w:t>
      </w:r>
      <w:r>
        <w:rPr>
          <w:rFonts w:ascii="Arial" w:cs="Arial" w:eastAsia="Arial" w:hAnsi="Arial"/>
          <w:sz w:val="16"/>
          <w:szCs w:val="16"/>
          <w:color w:val="auto"/>
        </w:rPr>
        <w:t>. The obligation of the Company to settle Awards in Stock shall be subject to all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59" w:lineRule="exact"/>
        <w:rPr>
          <w:rFonts w:ascii="Arial" w:cs="Arial" w:eastAsia="Arial" w:hAnsi="Arial"/>
          <w:sz w:val="16"/>
          <w:szCs w:val="16"/>
          <w:color w:val="auto"/>
        </w:rPr>
      </w:pPr>
    </w:p>
    <w:p>
      <w:pPr>
        <w:ind w:left="1292" w:hanging="644"/>
        <w:spacing w:after="0"/>
        <w:tabs>
          <w:tab w:leader="none" w:pos="1292"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 w:firstLine="1305"/>
        <w:spacing w:after="0" w:line="257" w:lineRule="auto"/>
        <w:tabs>
          <w:tab w:leader="none" w:pos="1926" w:val="left"/>
        </w:tabs>
        <w:numPr>
          <w:ilvl w:val="2"/>
          <w:numId w:val="30"/>
        </w:numPr>
        <w:rPr>
          <w:rFonts w:ascii="Arial" w:cs="Arial" w:eastAsia="Arial" w:hAnsi="Arial"/>
          <w:sz w:val="18"/>
          <w:szCs w:val="18"/>
          <w:color w:val="auto"/>
        </w:rPr>
      </w:pPr>
      <w:r>
        <w:rPr>
          <w:rFonts w:ascii="Arial" w:cs="Arial" w:eastAsia="Arial" w:hAnsi="Arial"/>
          <w:sz w:val="18"/>
          <w:szCs w:val="18"/>
          <w:color w:val="auto"/>
        </w:rPr>
        <w:t>A Participant may be required to pay to the Company or any Affiliate, and the Company or any Affiliate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6" w:name="page17"/>
    <w:bookmarkEnd w:id="16"/>
    <w:p>
      <w:pPr>
        <w:jc w:val="both"/>
        <w:ind w:left="-20" w:firstLine="1305"/>
        <w:spacing w:after="0" w:line="257" w:lineRule="auto"/>
        <w:tabs>
          <w:tab w:leader="none" w:pos="20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the Committee may, in its sole discretion, permit a Participant to satisfy, in whole or in part, the foregoing withholding (at a tax withholding rate that will not result in adverse accounting implications for the Company) by (A) the delivery of shares of Stock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w:t>
      </w:r>
    </w:p>
    <w:p>
      <w:pPr>
        <w:spacing w:after="0" w:line="184" w:lineRule="exact"/>
        <w:rPr>
          <w:rFonts w:ascii="Arial" w:cs="Arial" w:eastAsia="Arial" w:hAnsi="Arial"/>
          <w:sz w:val="18"/>
          <w:szCs w:val="18"/>
          <w:color w:val="auto"/>
        </w:rPr>
      </w:pPr>
    </w:p>
    <w:p>
      <w:pPr>
        <w:jc w:val="both"/>
        <w:ind w:left="-20" w:firstLine="656"/>
        <w:spacing w:after="0" w:line="314" w:lineRule="auto"/>
        <w:tabs>
          <w:tab w:leader="none" w:pos="1285"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Claim to Awards and Employment Rights</w:t>
      </w:r>
      <w:r>
        <w:rPr>
          <w:rFonts w:ascii="Arial" w:cs="Arial" w:eastAsia="Arial" w:hAnsi="Arial"/>
          <w:sz w:val="16"/>
          <w:szCs w:val="16"/>
          <w:color w:val="auto"/>
        </w:rPr>
        <w:t>. No employee of the Company or an Affiliate, or other person, shall have any claim or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be 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142" w:lineRule="exact"/>
        <w:rPr>
          <w:rFonts w:ascii="Arial" w:cs="Arial" w:eastAsia="Arial" w:hAnsi="Arial"/>
          <w:sz w:val="16"/>
          <w:szCs w:val="16"/>
          <w:color w:val="auto"/>
        </w:rPr>
      </w:pPr>
    </w:p>
    <w:p>
      <w:pPr>
        <w:jc w:val="both"/>
        <w:ind w:left="-20" w:firstLine="656"/>
        <w:spacing w:after="0" w:line="255" w:lineRule="auto"/>
        <w:tabs>
          <w:tab w:leader="none" w:pos="1369"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Designation and Change of Beneficiary</w:t>
      </w:r>
      <w:r>
        <w:rPr>
          <w:rFonts w:ascii="Arial" w:cs="Arial" w:eastAsia="Arial" w:hAnsi="Arial"/>
          <w:sz w:val="18"/>
          <w:szCs w:val="18"/>
          <w:color w:val="auto"/>
        </w:rPr>
        <w:t>. Each Participant may file with the Committee a written designation of one or more persons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beneficiary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89" w:lineRule="exact"/>
        <w:rPr>
          <w:rFonts w:ascii="Arial" w:cs="Arial" w:eastAsia="Arial" w:hAnsi="Arial"/>
          <w:sz w:val="18"/>
          <w:szCs w:val="18"/>
          <w:color w:val="auto"/>
        </w:rPr>
      </w:pPr>
    </w:p>
    <w:p>
      <w:pPr>
        <w:jc w:val="both"/>
        <w:ind w:left="-20" w:firstLine="656"/>
        <w:spacing w:after="0" w:line="298" w:lineRule="auto"/>
        <w:tabs>
          <w:tab w:leader="none" w:pos="1383"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Payments to Persons Other Than Participants</w:t>
      </w:r>
      <w:r>
        <w:rPr>
          <w:rFonts w:ascii="Arial" w:cs="Arial" w:eastAsia="Arial" w:hAnsi="Arial"/>
          <w:sz w:val="16"/>
          <w:szCs w:val="16"/>
          <w:color w:val="auto"/>
        </w:rPr>
        <w:t>. If the Committee shall find that any person to whom any amount is payable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54" w:lineRule="exact"/>
        <w:rPr>
          <w:rFonts w:ascii="Arial" w:cs="Arial" w:eastAsia="Arial" w:hAnsi="Arial"/>
          <w:sz w:val="16"/>
          <w:szCs w:val="16"/>
          <w:color w:val="auto"/>
        </w:rPr>
      </w:pPr>
    </w:p>
    <w:p>
      <w:pPr>
        <w:jc w:val="both"/>
        <w:ind w:left="-20" w:firstLine="656"/>
        <w:spacing w:after="0" w:line="271" w:lineRule="auto"/>
        <w:tabs>
          <w:tab w:leader="none" w:pos="1505"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No Liability of Committee Members</w:t>
      </w:r>
      <w:r>
        <w:rPr>
          <w:rFonts w:ascii="Arial" w:cs="Arial" w:eastAsia="Arial" w:hAnsi="Arial"/>
          <w:sz w:val="17"/>
          <w:szCs w:val="17"/>
          <w:color w:val="auto"/>
        </w:rPr>
        <w:t>. No member of the Committee shall be personally liable by reason of any contract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instrument 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74" w:lineRule="exact"/>
        <w:rPr>
          <w:rFonts w:ascii="Arial" w:cs="Arial" w:eastAsia="Arial" w:hAnsi="Arial"/>
          <w:sz w:val="17"/>
          <w:szCs w:val="17"/>
          <w:color w:val="auto"/>
        </w:rPr>
      </w:pPr>
    </w:p>
    <w:p>
      <w:pPr>
        <w:ind w:left="-20" w:firstLine="656"/>
        <w:spacing w:after="0" w:line="282" w:lineRule="auto"/>
        <w:tabs>
          <w:tab w:leader="none" w:pos="130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internal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performed wholly within the State of Delaware.</w:t>
      </w:r>
    </w:p>
    <w:p>
      <w:pPr>
        <w:spacing w:after="0" w:line="161" w:lineRule="exact"/>
        <w:rPr>
          <w:rFonts w:ascii="Arial" w:cs="Arial" w:eastAsia="Arial" w:hAnsi="Arial"/>
          <w:sz w:val="18"/>
          <w:szCs w:val="18"/>
          <w:color w:val="auto"/>
        </w:rPr>
      </w:pPr>
    </w:p>
    <w:p>
      <w:pPr>
        <w:jc w:val="both"/>
        <w:ind w:left="-20" w:firstLine="656"/>
        <w:spacing w:after="0" w:line="298" w:lineRule="auto"/>
        <w:tabs>
          <w:tab w:leader="none" w:pos="141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Funding</w:t>
      </w:r>
      <w:r>
        <w:rPr>
          <w:rFonts w:ascii="Arial" w:cs="Arial" w:eastAsia="Arial" w:hAnsi="Arial"/>
          <w:sz w:val="16"/>
          <w:szCs w:val="16"/>
          <w:color w:val="auto"/>
        </w:rPr>
        <w:t>. No provision of the Plan shall require the Company, for the purpose of satisfying any obligations under the Plan,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 w:name="page18"/>
    <w:bookmarkEnd w:id="17"/>
    <w:p>
      <w:pPr>
        <w:ind w:left="1280" w:hanging="62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Nontransferability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57" w:lineRule="auto"/>
        <w:tabs>
          <w:tab w:leader="none" w:pos="1982"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88" w:lineRule="exact"/>
        <w:rPr>
          <w:rFonts w:ascii="Arial" w:cs="Arial" w:eastAsia="Arial" w:hAnsi="Arial"/>
          <w:sz w:val="18"/>
          <w:szCs w:val="18"/>
          <w:color w:val="auto"/>
        </w:rPr>
      </w:pPr>
    </w:p>
    <w:p>
      <w:pPr>
        <w:jc w:val="both"/>
        <w:ind w:right="20" w:firstLine="1305"/>
        <w:spacing w:after="0" w:line="264" w:lineRule="auto"/>
        <w:tabs>
          <w:tab w:leader="none" w:pos="1966"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33"/>
        </w:numPr>
        <w:rPr>
          <w:rFonts w:ascii="Arial" w:cs="Arial" w:eastAsia="Arial" w:hAnsi="Arial"/>
          <w:sz w:val="16"/>
          <w:szCs w:val="16"/>
          <w:color w:val="auto"/>
        </w:rPr>
      </w:pPr>
      <w:r>
        <w:rPr>
          <w:rFonts w:ascii="Arial" w:cs="Arial" w:eastAsia="Arial" w:hAnsi="Arial"/>
          <w:sz w:val="16"/>
          <w:szCs w:val="16"/>
          <w:color w:val="auto"/>
        </w:rPr>
        <w:t>any person who is a “family member” of the Participant, as such term is used in the instructions to Form S-8 (collectively,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225" w:lineRule="exact"/>
        <w:rPr>
          <w:rFonts w:ascii="Arial" w:cs="Arial" w:eastAsia="Arial" w:hAnsi="Arial"/>
          <w:sz w:val="18"/>
          <w:szCs w:val="18"/>
          <w:color w:val="auto"/>
        </w:rPr>
      </w:pPr>
    </w:p>
    <w:p>
      <w:pPr>
        <w:ind w:left="2920" w:hanging="967"/>
        <w:spacing w:after="0"/>
        <w:tabs>
          <w:tab w:leader="none" w:pos="2920" w:val="left"/>
        </w:tabs>
        <w:numPr>
          <w:ilvl w:val="2"/>
          <w:numId w:val="33"/>
        </w:numPr>
        <w:rPr>
          <w:rFonts w:ascii="Arial" w:cs="Arial" w:eastAsia="Arial" w:hAnsi="Arial"/>
          <w:sz w:val="17"/>
          <w:szCs w:val="17"/>
          <w:color w:val="auto"/>
        </w:rPr>
      </w:pPr>
      <w:r>
        <w:rPr>
          <w:rFonts w:ascii="Arial" w:cs="Arial" w:eastAsia="Arial" w:hAnsi="Arial"/>
          <w:sz w:val="17"/>
          <w:szCs w:val="17"/>
          <w:color w:val="auto"/>
        </w:rPr>
        <w:t>a partnership or limited liability company whose only partners or stockholders are the Participant and his or 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Immediate Family Members; or</w:t>
      </w:r>
    </w:p>
    <w:p>
      <w:pPr>
        <w:spacing w:after="0" w:line="210" w:lineRule="exact"/>
        <w:rPr>
          <w:rFonts w:ascii="Arial" w:cs="Arial" w:eastAsia="Arial" w:hAnsi="Arial"/>
          <w:sz w:val="17"/>
          <w:szCs w:val="17"/>
          <w:color w:val="auto"/>
        </w:rPr>
      </w:pPr>
    </w:p>
    <w:p>
      <w:pPr>
        <w:ind w:left="2680" w:hanging="727"/>
        <w:spacing w:after="0"/>
        <w:tabs>
          <w:tab w:leader="none" w:pos="2680" w:val="left"/>
        </w:tabs>
        <w:numPr>
          <w:ilvl w:val="2"/>
          <w:numId w:val="33"/>
        </w:numPr>
        <w:rPr>
          <w:rFonts w:ascii="Arial" w:cs="Arial" w:eastAsia="Arial" w:hAnsi="Arial"/>
          <w:sz w:val="16"/>
          <w:szCs w:val="16"/>
          <w:color w:val="auto"/>
        </w:rPr>
      </w:pPr>
      <w:r>
        <w:rPr>
          <w:rFonts w:ascii="Arial" w:cs="Arial" w:eastAsia="Arial" w:hAnsi="Arial"/>
          <w:sz w:val="16"/>
          <w:szCs w:val="16"/>
          <w:color w:val="auto"/>
        </w:rPr>
        <w:t>other transferee as may be approved either (a) by the Board or the Committee in its sole discretion, or (b) as provided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applicable Award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transferee described in clauses (A), (B), (C) and (D) above is hereinafter referred to as a “Permitted Transferee”);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81" w:lineRule="exact"/>
        <w:rPr>
          <w:sz w:val="20"/>
          <w:szCs w:val="20"/>
          <w:color w:val="auto"/>
        </w:rPr>
      </w:pPr>
    </w:p>
    <w:p>
      <w:pPr>
        <w:jc w:val="both"/>
        <w:ind w:firstLine="1305"/>
        <w:spacing w:after="0" w:line="270" w:lineRule="auto"/>
        <w:tabs>
          <w:tab w:leader="none" w:pos="19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73" w:lineRule="exact"/>
        <w:rPr>
          <w:rFonts w:ascii="Arial" w:cs="Arial" w:eastAsia="Arial" w:hAnsi="Arial"/>
          <w:sz w:val="17"/>
          <w:szCs w:val="17"/>
          <w:color w:val="auto"/>
        </w:rPr>
      </w:pPr>
    </w:p>
    <w:p>
      <w:pPr>
        <w:jc w:val="both"/>
        <w:ind w:firstLine="656"/>
        <w:spacing w:after="0" w:line="314" w:lineRule="auto"/>
        <w:tabs>
          <w:tab w:leader="none" w:pos="1399"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Reliance on Reports</w:t>
      </w:r>
      <w:r>
        <w:rPr>
          <w:rFonts w:ascii="Arial" w:cs="Arial" w:eastAsia="Arial" w:hAnsi="Arial"/>
          <w:sz w:val="16"/>
          <w:szCs w:val="16"/>
          <w:color w:val="auto"/>
        </w:rPr>
        <w:t>. Each member of the Committee and each member of the Board shall be fully justified in acting or failing to act,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may 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142" w:lineRule="exact"/>
        <w:rPr>
          <w:rFonts w:ascii="Arial" w:cs="Arial" w:eastAsia="Arial" w:hAnsi="Arial"/>
          <w:sz w:val="16"/>
          <w:szCs w:val="16"/>
          <w:color w:val="auto"/>
        </w:rPr>
      </w:pPr>
    </w:p>
    <w:p>
      <w:pPr>
        <w:ind w:firstLine="656"/>
        <w:spacing w:after="0" w:line="313" w:lineRule="auto"/>
        <w:tabs>
          <w:tab w:leader="none" w:pos="1403"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Relationship to Other Benefits</w:t>
      </w:r>
      <w:r>
        <w:rPr>
          <w:rFonts w:ascii="Arial" w:cs="Arial" w:eastAsia="Arial" w:hAnsi="Arial"/>
          <w:sz w:val="17"/>
          <w:szCs w:val="17"/>
          <w:color w:val="auto"/>
        </w:rPr>
        <w:t>. No payment under the Plan shall be taken into account in determining any benefits under any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profit sharing, group insurance or other benefit plan of the Company except as otherwise specifically provided in such other plan.</w:t>
      </w:r>
    </w:p>
    <w:p>
      <w:pPr>
        <w:spacing w:after="0" w:line="138" w:lineRule="exact"/>
        <w:rPr>
          <w:rFonts w:ascii="Arial" w:cs="Arial" w:eastAsia="Arial" w:hAnsi="Arial"/>
          <w:sz w:val="17"/>
          <w:szCs w:val="17"/>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expenses of administering the Plan shall be borne by the Company and Affiliates.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1320" w:hanging="664"/>
        <w:spacing w:after="0"/>
        <w:tabs>
          <w:tab w:leader="none" w:pos="132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Pronouns</w:t>
      </w:r>
      <w:r>
        <w:rPr>
          <w:rFonts w:ascii="Arial" w:cs="Arial" w:eastAsia="Arial" w:hAnsi="Arial"/>
          <w:sz w:val="18"/>
          <w:szCs w:val="18"/>
          <w:color w:val="auto"/>
        </w:rPr>
        <w:t>. Masculine pronouns and other words of masculine gender shall refer to both men and women.</w:t>
      </w:r>
    </w:p>
    <w:p>
      <w:pPr>
        <w:spacing w:after="0" w:line="225" w:lineRule="exact"/>
        <w:rPr>
          <w:rFonts w:ascii="Arial" w:cs="Arial" w:eastAsia="Arial" w:hAnsi="Arial"/>
          <w:sz w:val="18"/>
          <w:szCs w:val="18"/>
          <w:color w:val="auto"/>
        </w:rPr>
      </w:pPr>
    </w:p>
    <w:p>
      <w:pPr>
        <w:ind w:firstLine="656"/>
        <w:spacing w:after="0" w:line="282" w:lineRule="auto"/>
        <w:tabs>
          <w:tab w:leader="none" w:pos="1443"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the text of the Plan, rather than such titles or headings shall control.</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291"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Unless an applicable Award Agreement provides otherwise, for purposes of the Plan, a person who 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from employment or service with the Company to employment or service with an Affiliate or vice versa shall not be deemed to have terminated employment or service with the Company or an Affiliate.</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369"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the Plan or any Award Agreement is or becomes or is deemed to be invalid, illegal, or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3" w:lineRule="exact"/>
        <w:rPr>
          <w:rFonts w:ascii="Arial" w:cs="Arial" w:eastAsia="Arial" w:hAnsi="Arial"/>
          <w:sz w:val="18"/>
          <w:szCs w:val="18"/>
          <w:color w:val="auto"/>
        </w:rPr>
      </w:pPr>
    </w:p>
    <w:p>
      <w:pPr>
        <w:jc w:val="both"/>
        <w:ind w:firstLine="656"/>
        <w:spacing w:after="0" w:line="266" w:lineRule="auto"/>
        <w:tabs>
          <w:tab w:leader="none" w:pos="1309"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w:t>
      </w:r>
      <w:r>
        <w:rPr>
          <w:rFonts w:ascii="Arial" w:cs="Arial" w:eastAsia="Arial" w:hAnsi="Arial"/>
          <w:sz w:val="18"/>
          <w:szCs w:val="18"/>
          <w:color w:val="auto"/>
        </w:rPr>
        <w:t>. Notwithstanding any provision in the Plan to the contrary, the Committee reserves the right to add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Awards granted under the Plan and any agreements evidencing such Awards, the maximum number of shares of Stock subject to all Awards stated in Section 5(a) and the maximum number of shares of Stock with respect to which any one person may be granted Awards during any period stated in Sections 5(d) or 11(b)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 Section 424(h)(3) of the Code, and any adjustments under this Section 13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above, if the Company is merged or consolidated with another corporation or entity and, in connection therewith, consideration is received by stockholders of the Company in a form other than stock or other equity interests of the surviving entity 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stockholders of the Company in the event.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this Section 13 may be varied by the Committee in any particular Award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 in Control</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938"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189" w:lineRule="exact"/>
        <w:rPr>
          <w:rFonts w:ascii="Arial" w:cs="Arial" w:eastAsia="Arial" w:hAnsi="Arial"/>
          <w:sz w:val="18"/>
          <w:szCs w:val="18"/>
          <w:color w:val="auto"/>
        </w:rPr>
      </w:pPr>
    </w:p>
    <w:p>
      <w:pPr>
        <w:jc w:val="both"/>
        <w:ind w:firstLine="1305"/>
        <w:spacing w:after="0" w:line="297" w:lineRule="auto"/>
        <w:tabs>
          <w:tab w:leader="none" w:pos="1956" w:val="left"/>
        </w:tabs>
        <w:numPr>
          <w:ilvl w:val="2"/>
          <w:numId w:val="38"/>
        </w:numPr>
        <w:rPr>
          <w:rFonts w:ascii="Arial" w:cs="Arial" w:eastAsia="Arial" w:hAnsi="Arial"/>
          <w:sz w:val="16"/>
          <w:szCs w:val="16"/>
          <w:color w:val="auto"/>
        </w:rPr>
      </w:pPr>
      <w:r>
        <w:rPr>
          <w:rFonts w:ascii="Arial" w:cs="Arial" w:eastAsia="Arial" w:hAnsi="Arial"/>
          <w:sz w:val="16"/>
          <w:szCs w:val="16"/>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463"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stockholders of the Company in the event.</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335"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171" w:lineRule="exact"/>
        <w:rPr>
          <w:rFonts w:ascii="Arial" w:cs="Arial" w:eastAsia="Arial" w:hAnsi="Arial"/>
          <w:sz w:val="17"/>
          <w:szCs w:val="17"/>
          <w:color w:val="auto"/>
        </w:rPr>
      </w:pPr>
    </w:p>
    <w:p>
      <w:pPr>
        <w:jc w:val="both"/>
        <w:ind w:firstLine="656"/>
        <w:spacing w:after="0" w:line="312" w:lineRule="auto"/>
        <w:tabs>
          <w:tab w:leader="none" w:pos="13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146" w:lineRule="exact"/>
        <w:rPr>
          <w:rFonts w:ascii="Arial" w:cs="Arial" w:eastAsia="Arial" w:hAnsi="Arial"/>
          <w:sz w:val="16"/>
          <w:szCs w:val="16"/>
          <w:color w:val="auto"/>
        </w:rPr>
      </w:pPr>
    </w:p>
    <w:p>
      <w:pPr>
        <w:jc w:val="both"/>
        <w:ind w:firstLine="656"/>
        <w:spacing w:after="0" w:line="286" w:lineRule="auto"/>
        <w:tabs>
          <w:tab w:leader="none" w:pos="1342" w:val="left"/>
        </w:tabs>
        <w:numPr>
          <w:ilvl w:val="1"/>
          <w:numId w:val="38"/>
        </w:numPr>
        <w:rPr>
          <w:rFonts w:ascii="Arial" w:cs="Arial" w:eastAsia="Arial" w:hAnsi="Arial"/>
          <w:sz w:val="17"/>
          <w:szCs w:val="17"/>
          <w:color w:val="auto"/>
        </w:rPr>
      </w:pPr>
      <w:r>
        <w:rPr>
          <w:rFonts w:ascii="Arial" w:cs="Arial" w:eastAsia="Arial" w:hAnsi="Arial"/>
          <w:sz w:val="17"/>
          <w:szCs w:val="17"/>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61" w:lineRule="exact"/>
        <w:rPr>
          <w:rFonts w:ascii="Arial" w:cs="Arial" w:eastAsia="Arial" w:hAnsi="Arial"/>
          <w:sz w:val="17"/>
          <w:szCs w:val="17"/>
          <w:color w:val="auto"/>
        </w:rPr>
      </w:pPr>
    </w:p>
    <w:p>
      <w:pPr>
        <w:ind w:left="640" w:hanging="632"/>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43"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p>
    <w:p>
      <w:pPr>
        <w:spacing w:after="0" w:line="225" w:lineRule="exact"/>
        <w:rPr>
          <w:rFonts w:ascii="Arial" w:cs="Arial" w:eastAsia="Arial" w:hAnsi="Arial"/>
          <w:sz w:val="18"/>
          <w:szCs w:val="18"/>
          <w:b w:val="1"/>
          <w:bCs w:val="1"/>
          <w:color w:val="auto"/>
        </w:rPr>
      </w:pPr>
    </w:p>
    <w:p>
      <w:pPr>
        <w:jc w:val="both"/>
        <w:ind w:firstLine="656"/>
        <w:spacing w:after="0" w:line="255"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Amendment and Termination of the Plan</w:t>
      </w:r>
      <w:r>
        <w:rPr>
          <w:rFonts w:ascii="Arial" w:cs="Arial" w:eastAsia="Arial" w:hAnsi="Arial"/>
          <w:sz w:val="18"/>
          <w:szCs w:val="18"/>
          <w:color w:val="auto"/>
        </w:rPr>
        <w:t>. The Board may amend, alter, suspend, discontinue, or terminate the Plan or any portion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alteration, suspension, discontinuation or termination shall be made without stockholder approval if such approval is necessary to comply with any tax or regulatory requirement applicable to the Plan (including as necessary to comply with any applicable stock exchange listing requirement);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amendment, alteration,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Plan, following which no Awards may be granted hereunder, the tenth anniversary of the Effective Date; provided, that such termination shall not affect Awards then outstanding, and the terms and conditions of the Plan shall continue to apply to such Awards.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ind w:left="-8" w:firstLine="656"/>
        <w:spacing w:after="0" w:line="269" w:lineRule="auto"/>
        <w:tabs>
          <w:tab w:leader="none" w:pos="1422" w:val="left"/>
        </w:tabs>
        <w:numPr>
          <w:ilvl w:val="1"/>
          <w:numId w:val="40"/>
        </w:numPr>
        <w:rPr>
          <w:rFonts w:ascii="Arial" w:cs="Arial" w:eastAsia="Arial" w:hAnsi="Arial"/>
          <w:sz w:val="17"/>
          <w:szCs w:val="17"/>
          <w:color w:val="auto"/>
        </w:rPr>
      </w:pPr>
      <w:r>
        <w:rPr>
          <w:rFonts w:ascii="Arial" w:cs="Arial" w:eastAsia="Arial" w:hAnsi="Arial"/>
          <w:sz w:val="17"/>
          <w:szCs w:val="17"/>
          <w:b w:val="1"/>
          <w:bCs w:val="1"/>
          <w:color w:val="auto"/>
        </w:rPr>
        <w:t>Amendment of Award Agreements</w:t>
      </w:r>
      <w:r>
        <w:rPr>
          <w:rFonts w:ascii="Arial" w:cs="Arial" w:eastAsia="Arial" w:hAnsi="Arial"/>
          <w:sz w:val="17"/>
          <w:szCs w:val="17"/>
          <w:color w:val="auto"/>
        </w:rPr>
        <w:t>. The Committee may, to the extent consistent with the terms of any applicable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other than in connection with an equitable adjustment under Section 13 or a Change in Control,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stockholder approval rules of the applicable stock exchange on which the Stock is listed, if any. In no event may the Company buyout for cash any Option or SAR whose Option Price or Strike Price (as applicable) on the date of purchase exceeds the Fair Market Value of the Company’s Stock.</w:t>
      </w:r>
    </w:p>
    <w:p>
      <w:pPr>
        <w:spacing w:after="0" w:line="176" w:lineRule="exact"/>
        <w:rPr>
          <w:rFonts w:ascii="Arial" w:cs="Arial" w:eastAsia="Arial" w:hAnsi="Arial"/>
          <w:sz w:val="17"/>
          <w:szCs w:val="17"/>
          <w:color w:val="auto"/>
        </w:rPr>
      </w:pPr>
    </w:p>
    <w:p>
      <w:pPr>
        <w:ind w:left="632" w:hanging="632"/>
        <w:spacing w:after="0"/>
        <w:tabs>
          <w:tab w:leader="none" w:pos="63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w:t>
      </w:r>
    </w:p>
    <w:p>
      <w:pPr>
        <w:spacing w:after="0" w:line="229" w:lineRule="exact"/>
        <w:rPr>
          <w:rFonts w:ascii="Arial" w:cs="Arial" w:eastAsia="Arial" w:hAnsi="Arial"/>
          <w:sz w:val="18"/>
          <w:szCs w:val="18"/>
          <w:b w:val="1"/>
          <w:bCs w:val="1"/>
          <w:color w:val="auto"/>
        </w:rPr>
      </w:pPr>
    </w:p>
    <w:p>
      <w:pPr>
        <w:jc w:val="both"/>
        <w:ind w:left="-8" w:firstLine="656"/>
        <w:spacing w:after="0" w:line="255" w:lineRule="auto"/>
        <w:tabs>
          <w:tab w:leader="none" w:pos="12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Plan shall either be exempt from or comply with Section 409A of the Code (including the Treasury regulations and other published guidance relating thereto) so as not to subject a Participant to payment of any interest or additional tax imposed under Section 409A of the Code. To the extent that any amount payable under this Agreement would trigger the additional tax, penalty or interest imposed by Section 409A of the Code, this Plan shall be modified to avoid such additional tax, penalty or interest yet preserve (to the nearest extent reasonably possible) the intended benefit payable to the Participant. In no event shall the Company, any member of the Board of Directors, or any employee, agent or other service provider have any liability to any Participant for any tax, fine or penalty associated with any failure to comply with the requirements of Section 409A of the Code.</w:t>
      </w:r>
    </w:p>
    <w:p>
      <w:pPr>
        <w:spacing w:after="0" w:line="189" w:lineRule="exact"/>
        <w:rPr>
          <w:rFonts w:ascii="Arial" w:cs="Arial" w:eastAsia="Arial" w:hAnsi="Arial"/>
          <w:sz w:val="18"/>
          <w:szCs w:val="18"/>
          <w:color w:val="auto"/>
        </w:rPr>
      </w:pPr>
    </w:p>
    <w:p>
      <w:pPr>
        <w:jc w:val="both"/>
        <w:ind w:left="-8" w:firstLine="656"/>
        <w:spacing w:after="0" w:line="268" w:lineRule="auto"/>
        <w:tabs>
          <w:tab w:leader="none" w:pos="1608" w:val="left"/>
        </w:tabs>
        <w:numPr>
          <w:ilvl w:val="1"/>
          <w:numId w:val="41"/>
        </w:numPr>
        <w:rPr>
          <w:rFonts w:ascii="Arial" w:cs="Arial" w:eastAsia="Arial" w:hAnsi="Arial"/>
          <w:sz w:val="17"/>
          <w:szCs w:val="17"/>
          <w:color w:val="auto"/>
        </w:rPr>
      </w:pPr>
      <w:r>
        <w:rPr>
          <w:rFonts w:ascii="Arial" w:cs="Arial" w:eastAsia="Arial" w:hAnsi="Arial"/>
          <w:sz w:val="17"/>
          <w:szCs w:val="17"/>
          <w:color w:val="auto"/>
        </w:rPr>
        <w:t>To the extent a payment or benefit is nonqualified deferred compensation subject to Section 409A of the Code, a termination of employment shall not be deemed to have occurred for purposes of any provision of this Plan or any Award Agreement providing for the payment of any amounts upon or following a termination of employment unless such termination is also a “separation from service” within the meaning of Section 409A of the Code and, for purposes of any such provision of this Plan and any Award Agreement, references to a “termination,” “termination of employment” or like terms shall mean “separation from service.” If a Participant is deemed on the date of a separation from service (within the meaning of Section 409A of the Code) to be a “specified employee” (within the meaning of that term under Section 409A(a)(2)(B) of the Code and determined using any identification methodology and procedure selected by the Company from time to time, or, if none, the default methodology and procedure specified under Section 409A of the Code), then with regard to any payment or the provision of any benefit that is “nonqualified deferred compensation” within the meaning of Code Section 409A and which is paid as a result of the Participant’s “separation from service,” such payment or benefit shall not be made or provided prior to the date which is the earlier of (A) the expiration of the six-month period measured from the date of such “separation from service” of the Executive, and (B) the date of the Executive’s death (the “Delay Period”). Upon the expiration of the Delay Period, all payments and benefits delayed pursuant to this clause (whether they would have otherwise been payable in a single sum or in installments in the absence of such delay) shall be paid or reimbursed to the Participant in a lump sum, and any remaining payments and benefits due under this Agreement shall be paid or provided in accordance with the normal payment dates specified for them herein.</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1" w:name="page22"/>
    <w:bookmarkEnd w:id="21"/>
    <w:p>
      <w:pPr>
        <w:jc w:val="both"/>
        <w:ind w:firstLine="656"/>
        <w:spacing w:after="0" w:line="259" w:lineRule="auto"/>
        <w:tabs>
          <w:tab w:leader="none" w:pos="13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purposes of Section 409A of the Code, the Participant’s right to receive any installment payments pursuant to this Plan or any Award Agreement shall be treated as a right to receive a series of separate and distinct payments. Whenever a payment under the Plan or any Award Agreement specifies a payment period with reference to a number of days (e.g., “payment shall be made within thirty days following the date of termination”), the actual date of payment within the specified period shall be within the sole discretion of the Company.</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467" w:val="left"/>
        </w:tabs>
        <w:numPr>
          <w:ilvl w:val="1"/>
          <w:numId w:val="42"/>
        </w:numPr>
        <w:rPr>
          <w:rFonts w:ascii="Arial" w:cs="Arial" w:eastAsia="Arial" w:hAnsi="Arial"/>
          <w:sz w:val="16"/>
          <w:szCs w:val="16"/>
          <w:color w:val="auto"/>
        </w:rPr>
      </w:pPr>
      <w:r>
        <w:rPr>
          <w:rFonts w:ascii="Arial" w:cs="Arial" w:eastAsia="Arial" w:hAnsi="Arial"/>
          <w:sz w:val="16"/>
          <w:szCs w:val="16"/>
          <w:color w:val="auto"/>
        </w:rPr>
        <w:t>With regard to any provision herein that provides for reimbursement of costs and expenses or in-kind benefits, except as permitted by Section 409A of the Code,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the foregoing clause (ii) shall not be violated with regard to expenses reimbursed under any arrangement covered by Section 105(b) of the Code solely because such expenses are subject to a limit related to the period the arrangement is in effect; and (iii) such payments shall be made on or before the last day of the Participant’s taxable year following the taxable year in which the expense was incurred.</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and Recoupment.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Without limiting in any way the generality of the Committee’s power to specify any terms and conditions of an Award consistent with law, and for greater clarity, the Committee may specify in an Award Agreement that the Participant’s rights, payments and benefits with respect to an Award, including any payment of Shares received upon exercise or in satisfaction of an Award under the Plan shall be subject to reduction, cancellation, forfeiture or recoupment upon the occurrence of certain specified events, in addition to any otherwise applicable vesting or performance conditions, without limit as to time. Such events shall include, but not be limited to, failure to accept the terms of the Award Agreement, termination of service under certain or all circumstances,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 Awards granted under the Plan shall be subject to any compensation recovery policy or minimum stock holding period requirement as may be adopted or amended by the Company from time to time.</w:t>
      </w:r>
    </w:p>
    <w:p>
      <w:pPr>
        <w:spacing w:after="0" w:line="17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Whistleblower Provisions.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Nothing contained herein prohibits the Participant from: (1) reporting possible violations of federal law or regulations, including any possible securities laws violations, to any governmental agency or entity; (2) making any other disclosures that are protected under the whistleblower provisions of federal law or regulations; or (3) otherwise fully participating in any federal whistleblower programs, including but not limited to any such programs managed by the U.S. Securities and Exchange.</w:t>
      </w:r>
    </w:p>
    <w:p>
      <w:pPr>
        <w:spacing w:after="0" w:line="187" w:lineRule="exact"/>
        <w:rPr>
          <w:sz w:val="20"/>
          <w:szCs w:val="20"/>
          <w:color w:val="auto"/>
        </w:rPr>
      </w:pPr>
    </w:p>
    <w:p>
      <w:pPr>
        <w:ind w:left="5580"/>
        <w:spacing w:after="0"/>
        <w:tabs>
          <w:tab w:leader="none" w:pos="598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April 12,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RESTRICTED STOCK UNIT AGREEMENT (U.S.)</w:t>
      </w:r>
    </w:p>
    <w:p>
      <w:pPr>
        <w:spacing w:after="0" w:line="225" w:lineRule="exact"/>
        <w:rPr>
          <w:sz w:val="20"/>
          <w:szCs w:val="20"/>
          <w:color w:val="auto"/>
        </w:rPr>
      </w:pPr>
    </w:p>
    <w:p>
      <w:pPr>
        <w:jc w:val="both"/>
        <w:ind w:right="520" w:firstLine="1297"/>
        <w:spacing w:after="0" w:line="266"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made, effective as of the </w:t>
      </w:r>
      <w:r>
        <w:rPr>
          <w:rFonts w:ascii="Arial" w:cs="Arial" w:eastAsia="Arial" w:hAnsi="Arial"/>
          <w:sz w:val="18"/>
          <w:szCs w:val="18"/>
          <w:b w:val="1"/>
          <w:bCs w:val="1"/>
          <w:color w:val="auto"/>
        </w:rPr>
        <w:t>[INSERT DATE OF GRANT]</w:t>
      </w:r>
      <w:r>
        <w:rPr>
          <w:rFonts w:ascii="Arial" w:cs="Arial" w:eastAsia="Arial" w:hAnsi="Arial"/>
          <w:sz w:val="18"/>
          <w:szCs w:val="18"/>
          <w:color w:val="auto"/>
        </w:rPr>
        <w:t xml:space="preserve"> (hereinafter 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8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WHEREAS, the Company has adopted the ExlService Holdings, Inc. 2018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is in the best interests of the Company and its stockholders to grant to the Participant an award of Restricted Stock Units as provided herein and subject to the terms set forth herein.</w:t>
      </w:r>
    </w:p>
    <w:p>
      <w:pPr>
        <w:spacing w:after="0" w:line="181"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1" w:lineRule="exact"/>
        <w:rPr>
          <w:sz w:val="20"/>
          <w:szCs w:val="20"/>
          <w:color w:val="auto"/>
        </w:rPr>
      </w:pPr>
    </w:p>
    <w:p>
      <w:pPr>
        <w:ind w:right="40" w:firstLine="1305"/>
        <w:spacing w:after="0" w:line="257" w:lineRule="auto"/>
        <w:tabs>
          <w:tab w:leader="none" w:pos="192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Company hereby grants on the Date of Grant, to the Participant a total of [●]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8"/>
          <w:szCs w:val="18"/>
          <w:u w:val="single" w:color="auto"/>
          <w:color w:val="auto"/>
        </w:rPr>
        <w:t>Account</w:t>
      </w:r>
      <w:r>
        <w:rPr>
          <w:rFonts w:ascii="Arial" w:cs="Arial" w:eastAsia="Arial" w:hAnsi="Arial"/>
          <w:sz w:val="18"/>
          <w:szCs w:val="18"/>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88" w:lineRule="exact"/>
        <w:rPr>
          <w:rFonts w:ascii="Arial" w:cs="Arial" w:eastAsia="Arial" w:hAnsi="Arial"/>
          <w:sz w:val="18"/>
          <w:szCs w:val="18"/>
          <w:color w:val="auto"/>
        </w:rPr>
      </w:pPr>
    </w:p>
    <w:p>
      <w:pPr>
        <w:ind w:right="80" w:firstLine="1305"/>
        <w:spacing w:after="0" w:line="257" w:lineRule="auto"/>
        <w:tabs>
          <w:tab w:leader="none" w:pos="192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88" w:lineRule="exact"/>
        <w:rPr>
          <w:rFonts w:ascii="Arial" w:cs="Arial" w:eastAsia="Arial" w:hAnsi="Arial"/>
          <w:sz w:val="18"/>
          <w:szCs w:val="18"/>
          <w:color w:val="auto"/>
        </w:rPr>
      </w:pPr>
    </w:p>
    <w:p>
      <w:pPr>
        <w:ind w:right="200" w:firstLine="1305"/>
        <w:spacing w:after="0" w:line="259" w:lineRule="auto"/>
        <w:tabs>
          <w:tab w:leader="none" w:pos="192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provided herein, [fifty percent (50%)] of the Award shall vest based on continued employment with the Company (the “</w:t>
      </w:r>
      <w:r>
        <w:rPr>
          <w:rFonts w:ascii="Arial" w:cs="Arial" w:eastAsia="Arial" w:hAnsi="Arial"/>
          <w:sz w:val="18"/>
          <w:szCs w:val="18"/>
          <w:u w:val="single" w:color="auto"/>
          <w:color w:val="auto"/>
        </w:rPr>
        <w:t>Time-Based RSUs</w:t>
      </w:r>
      <w:r>
        <w:rPr>
          <w:rFonts w:ascii="Arial" w:cs="Arial" w:eastAsia="Arial" w:hAnsi="Arial"/>
          <w:sz w:val="18"/>
          <w:szCs w:val="18"/>
          <w:color w:val="auto"/>
        </w:rPr>
        <w:t>”) and [fifty percent (50%)] of the Award shall vest based on continued employment with the Company and the achievement of specified performance criteria described herein (the “</w:t>
      </w:r>
      <w:r>
        <w:rPr>
          <w:rFonts w:ascii="Arial" w:cs="Arial" w:eastAsia="Arial" w:hAnsi="Arial"/>
          <w:sz w:val="18"/>
          <w:szCs w:val="18"/>
          <w:u w:val="single" w:color="auto"/>
          <w:color w:val="auto"/>
        </w:rPr>
        <w:t>Performance-Based RSUs</w:t>
      </w:r>
      <w:r>
        <w:rPr>
          <w:rFonts w:ascii="Arial" w:cs="Arial" w:eastAsia="Arial" w:hAnsi="Arial"/>
          <w:sz w:val="18"/>
          <w:szCs w:val="18"/>
          <w:color w:val="auto"/>
        </w:rPr>
        <w:t>”). Each day on which a portion of the Award vests in accordance with this Agreement is referred to as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ind w:left="1940" w:hanging="647"/>
        <w:spacing w:after="0"/>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Time-Based RSUs.</w:t>
      </w:r>
    </w:p>
    <w:p>
      <w:pPr>
        <w:spacing w:after="0" w:line="225" w:lineRule="exact"/>
        <w:rPr>
          <w:rFonts w:ascii="Arial" w:cs="Arial" w:eastAsia="Arial" w:hAnsi="Arial"/>
          <w:sz w:val="18"/>
          <w:szCs w:val="18"/>
          <w:color w:val="auto"/>
        </w:rPr>
      </w:pPr>
    </w:p>
    <w:p>
      <w:pPr>
        <w:ind w:left="640" w:right="40" w:firstLine="1301"/>
        <w:spacing w:after="0" w:line="277" w:lineRule="auto"/>
        <w:tabs>
          <w:tab w:leader="none" w:pos="255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Participant’s continued employment with the Company through each applicable Vesting Date listed in the chart below (the “</w:t>
      </w:r>
      <w:r>
        <w:rPr>
          <w:rFonts w:ascii="Arial" w:cs="Arial" w:eastAsia="Arial" w:hAnsi="Arial"/>
          <w:sz w:val="18"/>
          <w:szCs w:val="18"/>
          <w:u w:val="single" w:color="auto"/>
          <w:color w:val="auto"/>
        </w:rPr>
        <w:t>Vesting Chart</w:t>
      </w:r>
      <w:r>
        <w:rPr>
          <w:rFonts w:ascii="Arial" w:cs="Arial" w:eastAsia="Arial" w:hAnsi="Arial"/>
          <w:sz w:val="18"/>
          <w:szCs w:val="18"/>
          <w:color w:val="auto"/>
        </w:rPr>
        <w:t>”), the Time-Based RSUs shall become vested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Percent of Time-Based RSUs Vesting</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Vesting Date</w:t>
            </w:r>
          </w:p>
        </w:tc>
      </w:tr>
      <w:tr>
        <w:trPr>
          <w:trHeight w:val="195"/>
        </w:trPr>
        <w:tc>
          <w:tcPr>
            <w:tcW w:w="5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16"/>
                <w:szCs w:val="16"/>
                <w:color w:val="auto"/>
              </w:rPr>
            </w:pPr>
          </w:p>
        </w:tc>
        <w:tc>
          <w:tcPr>
            <w:tcW w:w="3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firstLine="1301"/>
        <w:spacing w:after="0" w:line="255" w:lineRule="auto"/>
        <w:tabs>
          <w:tab w:leader="none" w:pos="256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w:t>
      </w:r>
    </w:p>
    <w:p>
      <w:pPr>
        <w:spacing w:after="0" w:line="193" w:lineRule="exact"/>
        <w:rPr>
          <w:rFonts w:ascii="Arial" w:cs="Arial" w:eastAsia="Arial" w:hAnsi="Arial"/>
          <w:sz w:val="18"/>
          <w:szCs w:val="18"/>
          <w:color w:val="auto"/>
        </w:rPr>
      </w:pPr>
    </w:p>
    <w:p>
      <w:pPr>
        <w:ind w:left="640" w:firstLine="1949"/>
        <w:spacing w:after="0" w:line="255" w:lineRule="auto"/>
        <w:tabs>
          <w:tab w:leader="none" w:pos="32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w:t>
      </w:r>
    </w:p>
    <w:p>
      <w:pPr>
        <w:spacing w:after="0" w:line="189" w:lineRule="exact"/>
        <w:rPr>
          <w:rFonts w:ascii="Arial" w:cs="Arial" w:eastAsia="Arial" w:hAnsi="Arial"/>
          <w:sz w:val="18"/>
          <w:szCs w:val="18"/>
          <w:color w:val="auto"/>
        </w:rPr>
      </w:pPr>
    </w:p>
    <w:p>
      <w:pPr>
        <w:ind w:left="640" w:right="40" w:firstLine="1949"/>
        <w:spacing w:after="0" w:line="264" w:lineRule="auto"/>
        <w:tabs>
          <w:tab w:leader="none" w:pos="32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39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4" w:name="page25"/>
    <w:bookmarkEnd w:id="24"/>
    <w:p>
      <w:pPr>
        <w:ind w:left="760" w:firstLine="1938"/>
        <w:spacing w:after="0" w:line="276" w:lineRule="auto"/>
        <w:tabs>
          <w:tab w:leader="none" w:pos="3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172" w:lineRule="exact"/>
        <w:rPr>
          <w:rFonts w:ascii="Arial" w:cs="Arial" w:eastAsia="Arial" w:hAnsi="Arial"/>
          <w:sz w:val="17"/>
          <w:szCs w:val="17"/>
          <w:color w:val="auto"/>
        </w:rPr>
      </w:pPr>
    </w:p>
    <w:p>
      <w:pPr>
        <w:ind w:left="760" w:right="180" w:firstLine="1938"/>
        <w:spacing w:after="0" w:line="259" w:lineRule="auto"/>
        <w:tabs>
          <w:tab w:leader="none" w:pos="3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186" w:lineRule="exact"/>
        <w:rPr>
          <w:rFonts w:ascii="Arial" w:cs="Arial" w:eastAsia="Arial" w:hAnsi="Arial"/>
          <w:sz w:val="18"/>
          <w:szCs w:val="18"/>
          <w:color w:val="auto"/>
        </w:rPr>
      </w:pPr>
    </w:p>
    <w:p>
      <w:pPr>
        <w:ind w:left="760" w:right="120" w:firstLine="1938"/>
        <w:spacing w:after="0" w:line="342" w:lineRule="auto"/>
        <w:tabs>
          <w:tab w:leader="none" w:pos="3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following a Change in Control, a change in the office or location where Participant is based of more than thirty (30) miles, which new location is more than thirty (30) miles from Participant’s primary residence; or</w:t>
      </w:r>
    </w:p>
    <w:p>
      <w:pPr>
        <w:spacing w:after="0" w:line="123" w:lineRule="exact"/>
        <w:rPr>
          <w:rFonts w:ascii="Arial" w:cs="Arial" w:eastAsia="Arial" w:hAnsi="Arial"/>
          <w:sz w:val="16"/>
          <w:szCs w:val="16"/>
          <w:color w:val="auto"/>
        </w:rPr>
      </w:pPr>
    </w:p>
    <w:p>
      <w:pPr>
        <w:ind w:left="3320" w:hanging="622"/>
        <w:spacing w:after="0"/>
        <w:tabs>
          <w:tab w:leader="none" w:pos="3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following a Change in Control, a breach by the Company of any material term of any</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employment, consulting, or similar agreement between the Company and Participant;</w:t>
      </w:r>
    </w:p>
    <w:p>
      <w:pPr>
        <w:spacing w:after="0" w:line="211" w:lineRule="exact"/>
        <w:rPr>
          <w:sz w:val="20"/>
          <w:szCs w:val="20"/>
          <w:color w:val="auto"/>
        </w:rPr>
      </w:pPr>
    </w:p>
    <w:p>
      <w:pPr>
        <w:ind w:left="100" w:right="160"/>
        <w:spacing w:after="0" w:line="259" w:lineRule="auto"/>
        <w:rPr>
          <w:sz w:val="20"/>
          <w:szCs w:val="20"/>
          <w:color w:val="auto"/>
        </w:rPr>
      </w:pPr>
      <w:r>
        <w:rPr>
          <w:rFonts w:ascii="Arial" w:cs="Arial" w:eastAsia="Arial" w:hAnsi="Arial"/>
          <w:sz w:val="18"/>
          <w:szCs w:val="18"/>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87" w:lineRule="exact"/>
        <w:rPr>
          <w:sz w:val="20"/>
          <w:szCs w:val="20"/>
          <w:color w:val="auto"/>
        </w:rPr>
      </w:pPr>
    </w:p>
    <w:p>
      <w:pPr>
        <w:ind w:left="100" w:right="180" w:firstLine="1301"/>
        <w:spacing w:after="0" w:line="264" w:lineRule="auto"/>
        <w:tabs>
          <w:tab w:leader="none" w:pos="2026"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 in the event that Participant’s employment with the Company is terminated due to Participant’s death at a time when any portion of the Time-Based RSUs remain unvested, the portion of the Time-Based RSUs which is unvested shall become immediately vested effective as of the date of Participant’s death.</w:t>
      </w:r>
    </w:p>
    <w:p>
      <w:pPr>
        <w:spacing w:after="0" w:line="181" w:lineRule="exact"/>
        <w:rPr>
          <w:rFonts w:ascii="Arial" w:cs="Arial" w:eastAsia="Arial" w:hAnsi="Arial"/>
          <w:sz w:val="18"/>
          <w:szCs w:val="18"/>
          <w:color w:val="auto"/>
        </w:rPr>
      </w:pPr>
    </w:p>
    <w:p>
      <w:pPr>
        <w:ind w:left="1420" w:hanging="667"/>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Performance-Based RSUs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20" w:firstLine="1301"/>
        <w:spacing w:after="0" w:line="273" w:lineRule="auto"/>
        <w:tabs>
          <w:tab w:leader="none" w:pos="2016"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Except as otherwise provided herein, [fifty percent (50%)] of the Performance-Based RSUs shall cliff vest on [●], based on continuous service with the Company through such Vesting Date and the achievement of Company revenues against the aggregate revenue target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Revenue-Based RSUs</w:t>
      </w:r>
      <w:r>
        <w:rPr>
          <w:rFonts w:ascii="Arial" w:cs="Arial" w:eastAsia="Arial" w:hAnsi="Arial"/>
          <w:sz w:val="17"/>
          <w:szCs w:val="17"/>
          <w:color w:val="auto"/>
        </w:rPr>
        <w:t>”); and [fifty percent (50%)] of the Performance-Based RSUs shall cliff vest on [●], based on continuous service with the Company through such Vesting Date and the achievement of relative total stockholder return (“</w:t>
      </w:r>
      <w:r>
        <w:rPr>
          <w:rFonts w:ascii="Arial" w:cs="Arial" w:eastAsia="Arial" w:hAnsi="Arial"/>
          <w:sz w:val="17"/>
          <w:szCs w:val="17"/>
          <w:u w:val="single" w:color="auto"/>
          <w:color w:val="auto"/>
        </w:rPr>
        <w:t>TSR</w:t>
      </w:r>
      <w:r>
        <w:rPr>
          <w:rFonts w:ascii="Arial" w:cs="Arial" w:eastAsia="Arial" w:hAnsi="Arial"/>
          <w:sz w:val="17"/>
          <w:szCs w:val="17"/>
          <w:color w:val="auto"/>
        </w:rPr>
        <w:t xml:space="preserve">”) performance of the Company against the Peer Group (as defined on </w:t>
      </w:r>
      <w:r>
        <w:rPr>
          <w:rFonts w:ascii="Arial" w:cs="Arial" w:eastAsia="Arial" w:hAnsi="Arial"/>
          <w:sz w:val="17"/>
          <w:szCs w:val="17"/>
          <w:u w:val="single" w:color="auto"/>
          <w:color w:val="auto"/>
        </w:rPr>
        <w:t>Exhibit B</w:t>
      </w:r>
      <w:r>
        <w:rPr>
          <w:rFonts w:ascii="Arial" w:cs="Arial" w:eastAsia="Arial" w:hAnsi="Arial"/>
          <w:sz w:val="17"/>
          <w:szCs w:val="17"/>
          <w:color w:val="auto"/>
        </w:rPr>
        <w:t>) over the period from [●]through [●](the “</w:t>
      </w:r>
      <w:r>
        <w:rPr>
          <w:rFonts w:ascii="Arial" w:cs="Arial" w:eastAsia="Arial" w:hAnsi="Arial"/>
          <w:sz w:val="17"/>
          <w:szCs w:val="17"/>
          <w:u w:val="single" w:color="auto"/>
          <w:color w:val="auto"/>
        </w:rPr>
        <w:t>TSR Performance Period</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TSR-Based RSUs</w:t>
      </w:r>
      <w:r>
        <w:rPr>
          <w:rFonts w:ascii="Arial" w:cs="Arial" w:eastAsia="Arial" w:hAnsi="Arial"/>
          <w:sz w:val="17"/>
          <w:szCs w:val="17"/>
          <w:color w:val="auto"/>
        </w:rPr>
        <w:t>”).</w:t>
      </w:r>
    </w:p>
    <w:p>
      <w:pPr>
        <w:spacing w:after="0" w:line="39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5" w:name="page26"/>
    <w:bookmarkEnd w:id="25"/>
    <w:p>
      <w:pPr>
        <w:ind w:left="3220" w:hanging="619"/>
        <w:spacing w:after="0"/>
        <w:tabs>
          <w:tab w:leader="none" w:pos="32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the foregoing:</w:t>
      </w:r>
    </w:p>
    <w:p>
      <w:pPr>
        <w:spacing w:after="0" w:line="225" w:lineRule="exact"/>
        <w:rPr>
          <w:rFonts w:ascii="Arial" w:cs="Arial" w:eastAsia="Arial" w:hAnsi="Arial"/>
          <w:sz w:val="18"/>
          <w:szCs w:val="18"/>
          <w:color w:val="auto"/>
        </w:rPr>
      </w:pPr>
    </w:p>
    <w:p>
      <w:pPr>
        <w:jc w:val="both"/>
        <w:ind w:left="1300" w:right="320" w:firstLine="1949"/>
        <w:spacing w:after="0" w:line="264" w:lineRule="auto"/>
        <w:tabs>
          <w:tab w:leader="none" w:pos="3899"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Revenue-Based RSUs</w:t>
      </w:r>
      <w:r>
        <w:rPr>
          <w:rFonts w:ascii="Arial" w:cs="Arial" w:eastAsia="Arial" w:hAnsi="Arial"/>
          <w:sz w:val="18"/>
          <w:szCs w:val="18"/>
          <w:color w:val="auto"/>
        </w:rPr>
        <w:t>. In the event that a Change in Control occurs before [●], one hundred percent (100%) of the Revenue-Based RSUs will be deemed earned as of the date of the Change in Control. For the avoidance of doubt, in such event, the Participant will be unable to earn any additional Revenue-Based RSUs.</w:t>
      </w:r>
    </w:p>
    <w:p>
      <w:pPr>
        <w:spacing w:after="0" w:line="181" w:lineRule="exact"/>
        <w:rPr>
          <w:rFonts w:ascii="Arial" w:cs="Arial" w:eastAsia="Arial" w:hAnsi="Arial"/>
          <w:sz w:val="18"/>
          <w:szCs w:val="18"/>
          <w:color w:val="auto"/>
        </w:rPr>
      </w:pPr>
    </w:p>
    <w:p>
      <w:pPr>
        <w:ind w:left="1300" w:right="60" w:firstLine="1949"/>
        <w:spacing w:after="0" w:line="270" w:lineRule="auto"/>
        <w:tabs>
          <w:tab w:leader="none" w:pos="3890"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TSR-Based RSUs</w:t>
      </w:r>
      <w:r>
        <w:rPr>
          <w:rFonts w:ascii="Arial" w:cs="Arial" w:eastAsia="Arial" w:hAnsi="Arial"/>
          <w:sz w:val="17"/>
          <w:szCs w:val="17"/>
          <w:color w:val="auto"/>
        </w:rPr>
        <w:t xml:space="preserve">. In the event that a Change in Control occurs on or before the first anniversary of the Date of Grant, one hundred percent (100%) of the TSR-Based RSUs will be deemed earned. For the avoidance of doubt, in such event, the Participant will be unable to earn any additional TSR-Based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of such date, and shall determine the number of TSR-Based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00" w:firstLine="1949"/>
        <w:spacing w:after="0" w:line="255" w:lineRule="auto"/>
        <w:tabs>
          <w:tab w:leader="none" w:pos="388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Revenue-Based RSUs and the TSR-Based RSUs deemed earned in accordance with the foregoing provisions of this Section 3(b)(ii) will each be treated as immediately vested in accordance with the schedule set forth in the special Change in Control vesting chart below (the “</w:t>
      </w:r>
      <w:r>
        <w:rPr>
          <w:rFonts w:ascii="Arial" w:cs="Arial" w:eastAsia="Arial" w:hAnsi="Arial"/>
          <w:sz w:val="18"/>
          <w:szCs w:val="18"/>
          <w:u w:val="single" w:color="auto"/>
          <w:color w:val="auto"/>
        </w:rPr>
        <w:t>Special CIC Vesting Chart</w:t>
      </w:r>
      <w:r>
        <w:rPr>
          <w:rFonts w:ascii="Arial" w:cs="Arial" w:eastAsia="Arial" w:hAnsi="Arial"/>
          <w:sz w:val="18"/>
          <w:szCs w:val="18"/>
          <w:color w:val="auto"/>
        </w:rPr>
        <w:t>”) as well as additional vesting based on the methodology set forth in Section 3(a)(ii)(A),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0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Vested Percent of Deemed Earned</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50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89"/>
              </w:rPr>
              <w:t>Performance-Based RSUs</w:t>
            </w:r>
          </w:p>
        </w:tc>
        <w:tc>
          <w:tcPr>
            <w:tcW w:w="8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Vesting Date</w:t>
            </w:r>
          </w:p>
        </w:tc>
        <w:tc>
          <w:tcPr>
            <w:tcW w:w="106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4500" w:type="dxa"/>
            <w:vAlign w:val="bottom"/>
          </w:tcPr>
          <w:p>
            <w:pPr>
              <w:jc w:val="center"/>
              <w:ind w:left="730"/>
              <w:spacing w:after="0" w:line="195" w:lineRule="exact"/>
              <w:rPr>
                <w:sz w:val="20"/>
                <w:szCs w:val="20"/>
                <w:color w:val="auto"/>
              </w:rPr>
            </w:pPr>
            <w:r>
              <w:rPr>
                <w:rFonts w:ascii="Arial" w:cs="Arial" w:eastAsia="Arial" w:hAnsi="Arial"/>
                <w:sz w:val="18"/>
                <w:szCs w:val="18"/>
                <w:color w:val="auto"/>
                <w:w w:val="95"/>
              </w:rPr>
              <w:t>[33.33]%</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500" w:type="dxa"/>
            <w:vAlign w:val="bottom"/>
          </w:tcPr>
          <w:p>
            <w:pPr>
              <w:jc w:val="center"/>
              <w:ind w:left="730"/>
              <w:spacing w:after="0"/>
              <w:rPr>
                <w:sz w:val="20"/>
                <w:szCs w:val="20"/>
                <w:color w:val="auto"/>
              </w:rPr>
            </w:pPr>
            <w:r>
              <w:rPr>
                <w:rFonts w:ascii="Arial" w:cs="Arial" w:eastAsia="Arial" w:hAnsi="Arial"/>
                <w:sz w:val="18"/>
                <w:szCs w:val="18"/>
                <w:color w:val="auto"/>
                <w:w w:val="95"/>
              </w:rPr>
              <w:t>[66.67]%</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500" w:type="dxa"/>
            <w:vAlign w:val="bottom"/>
          </w:tcPr>
          <w:p>
            <w:pPr>
              <w:jc w:val="center"/>
              <w:ind w:left="750"/>
              <w:spacing w:after="0"/>
              <w:rPr>
                <w:sz w:val="20"/>
                <w:szCs w:val="20"/>
                <w:color w:val="auto"/>
              </w:rPr>
            </w:pPr>
            <w:r>
              <w:rPr>
                <w:rFonts w:ascii="Arial" w:cs="Arial" w:eastAsia="Arial" w:hAnsi="Arial"/>
                <w:sz w:val="18"/>
                <w:szCs w:val="18"/>
                <w:color w:val="auto"/>
                <w:w w:val="96"/>
              </w:rPr>
              <w:t>[100]%</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6" w:name="page27"/>
    <w:bookmarkEnd w:id="26"/>
    <w:p>
      <w:pPr>
        <w:ind w:left="1280" w:firstLine="1296"/>
        <w:spacing w:after="0" w:line="285" w:lineRule="auto"/>
        <w:rPr>
          <w:sz w:val="20"/>
          <w:szCs w:val="20"/>
          <w:color w:val="auto"/>
        </w:rPr>
      </w:pPr>
      <w:r>
        <w:rPr>
          <w:rFonts w:ascii="Arial" w:cs="Arial" w:eastAsia="Arial" w:hAnsi="Arial"/>
          <w:sz w:val="16"/>
          <w:szCs w:val="16"/>
          <w:color w:val="auto"/>
        </w:rPr>
        <w:t>Accordingly, for example, the Special CIC Vesting Chart and the methodology of Section 3(a)(ii)(A)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 subject to the Participant’s continuous employment with the Company or an Affiliate through 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[FOR CEO ONLY INSERT:] [</w:t>
      </w:r>
    </w:p>
    <w:p>
      <w:pPr>
        <w:spacing w:after="0" w:line="229" w:lineRule="exact"/>
        <w:rPr>
          <w:sz w:val="20"/>
          <w:szCs w:val="20"/>
          <w:color w:val="auto"/>
        </w:rPr>
      </w:pPr>
    </w:p>
    <w:p>
      <w:pPr>
        <w:ind w:left="-20" w:firstLine="1953"/>
        <w:spacing w:after="0" w:line="259" w:lineRule="auto"/>
        <w:tabs>
          <w:tab w:leader="none" w:pos="25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Death. Notwithstanding the foregoing in the event that Participant’s employment with the Company is terminated due to Participant’s death during the term of the Employment and Non-Competition Agreement between the Company and the Participant, dated September 19, 2017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Participant shall become immediately vested in 100% of the Restricted Stock Units that were granted to Participant pursuant to this Award, effective as of the date of Participant’s death.</w:t>
      </w:r>
    </w:p>
    <w:p>
      <w:pPr>
        <w:spacing w:after="0" w:line="186" w:lineRule="exact"/>
        <w:rPr>
          <w:rFonts w:ascii="Arial" w:cs="Arial" w:eastAsia="Arial" w:hAnsi="Arial"/>
          <w:sz w:val="18"/>
          <w:szCs w:val="18"/>
          <w:color w:val="auto"/>
        </w:rPr>
      </w:pPr>
    </w:p>
    <w:p>
      <w:pPr>
        <w:ind w:left="2600" w:hanging="667"/>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Other Termination Events</w:t>
      </w:r>
      <w:r>
        <w:rPr>
          <w:rFonts w:ascii="Arial" w:cs="Arial" w:eastAsia="Arial" w:hAnsi="Arial"/>
          <w:sz w:val="18"/>
          <w:szCs w:val="18"/>
          <w:color w:val="auto"/>
        </w:rPr>
        <w:t>. Notwithstanding anything to the contrary herein:</w:t>
      </w:r>
    </w:p>
    <w:p>
      <w:pPr>
        <w:spacing w:after="0" w:line="225" w:lineRule="exact"/>
        <w:rPr>
          <w:rFonts w:ascii="Arial" w:cs="Arial" w:eastAsia="Arial" w:hAnsi="Arial"/>
          <w:sz w:val="18"/>
          <w:szCs w:val="18"/>
          <w:color w:val="auto"/>
        </w:rPr>
      </w:pPr>
    </w:p>
    <w:p>
      <w:pPr>
        <w:ind w:left="1280" w:right="20" w:firstLine="1301"/>
        <w:spacing w:after="0" w:line="268" w:lineRule="auto"/>
        <w:tabs>
          <w:tab w:leader="none" w:pos="3231"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the event that Participant’s employment under the Employment Agreement is terminated pursuant to Section 7(d) of the Employment Agreement, or if Participant gives notice of non-renewal of the “Employment Term” (as defined in the Employment Agreement) pursuant to Section 2 of the Employment Agreement, Participant shall be treated as if Participant were still employed by the Company for a period of two years following the “Termination Date” (as defined in the Employment Agreement); provided, that if Participant’s termination of employment is due to the expiration of the Employment Term due to either party’s giving notice of non-extension of the Employment Term in accordance with Section 2 of the Employment Agreement, then Participant shall be treated as if Participant were still employed by the Company for a period of 27 months following the Termination Date. For clarity, there shall be no acceleration of vesting; Participant shall be permitted to continue to vest in this Award on the same schedule that Participant would have vested in this Award had Participant continued to be employed during such two-year or 27-month period, as applicable (subject, to the achievement of the applicable performance criteria in the case of the Performance-Based RSUs), and the Restricted Stock Units do not vest by the terms set forth in this Agreement, such Restricted Stock Units shall be forfeited (and if any Restricted Stock Units could not possibly vest by the end of such two-year or 27-month period, such Restricted Stock Units shall be forfeited immediately upon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-2640965</wp:posOffset>
            </wp:positionV>
            <wp:extent cx="68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 w:name="page28"/>
    <w:bookmarkEnd w:id="27"/>
    <w:p>
      <w:pPr>
        <w:ind w:left="1300" w:right="60" w:firstLine="1301"/>
        <w:spacing w:after="0" w:line="271" w:lineRule="auto"/>
        <w:tabs>
          <w:tab w:leader="none" w:pos="32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the event that Participant’s employment under the Employment Agreement is terminated pursuant to Section 7(d) of the Employment Agreement, or upon expiration of the Employment Term due to the Company’s giving Participant notice of its desire not to extend the Employment Term in accordance with Section 2 of the Employment Agreement, in each case within 12 months following a Change in Control occurs, or if Participant’s employment under the Employment Agreement is involuntarily terminated by the Company prior to the date on which the Change in Control occurs, and it is reasonably demonstrated by Participant that such termination of employment (x) was at the request of a third party who has taken steps reasonably calculated to effect a Change in Control or (y) otherwise arose in connection with or anticipation of a Change in Control, then any unvested Restricted Stock Units granted to Participant pursuant to this Award shall become fully vested.]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[FOR NON-CEO EXECUTIVE OFFICERS INSERT:] [</w:t>
      </w:r>
    </w:p>
    <w:p>
      <w:pPr>
        <w:spacing w:after="0" w:line="229" w:lineRule="exact"/>
        <w:rPr>
          <w:sz w:val="20"/>
          <w:szCs w:val="20"/>
          <w:color w:val="auto"/>
        </w:rPr>
      </w:pPr>
    </w:p>
    <w:p>
      <w:pPr>
        <w:ind w:left="3240" w:hanging="639"/>
        <w:spacing w:after="0"/>
        <w:tabs>
          <w:tab w:leader="none" w:pos="32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w:t>
      </w:r>
    </w:p>
    <w:p>
      <w:pPr>
        <w:spacing w:after="0" w:line="225" w:lineRule="exact"/>
        <w:rPr>
          <w:rFonts w:ascii="Arial" w:cs="Arial" w:eastAsia="Arial" w:hAnsi="Arial"/>
          <w:sz w:val="18"/>
          <w:szCs w:val="18"/>
          <w:color w:val="auto"/>
        </w:rPr>
      </w:pPr>
    </w:p>
    <w:p>
      <w:pPr>
        <w:jc w:val="both"/>
        <w:ind w:left="1380" w:right="180" w:firstLine="1869"/>
        <w:spacing w:after="0" w:line="302" w:lineRule="auto"/>
        <w:tabs>
          <w:tab w:leader="none" w:pos="3898"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Prior to a Change in Control</w:t>
      </w:r>
      <w:r>
        <w:rPr>
          <w:rFonts w:ascii="Arial" w:cs="Arial" w:eastAsia="Arial" w:hAnsi="Arial"/>
          <w:sz w:val="16"/>
          <w:szCs w:val="16"/>
          <w:color w:val="auto"/>
        </w:rPr>
        <w:t>. In the event that no Change in Control has occurred and Participant’s employment with the Company is terminated due to Participant’s death prior to [●], Participant shall become immediately vested in a number of Performance-Based RSUs equal to (x) the number of completed full months from [●]to the date of Participant’s death divided by (y) [36] multiplied by (z) 100% of the Performance-Based RSUs, effective as of the date of Participant’s death.</w:t>
      </w:r>
    </w:p>
    <w:p>
      <w:pPr>
        <w:spacing w:after="0" w:line="154" w:lineRule="exact"/>
        <w:rPr>
          <w:rFonts w:ascii="Arial" w:cs="Arial" w:eastAsia="Arial" w:hAnsi="Arial"/>
          <w:sz w:val="16"/>
          <w:szCs w:val="16"/>
          <w:color w:val="auto"/>
        </w:rPr>
      </w:pPr>
    </w:p>
    <w:p>
      <w:pPr>
        <w:jc w:val="both"/>
        <w:ind w:left="1380" w:right="20" w:firstLine="1869"/>
        <w:spacing w:after="0" w:line="259" w:lineRule="auto"/>
        <w:tabs>
          <w:tab w:leader="none" w:pos="3889"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After a Change in Control</w:t>
      </w:r>
      <w:r>
        <w:rPr>
          <w:rFonts w:ascii="Arial" w:cs="Arial" w:eastAsia="Arial" w:hAnsi="Arial"/>
          <w:sz w:val="18"/>
          <w:szCs w:val="18"/>
          <w:color w:val="auto"/>
        </w:rPr>
        <w:t>. In the event that Participant’s employment with the Company is terminated due to Participant’s death prior to [●] but after a Change in Control has occurred, Participant shall become immediately vested in 100% of the Performance-Based RSUs that were deemed earned as a result of the Change in Control pursuant to Sections 3(b)(ii)(A) and 3(b)(ii)(B) above, effective as of the date of Participant’s death</w:t>
      </w:r>
      <w:r>
        <w:rPr>
          <w:rFonts w:ascii="Arial" w:cs="Arial" w:eastAsia="Arial" w:hAnsi="Arial"/>
          <w:sz w:val="18"/>
          <w:szCs w:val="18"/>
          <w:b w:val="1"/>
          <w:bCs w:val="1"/>
          <w:color w:val="auto"/>
        </w:rPr>
        <w:t>]</w:t>
      </w:r>
    </w:p>
    <w:p>
      <w:pPr>
        <w:spacing w:after="0" w:line="187" w:lineRule="exact"/>
        <w:rPr>
          <w:sz w:val="20"/>
          <w:szCs w:val="20"/>
          <w:color w:val="auto"/>
        </w:rPr>
      </w:pPr>
    </w:p>
    <w:p>
      <w:pPr>
        <w:ind w:firstLine="1945"/>
        <w:spacing w:after="0" w:line="279" w:lineRule="auto"/>
        <w:rPr>
          <w:sz w:val="20"/>
          <w:szCs w:val="20"/>
          <w:color w:val="auto"/>
        </w:rPr>
      </w:pPr>
      <w:r>
        <w:rPr>
          <w:rFonts w:ascii="Arial" w:cs="Arial" w:eastAsia="Arial" w:hAnsi="Arial"/>
          <w:sz w:val="17"/>
          <w:szCs w:val="17"/>
          <w:u w:val="single" w:color="auto"/>
          <w:color w:val="auto"/>
        </w:rPr>
        <w:t>[e]Special 409A Rule</w:t>
      </w:r>
      <w:r>
        <w:rPr>
          <w:rFonts w:ascii="Arial" w:cs="Arial" w:eastAsia="Arial" w:hAnsi="Arial"/>
          <w:sz w:val="17"/>
          <w:szCs w:val="17"/>
          <w:color w:val="auto"/>
        </w:rPr>
        <w:t>. 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1920" w:hanging="635"/>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1953"/>
        <w:spacing w:after="0" w:line="271" w:lineRule="auto"/>
        <w:tabs>
          <w:tab w:leader="none" w:pos="2575"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7"/>
          <w:szCs w:val="17"/>
          <w:u w:val="single" w:color="auto"/>
          <w:color w:val="auto"/>
        </w:rPr>
        <w:t>RSU Shares</w:t>
      </w:r>
      <w:r>
        <w:rPr>
          <w:rFonts w:ascii="Arial" w:cs="Arial" w:eastAsia="Arial" w:hAnsi="Arial"/>
          <w:sz w:val="17"/>
          <w:szCs w:val="17"/>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 (or as of the Change in Control, as applicable) such that settlement of the earned and vested Performance-Based RSUs shall be made within the applicable short-term deferral period for purposes of Section 409A of the Code.</w:t>
      </w:r>
    </w:p>
    <w:p>
      <w:pPr>
        <w:spacing w:after="0" w:line="178" w:lineRule="exact"/>
        <w:rPr>
          <w:rFonts w:ascii="Arial" w:cs="Arial" w:eastAsia="Arial" w:hAnsi="Arial"/>
          <w:sz w:val="17"/>
          <w:szCs w:val="17"/>
          <w:color w:val="auto"/>
        </w:rPr>
      </w:pPr>
    </w:p>
    <w:p>
      <w:pPr>
        <w:ind w:left="-20" w:firstLine="1953"/>
        <w:spacing w:after="0" w:line="291" w:lineRule="auto"/>
        <w:tabs>
          <w:tab w:leader="none" w:pos="2585"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are paid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67" w:lineRule="exact"/>
        <w:rPr>
          <w:rFonts w:ascii="Arial" w:cs="Arial" w:eastAsia="Arial" w:hAnsi="Arial"/>
          <w:sz w:val="16"/>
          <w:szCs w:val="16"/>
          <w:color w:val="auto"/>
        </w:rPr>
      </w:pPr>
    </w:p>
    <w:p>
      <w:pPr>
        <w:ind w:left="-20" w:right="40" w:firstLine="1953"/>
        <w:spacing w:after="0" w:line="290" w:lineRule="auto"/>
        <w:tabs>
          <w:tab w:leader="none" w:pos="2575"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66" w:lineRule="exact"/>
        <w:rPr>
          <w:rFonts w:ascii="Arial" w:cs="Arial" w:eastAsia="Arial" w:hAnsi="Arial"/>
          <w:sz w:val="16"/>
          <w:szCs w:val="16"/>
          <w:color w:val="auto"/>
        </w:rPr>
      </w:pPr>
    </w:p>
    <w:p>
      <w:pPr>
        <w:ind w:left="-20" w:right="20" w:firstLine="1953"/>
        <w:spacing w:after="0" w:line="259" w:lineRule="auto"/>
        <w:tabs>
          <w:tab w:leader="none" w:pos="258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 w:name="page30"/>
    <w:bookmarkEnd w:id="29"/>
    <w:p>
      <w:pPr>
        <w:ind w:right="240" w:firstLine="1953"/>
        <w:spacing w:after="0" w:line="259" w:lineRule="auto"/>
        <w:tabs>
          <w:tab w:leader="none" w:pos="259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86" w:lineRule="exact"/>
        <w:rPr>
          <w:rFonts w:ascii="Arial" w:cs="Arial" w:eastAsia="Arial" w:hAnsi="Arial"/>
          <w:sz w:val="18"/>
          <w:szCs w:val="18"/>
          <w:color w:val="auto"/>
        </w:rPr>
      </w:pPr>
    </w:p>
    <w:p>
      <w:pPr>
        <w:ind w:firstLine="1953"/>
        <w:spacing w:after="0" w:line="279" w:lineRule="auto"/>
        <w:tabs>
          <w:tab w:leader="none" w:pos="2574"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71" w:lineRule="exact"/>
        <w:rPr>
          <w:rFonts w:ascii="Arial" w:cs="Arial" w:eastAsia="Arial" w:hAnsi="Arial"/>
          <w:sz w:val="17"/>
          <w:szCs w:val="17"/>
          <w:color w:val="auto"/>
        </w:rPr>
      </w:pPr>
    </w:p>
    <w:p>
      <w:pPr>
        <w:ind w:left="1940" w:hanging="635"/>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342" w:lineRule="auto"/>
        <w:tabs>
          <w:tab w:leader="none" w:pos="2595"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23" w:lineRule="exact"/>
        <w:rPr>
          <w:rFonts w:ascii="Arial" w:cs="Arial" w:eastAsia="Arial" w:hAnsi="Arial"/>
          <w:sz w:val="16"/>
          <w:szCs w:val="16"/>
          <w:color w:val="auto"/>
        </w:rPr>
      </w:pPr>
    </w:p>
    <w:p>
      <w:pPr>
        <w:ind w:right="260" w:firstLine="1953"/>
        <w:spacing w:after="0" w:line="308" w:lineRule="auto"/>
        <w:tabs>
          <w:tab w:leader="none" w:pos="260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1" w:lineRule="exact"/>
        <w:rPr>
          <w:sz w:val="20"/>
          <w:szCs w:val="20"/>
          <w:color w:val="auto"/>
        </w:rPr>
      </w:pPr>
    </w:p>
    <w:p>
      <w:pPr>
        <w:ind w:right="100" w:firstLine="1305"/>
        <w:spacing w:after="0" w:line="342" w:lineRule="auto"/>
        <w:tabs>
          <w:tab w:leader="none" w:pos="192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ind w:right="200" w:firstLine="1305"/>
        <w:spacing w:after="0" w:line="312" w:lineRule="auto"/>
        <w:tabs>
          <w:tab w:leader="none" w:pos="192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jc w:val="both"/>
        <w:ind w:left="-20" w:firstLine="1305"/>
        <w:spacing w:after="0" w:line="264" w:lineRule="auto"/>
        <w:tabs>
          <w:tab w:leader="none" w:pos="19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181" w:lineRule="exact"/>
        <w:rPr>
          <w:rFonts w:ascii="Arial" w:cs="Arial" w:eastAsia="Arial" w:hAnsi="Arial"/>
          <w:sz w:val="18"/>
          <w:szCs w:val="18"/>
          <w:color w:val="auto"/>
        </w:rPr>
      </w:pPr>
    </w:p>
    <w:p>
      <w:pPr>
        <w:ind w:left="-20" w:right="360" w:firstLine="1305"/>
        <w:spacing w:after="0" w:line="277" w:lineRule="auto"/>
        <w:tabs>
          <w:tab w:leader="none" w:pos="19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ind w:left="-20" w:right="20" w:firstLine="1305"/>
        <w:spacing w:after="0" w:line="286" w:lineRule="auto"/>
        <w:tabs>
          <w:tab w:leader="none" w:pos="190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165" w:lineRule="exact"/>
        <w:rPr>
          <w:rFonts w:ascii="Arial" w:cs="Arial" w:eastAsia="Arial" w:hAnsi="Arial"/>
          <w:sz w:val="17"/>
          <w:szCs w:val="17"/>
          <w:color w:val="auto"/>
        </w:rPr>
      </w:pPr>
    </w:p>
    <w:p>
      <w:pPr>
        <w:ind w:left="-20" w:right="260" w:firstLine="1305"/>
        <w:spacing w:after="0" w:line="277" w:lineRule="auto"/>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70" w:lineRule="exact"/>
        <w:rPr>
          <w:rFonts w:ascii="Arial" w:cs="Arial" w:eastAsia="Arial" w:hAnsi="Arial"/>
          <w:sz w:val="18"/>
          <w:szCs w:val="18"/>
          <w:color w:val="auto"/>
        </w:rPr>
      </w:pPr>
    </w:p>
    <w:p>
      <w:pPr>
        <w:ind w:left="-20" w:right="60" w:firstLine="1305"/>
        <w:spacing w:after="0" w:line="264" w:lineRule="auto"/>
        <w:tabs>
          <w:tab w:leader="none" w:pos="19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81" w:lineRule="exact"/>
        <w:rPr>
          <w:rFonts w:ascii="Arial" w:cs="Arial" w:eastAsia="Arial" w:hAnsi="Arial"/>
          <w:sz w:val="18"/>
          <w:szCs w:val="18"/>
          <w:color w:val="auto"/>
        </w:rPr>
      </w:pPr>
    </w:p>
    <w:p>
      <w:pPr>
        <w:ind w:left="-20" w:right="100" w:firstLine="1305"/>
        <w:spacing w:after="0" w:line="277" w:lineRule="auto"/>
        <w:tabs>
          <w:tab w:leader="none" w:pos="19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70" w:lineRule="exact"/>
        <w:rPr>
          <w:rFonts w:ascii="Arial" w:cs="Arial" w:eastAsia="Arial" w:hAnsi="Arial"/>
          <w:sz w:val="18"/>
          <w:szCs w:val="18"/>
          <w:color w:val="auto"/>
        </w:rPr>
      </w:pPr>
    </w:p>
    <w:p>
      <w:pPr>
        <w:jc w:val="both"/>
        <w:ind w:left="-20" w:right="120" w:firstLine="1305"/>
        <w:spacing w:after="0" w:line="279" w:lineRule="auto"/>
        <w:tabs>
          <w:tab w:leader="none" w:pos="190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71" w:lineRule="exact"/>
        <w:rPr>
          <w:rFonts w:ascii="Arial" w:cs="Arial" w:eastAsia="Arial" w:hAnsi="Arial"/>
          <w:sz w:val="17"/>
          <w:szCs w:val="17"/>
          <w:color w:val="auto"/>
        </w:rPr>
      </w:pPr>
    </w:p>
    <w:p>
      <w:pPr>
        <w:ind w:left="-20" w:right="160" w:firstLine="1305"/>
        <w:spacing w:after="0" w:line="277" w:lineRule="auto"/>
        <w:tabs>
          <w:tab w:leader="none" w:pos="19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left="-20" w:right="100" w:firstLine="1305"/>
        <w:spacing w:after="0" w:line="302" w:lineRule="auto"/>
        <w:tabs>
          <w:tab w:leader="none" w:pos="190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Signature in Counterparts</w:t>
      </w:r>
      <w:r>
        <w:rPr>
          <w:rFonts w:ascii="Arial" w:cs="Arial" w:eastAsia="Arial" w:hAnsi="Arial"/>
          <w:sz w:val="16"/>
          <w:szCs w:val="16"/>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6"/>
          <w:szCs w:val="16"/>
          <w:b w:val="1"/>
          <w:bCs w:val="1"/>
          <w:color w:val="auto"/>
        </w:rPr>
        <w:t>PLEASE NOTE</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Participant’s designation/election via the current plan</w:t>
      </w:r>
      <w:r>
        <w:rPr>
          <w:rFonts w:ascii="Arial" w:cs="Arial" w:eastAsia="Arial" w:hAnsi="Arial"/>
          <w:sz w:val="16"/>
          <w:szCs w:val="16"/>
          <w:color w:val="auto"/>
        </w:rPr>
        <w:t xml:space="preserve"> </w:t>
      </w:r>
      <w:r>
        <w:rPr>
          <w:rFonts w:ascii="Arial" w:cs="Arial" w:eastAsia="Arial" w:hAnsi="Arial"/>
          <w:sz w:val="16"/>
          <w:szCs w:val="16"/>
          <w:b w:val="1"/>
          <w:bCs w:val="1"/>
          <w:color w:val="auto"/>
        </w:rPr>
        <w:t>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31" w:name="page32"/>
    <w:bookmarkEnd w:id="31"/>
    <w:p>
      <w:pPr>
        <w:ind w:left="100"/>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25"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t>Exhibit A: Revenue-Based RSUs</w:t>
      </w:r>
    </w:p>
    <w:p>
      <w:pPr>
        <w:spacing w:after="0" w:line="229" w:lineRule="exact"/>
        <w:rPr>
          <w:sz w:val="20"/>
          <w:szCs w:val="20"/>
          <w:color w:val="auto"/>
        </w:rPr>
      </w:pPr>
    </w:p>
    <w:p>
      <w:pPr>
        <w:jc w:val="both"/>
        <w:ind w:right="520" w:firstLine="648"/>
        <w:spacing w:after="0" w:line="286" w:lineRule="auto"/>
        <w:rPr>
          <w:sz w:val="20"/>
          <w:szCs w:val="20"/>
          <w:color w:val="auto"/>
        </w:rPr>
      </w:pPr>
      <w:r>
        <w:rPr>
          <w:rFonts w:ascii="Arial" w:cs="Arial" w:eastAsia="Arial" w:hAnsi="Arial"/>
          <w:sz w:val="17"/>
          <w:szCs w:val="17"/>
          <w:color w:val="auto"/>
        </w:rPr>
        <w:t>Except as may otherwise be provided herein, the Revenue-Based RSUs shall vest based on the achievement of Company revenues against the aggregate revenue target for the period beginning on [●] and ending on [●], as set forth herein. For purposes of this Exhibit A, “revenue” shall have the meaning given such term in the Board-approved budget for the fiscal year in which the Award is granted.</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The Company aggregate revenue target for the [</w:t>
      </w:r>
      <w:r>
        <w:rPr>
          <w:rFonts w:ascii="Arial" w:cs="Arial" w:eastAsia="Arial" w:hAnsi="Arial"/>
          <w:sz w:val="18"/>
          <w:szCs w:val="18"/>
          <w:b w:val="1"/>
          <w:bCs w:val="1"/>
          <w:color w:val="auto"/>
        </w:rPr>
        <w:t>YEAR</w:t>
      </w:r>
      <w:r>
        <w:rPr>
          <w:rFonts w:ascii="Arial" w:cs="Arial" w:eastAsia="Arial" w:hAnsi="Arial"/>
          <w:sz w:val="18"/>
          <w:szCs w:val="18"/>
          <w:color w:val="auto"/>
        </w:rPr>
        <w:t>] Revenue-Based PRSUs for the period beginning on [●]and ending on [●]is [●] and the sliding scale used to determine payout achievement is as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PRSU Plan – 3 Year Aggregate Revenue Target Sliding Scale:</w:t>
            </w:r>
          </w:p>
        </w:tc>
        <w:tc>
          <w:tcPr>
            <w:tcW w:w="318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4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Achievement on Revenue</w:t>
            </w:r>
          </w:p>
        </w:tc>
        <w:tc>
          <w:tcPr>
            <w:tcW w:w="318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4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Target of $</w:t>
            </w:r>
            <w:r>
              <w:rPr>
                <w:rFonts w:ascii="Arial" w:cs="Arial" w:eastAsia="Arial" w:hAnsi="Arial"/>
                <w:sz w:val="18"/>
                <w:szCs w:val="18"/>
                <w:color w:val="auto"/>
                <w:w w:val="93"/>
              </w:rPr>
              <w:t>[●]</w:t>
            </w:r>
          </w:p>
        </w:tc>
        <w:tc>
          <w:tcPr>
            <w:tcW w:w="3180" w:type="dxa"/>
            <w:vAlign w:val="bottom"/>
          </w:tcPr>
          <w:p>
            <w:pPr>
              <w:ind w:left="1260"/>
              <w:spacing w:after="0"/>
              <w:rPr>
                <w:sz w:val="20"/>
                <w:szCs w:val="20"/>
                <w:color w:val="auto"/>
              </w:rPr>
            </w:pPr>
            <w:r>
              <w:rPr>
                <w:rFonts w:ascii="Arial" w:cs="Arial" w:eastAsia="Arial" w:hAnsi="Arial"/>
                <w:sz w:val="18"/>
                <w:szCs w:val="18"/>
                <w:b w:val="1"/>
                <w:bCs w:val="1"/>
                <w:color w:val="auto"/>
              </w:rPr>
              <w:t>Funding</w:t>
            </w:r>
          </w:p>
        </w:tc>
      </w:tr>
      <w:tr>
        <w:trPr>
          <w:trHeight w:val="195"/>
        </w:trPr>
        <w:tc>
          <w:tcPr>
            <w:tcW w:w="1300" w:type="dxa"/>
            <w:vAlign w:val="bottom"/>
          </w:tcPr>
          <w:p>
            <w:pPr>
              <w:spacing w:after="0"/>
              <w:rPr>
                <w:sz w:val="16"/>
                <w:szCs w:val="16"/>
                <w:color w:val="auto"/>
              </w:rPr>
            </w:pPr>
          </w:p>
        </w:tc>
        <w:tc>
          <w:tcPr>
            <w:tcW w:w="4400" w:type="dxa"/>
            <w:vAlign w:val="bottom"/>
            <w:tcBorders>
              <w:top w:val="single" w:sz="8" w:color="auto"/>
            </w:tcBorders>
          </w:tcPr>
          <w:p>
            <w:pPr>
              <w:jc w:val="right"/>
              <w:ind w:right="1830"/>
              <w:spacing w:after="0" w:line="195" w:lineRule="exact"/>
              <w:rPr>
                <w:sz w:val="20"/>
                <w:szCs w:val="20"/>
                <w:color w:val="auto"/>
              </w:rPr>
            </w:pPr>
            <w:r>
              <w:rPr>
                <w:rFonts w:ascii="Arial" w:cs="Arial" w:eastAsia="Arial" w:hAnsi="Arial"/>
                <w:sz w:val="18"/>
                <w:szCs w:val="18"/>
                <w:color w:val="auto"/>
              </w:rPr>
              <w:t>[110]%</w:t>
            </w:r>
          </w:p>
        </w:tc>
        <w:tc>
          <w:tcPr>
            <w:tcW w:w="400" w:type="dxa"/>
            <w:vAlign w:val="bottom"/>
          </w:tcPr>
          <w:p>
            <w:pPr>
              <w:spacing w:after="0"/>
              <w:rPr>
                <w:sz w:val="16"/>
                <w:szCs w:val="16"/>
                <w:color w:val="auto"/>
              </w:rPr>
            </w:pPr>
          </w:p>
        </w:tc>
        <w:tc>
          <w:tcPr>
            <w:tcW w:w="3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[200]%</w:t>
            </w:r>
          </w:p>
        </w:tc>
      </w:tr>
      <w:tr>
        <w:trPr>
          <w:trHeight w:val="216"/>
        </w:trPr>
        <w:tc>
          <w:tcPr>
            <w:tcW w:w="1300" w:type="dxa"/>
            <w:vAlign w:val="bottom"/>
          </w:tcPr>
          <w:p>
            <w:pPr>
              <w:spacing w:after="0"/>
              <w:rPr>
                <w:sz w:val="18"/>
                <w:szCs w:val="18"/>
                <w:color w:val="auto"/>
              </w:rPr>
            </w:pPr>
          </w:p>
        </w:tc>
        <w:tc>
          <w:tcPr>
            <w:tcW w:w="48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[98]% to [102]%</w:t>
            </w: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[100]%</w:t>
            </w:r>
          </w:p>
        </w:tc>
      </w:tr>
      <w:tr>
        <w:trPr>
          <w:trHeight w:val="230"/>
        </w:trPr>
        <w:tc>
          <w:tcPr>
            <w:tcW w:w="5700" w:type="dxa"/>
            <w:vAlign w:val="bottom"/>
            <w:gridSpan w:val="2"/>
          </w:tcPr>
          <w:p>
            <w:pPr>
              <w:jc w:val="right"/>
              <w:ind w:right="187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the extent the Company’s revenue falls in between [90]% and [98]%, the percentage of Revenue-Based RSUS earned will be determined based on straight line interpolation calculated using a revenue target range between [90]% and [100]% and a funding range between [0]% and [100]%. For example, if [95]% of the revenue target is achieved, [50]% of the Revenue-Based RSUs will be earned. To the extent the Company’s revenue falls in between [102]% and [110]%, the percentage of Revenue-Based RSUS earned will be determined based on straight line interpolation calculated using a revenue target range between</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[100]% and [110]% and a funding range between [100]% and [200]%. For example, if [105]% of the revenue target is achieved, [150]% of the Revenue-Based RSUs will be earned.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Exhibit B: TSR-Based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has designated the following peer group of public companies in the Company’s 8-digit Global Industry Classification Standard sub-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industry group (the “</w:t>
      </w:r>
      <w:r>
        <w:rPr>
          <w:rFonts w:ascii="Arial" w:cs="Arial" w:eastAsia="Arial" w:hAnsi="Arial"/>
          <w:sz w:val="18"/>
          <w:szCs w:val="18"/>
          <w:u w:val="single" w:color="auto"/>
          <w:color w:val="auto"/>
        </w:rPr>
        <w:t>Peer Group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5180" w:type="dxa"/>
            <w:vAlign w:val="bottom"/>
            <w:tcBorders>
              <w:bottom w:val="single" w:sz="8" w:color="auto"/>
            </w:tcBorders>
          </w:tcPr>
          <w:p>
            <w:pPr>
              <w:ind w:left="1780"/>
              <w:spacing w:after="0" w:line="265" w:lineRule="exact"/>
              <w:rPr>
                <w:sz w:val="20"/>
                <w:szCs w:val="20"/>
                <w:color w:val="auto"/>
              </w:rPr>
            </w:pPr>
            <w:r>
              <w:rPr>
                <w:rFonts w:ascii="Arial" w:cs="Arial" w:eastAsia="Arial" w:hAnsi="Arial"/>
                <w:sz w:val="18"/>
                <w:szCs w:val="18"/>
                <w:b w:val="1"/>
                <w:bCs w:val="1"/>
                <w:color w:val="auto"/>
              </w:rPr>
              <w:t xml:space="preserve">Company (n = 53) </w:t>
            </w:r>
            <w:r>
              <w:rPr>
                <w:rFonts w:ascii="Arial" w:cs="Arial" w:eastAsia="Arial" w:hAnsi="Arial"/>
                <w:sz w:val="30"/>
                <w:szCs w:val="30"/>
                <w:b w:val="1"/>
                <w:bCs w:val="1"/>
                <w:color w:val="auto"/>
                <w:vertAlign w:val="superscript"/>
              </w:rPr>
              <w:t>(1)</w:t>
            </w:r>
          </w:p>
        </w:tc>
        <w:tc>
          <w:tcPr>
            <w:tcW w:w="6220" w:type="dxa"/>
            <w:vAlign w:val="bottom"/>
            <w:vMerge w:val="restart"/>
          </w:tcPr>
          <w:p>
            <w:pPr>
              <w:ind w:left="400"/>
              <w:spacing w:after="0"/>
              <w:rPr>
                <w:sz w:val="20"/>
                <w:szCs w:val="20"/>
                <w:color w:val="auto"/>
              </w:rPr>
            </w:pPr>
            <w:r>
              <w:rPr>
                <w:rFonts w:ascii="Arial" w:cs="Arial" w:eastAsia="Arial" w:hAnsi="Arial"/>
                <w:sz w:val="18"/>
                <w:szCs w:val="18"/>
                <w:color w:val="auto"/>
              </w:rPr>
              <w:t>NasdaqGM:ALJJ</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ALJ Regional Holdings, Inc.</w:t>
            </w:r>
          </w:p>
        </w:tc>
        <w:tc>
          <w:tcPr>
            <w:tcW w:w="6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Alliance Data Systems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NYSE:ADS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Automatic Data Processing,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NasdaqGS:ADP</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Black Knight,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NYSE:BKI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Blackhawk Network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NasdaqGS:HAWK</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Broadridge Financial Solutions,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NYSE:BR</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Cardtronics plc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NasdaqGS:CATM</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Cass Information Systems,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NasdaqGS:CASS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Conduent Incorporated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NYSE:CNDT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Convergys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NYSE:CVG</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CoreLogic,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NYSE:CLGX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CSG Systems International,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NasdaqGS:CSGS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DST Systems,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NYSE:DST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Euronet Worldwide,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NasdaqGS:EEFT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Everi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NYSE:EVRI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EVERTEC,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NYSE:EVTC</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Exela Technologies,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NasdaqCM:XELA</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Fidelity National Information Services,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NYSE:FIS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First Data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NYSE:FDC</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Fiserv,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NasdaqGS:FISV</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FleetCor Technologies,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NYSE:FLT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GDS Holdings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NasdaqGM:GDS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Genpact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NYSE:G</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Global Payments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NYSE:GPN</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Information Services Group,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NasdaqGM:III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Innodata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NasdaqGM:INOD</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Ituran Location and Control Ltd.</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NasdaqGS:ITRN</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Jack Henry &amp; Associates,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NasdaqGS:JKHY</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JetPay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NasdaqCM:JTPY</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Mastercard Incorporated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NYSE:MA</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MAXIMUS,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NYSE:MMS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MoneyGram International,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NasdaqGS:MGI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Net 1 UEPS Technologies,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NasdaqGS:UEPS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PagSeguro Digital Ltd.</w:t>
            </w:r>
          </w:p>
        </w:tc>
        <w:tc>
          <w:tcPr>
            <w:tcW w:w="6220" w:type="dxa"/>
            <w:vAlign w:val="bottom"/>
          </w:tcPr>
          <w:p>
            <w:pPr>
              <w:ind w:left="400"/>
              <w:spacing w:after="0"/>
              <w:rPr>
                <w:sz w:val="20"/>
                <w:szCs w:val="20"/>
                <w:color w:val="auto"/>
              </w:rPr>
            </w:pPr>
            <w:r>
              <w:rPr>
                <w:rFonts w:ascii="Arial" w:cs="Arial" w:eastAsia="Arial" w:hAnsi="Arial"/>
                <w:sz w:val="18"/>
                <w:szCs w:val="18"/>
                <w:color w:val="auto"/>
              </w:rPr>
              <w:t>NYSE:PAGS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Paychex,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NasdaqGS:PAYX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Payment Data Systems,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NasdaqCM:PYDS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PayPal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NasdaqGS:PYPL</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PRGX Global,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NasdaqGS:PRGX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Qiwi plc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NasdaqGS:QIWI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Sabre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NasdaqGS:SABR</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Square,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NYSE:SQ</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StarTek,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NYSE:SRT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Steel Connect,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NasdaqGS:STCN</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Sykes Enterprises, Incorporated</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NasdaqGS:SYKE</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Syntel,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NasdaqGS:SYNT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The Western Union Company</w:t>
            </w:r>
          </w:p>
        </w:tc>
        <w:tc>
          <w:tcPr>
            <w:tcW w:w="6220" w:type="dxa"/>
            <w:vAlign w:val="bottom"/>
          </w:tcPr>
          <w:p>
            <w:pPr>
              <w:ind w:left="400"/>
              <w:spacing w:after="0"/>
              <w:rPr>
                <w:sz w:val="20"/>
                <w:szCs w:val="20"/>
                <w:color w:val="auto"/>
              </w:rPr>
            </w:pPr>
            <w:r>
              <w:rPr>
                <w:rFonts w:ascii="Arial" w:cs="Arial" w:eastAsia="Arial" w:hAnsi="Arial"/>
                <w:sz w:val="18"/>
                <w:szCs w:val="18"/>
                <w:color w:val="auto"/>
              </w:rPr>
              <w:t>NYSE:WU</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Total System Services,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NYSE:TSS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Travelport Worldwide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NYSE:TVPT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TTEC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NasdaqGS:TTEC</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Visa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NYSE:V</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WEX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NYSE:WEX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WNS (Holdings)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NYSE:WNS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Worldpay,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NYSE:WP</w:t>
            </w:r>
          </w:p>
        </w:tc>
        <w:tc>
          <w:tcPr>
            <w:tcW w:w="0" w:type="dxa"/>
            <w:vAlign w:val="bottom"/>
          </w:tcPr>
          <w:p>
            <w:pPr>
              <w:spacing w:after="0"/>
              <w:rPr>
                <w:sz w:val="1"/>
                <w:szCs w:val="1"/>
                <w:color w:val="auto"/>
              </w:rPr>
            </w:pPr>
          </w:p>
        </w:tc>
      </w:tr>
      <w:tr>
        <w:trPr>
          <w:trHeight w:val="230"/>
        </w:trPr>
        <w:tc>
          <w:tcPr>
            <w:tcW w:w="5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ind w:right="40" w:firstLine="648"/>
        <w:spacing w:after="0" w:line="253" w:lineRule="auto"/>
        <w:rPr>
          <w:sz w:val="20"/>
          <w:szCs w:val="20"/>
          <w:color w:val="auto"/>
        </w:rPr>
      </w:pPr>
      <w:r>
        <w:rPr>
          <w:rFonts w:ascii="Arial" w:cs="Arial" w:eastAsia="Arial" w:hAnsi="Arial"/>
          <w:sz w:val="16"/>
          <w:szCs w:val="16"/>
          <w:color w:val="auto"/>
        </w:rPr>
        <w:t>The Company’s TSR for the TSR Performance Period will be computed and then compared to the TSR of the companies in the Peer Group. A participant shall earn [200%, 150%, 100%, 50% or 0%] of the TSR-Based RSUs, as applicable, if the Company’s TSR for the Performance Period equals or exceeds the [80th, 65th, 50th, 35th or 20</w:t>
      </w:r>
      <w:r>
        <w:rPr>
          <w:rFonts w:ascii="Arial" w:cs="Arial" w:eastAsia="Arial" w:hAnsi="Arial"/>
          <w:sz w:val="26"/>
          <w:szCs w:val="26"/>
          <w:color w:val="auto"/>
          <w:vertAlign w:val="superscript"/>
        </w:rPr>
        <w:t>th</w:t>
      </w:r>
      <w:r>
        <w:rPr>
          <w:rFonts w:ascii="Arial" w:cs="Arial" w:eastAsia="Arial" w:hAnsi="Arial"/>
          <w:sz w:val="16"/>
          <w:szCs w:val="16"/>
          <w:color w:val="auto"/>
        </w:rPr>
        <w:t>] percentile, respectively, of the Peer Group, when ranked by TSR for the TSR Performance Period. The percentage</w:t>
      </w:r>
    </w:p>
    <w:p>
      <w:pPr>
        <w:spacing w:after="0" w:line="1" w:lineRule="exact"/>
        <w:rPr>
          <w:sz w:val="20"/>
          <w:szCs w:val="20"/>
          <w:color w:val="auto"/>
        </w:rPr>
      </w:pPr>
    </w:p>
    <w:p>
      <w:pPr>
        <w:ind w:right="400"/>
        <w:spacing w:after="0" w:line="204" w:lineRule="auto"/>
        <w:rPr>
          <w:sz w:val="20"/>
          <w:szCs w:val="20"/>
          <w:color w:val="auto"/>
        </w:rPr>
      </w:pPr>
      <w:r>
        <w:rPr>
          <w:rFonts w:ascii="Arial" w:cs="Arial" w:eastAsia="Arial" w:hAnsi="Arial"/>
          <w:sz w:val="18"/>
          <w:szCs w:val="18"/>
          <w:color w:val="auto"/>
        </w:rPr>
        <w:t>of TSR-Based RSUs earned will be determined based on straight-line interpolation to the extent the Company’s TSR falls in between the [20th and 80</w:t>
      </w:r>
      <w:r>
        <w:rPr>
          <w:rFonts w:ascii="Arial" w:cs="Arial" w:eastAsia="Arial" w:hAnsi="Arial"/>
          <w:sz w:val="30"/>
          <w:szCs w:val="30"/>
          <w:color w:val="auto"/>
          <w:vertAlign w:val="superscript"/>
        </w:rPr>
        <w:t>th</w:t>
      </w:r>
      <w:r>
        <w:rPr>
          <w:rFonts w:ascii="Arial" w:cs="Arial" w:eastAsia="Arial" w:hAnsi="Arial"/>
          <w:sz w:val="18"/>
          <w:szCs w:val="18"/>
          <w:color w:val="auto"/>
        </w:rPr>
        <w:t>] percentiles, as per the chart below:</w:t>
      </w:r>
    </w:p>
    <w:p>
      <w:pPr>
        <w:spacing w:after="0" w:line="20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Target TSR Percentile</w:t>
            </w:r>
          </w:p>
        </w:tc>
        <w:tc>
          <w:tcPr>
            <w:tcW w:w="3180" w:type="dxa"/>
            <w:vAlign w:val="bottom"/>
          </w:tcPr>
          <w:p>
            <w:pPr>
              <w:ind w:left="1260"/>
              <w:spacing w:after="0"/>
              <w:rPr>
                <w:sz w:val="20"/>
                <w:szCs w:val="20"/>
                <w:color w:val="auto"/>
              </w:rPr>
            </w:pPr>
            <w:r>
              <w:rPr>
                <w:rFonts w:ascii="Arial" w:cs="Arial" w:eastAsia="Arial" w:hAnsi="Arial"/>
                <w:sz w:val="18"/>
                <w:szCs w:val="18"/>
                <w:b w:val="1"/>
                <w:bCs w:val="1"/>
                <w:color w:val="auto"/>
              </w:rPr>
              <w:t>Funding</w:t>
            </w:r>
          </w:p>
        </w:tc>
      </w:tr>
      <w:tr>
        <w:trPr>
          <w:trHeight w:val="195"/>
        </w:trPr>
        <w:tc>
          <w:tcPr>
            <w:tcW w:w="4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[80.0]</w:t>
            </w:r>
          </w:p>
        </w:tc>
        <w:tc>
          <w:tcPr>
            <w:tcW w:w="400" w:type="dxa"/>
            <w:vAlign w:val="bottom"/>
          </w:tcPr>
          <w:p>
            <w:pPr>
              <w:spacing w:after="0"/>
              <w:rPr>
                <w:sz w:val="16"/>
                <w:szCs w:val="16"/>
                <w:color w:val="auto"/>
              </w:rPr>
            </w:pPr>
          </w:p>
        </w:tc>
        <w:tc>
          <w:tcPr>
            <w:tcW w:w="3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[200]%</w:t>
            </w: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7"/>
              </w:rPr>
              <w:t>[65.0]</w:t>
            </w:r>
          </w:p>
        </w:tc>
        <w:tc>
          <w:tcPr>
            <w:tcW w:w="4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[150]%</w:t>
            </w: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7"/>
              </w:rPr>
              <w:t>[50.0]</w:t>
            </w:r>
          </w:p>
        </w:tc>
        <w:tc>
          <w:tcPr>
            <w:tcW w:w="4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[100]%</w:t>
            </w: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7"/>
              </w:rPr>
              <w:t>[35.0]</w:t>
            </w:r>
          </w:p>
        </w:tc>
        <w:tc>
          <w:tcPr>
            <w:tcW w:w="4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4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Notwithstanding the foregoing, if the Company’s TSR for the TSR Performance Period is negative, the maximum percentage of TSR-Based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Companies in the Peer Group that are not publicly traded on the last day of the TSR Performance Period shall not be taken into account for TSR purposes (except that any such company that goes bankrupt will be deemed to have a negative 100% TSR).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RESTRICTED STOCK UNIT AGREEMENT (International)</w:t>
      </w:r>
    </w:p>
    <w:p>
      <w:pPr>
        <w:spacing w:after="0" w:line="225" w:lineRule="exact"/>
        <w:rPr>
          <w:sz w:val="20"/>
          <w:szCs w:val="20"/>
          <w:color w:val="auto"/>
        </w:rPr>
      </w:pPr>
    </w:p>
    <w:p>
      <w:pPr>
        <w:jc w:val="both"/>
        <w:ind w:right="520" w:firstLine="1297"/>
        <w:spacing w:after="0" w:line="266"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made, effective as of the </w:t>
      </w:r>
      <w:r>
        <w:rPr>
          <w:rFonts w:ascii="Arial" w:cs="Arial" w:eastAsia="Arial" w:hAnsi="Arial"/>
          <w:sz w:val="18"/>
          <w:szCs w:val="18"/>
          <w:b w:val="1"/>
          <w:bCs w:val="1"/>
          <w:color w:val="auto"/>
        </w:rPr>
        <w:t>[INSERT DATE OF GRANT]</w:t>
      </w:r>
      <w:r>
        <w:rPr>
          <w:rFonts w:ascii="Arial" w:cs="Arial" w:eastAsia="Arial" w:hAnsi="Arial"/>
          <w:sz w:val="18"/>
          <w:szCs w:val="18"/>
          <w:color w:val="auto"/>
        </w:rPr>
        <w:t xml:space="preserve"> (hereinafter 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8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WHEREAS, the Company has adopted the ExlService Holdings, Inc. 2018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is in the best interests of the Company and its stockholders to grant to the Participant an award of Restricted Stock Units as provided herein and subject to the terms set forth herein.</w:t>
      </w:r>
    </w:p>
    <w:p>
      <w:pPr>
        <w:spacing w:after="0" w:line="181"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1" w:lineRule="exact"/>
        <w:rPr>
          <w:sz w:val="20"/>
          <w:szCs w:val="20"/>
          <w:color w:val="auto"/>
        </w:rPr>
      </w:pPr>
    </w:p>
    <w:p>
      <w:pPr>
        <w:ind w:right="40" w:firstLine="1305"/>
        <w:spacing w:after="0" w:line="257" w:lineRule="auto"/>
        <w:tabs>
          <w:tab w:leader="none" w:pos="192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Company hereby grants on the Date of Grant, to the Participant a total of [●]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8"/>
          <w:szCs w:val="18"/>
          <w:u w:val="single" w:color="auto"/>
          <w:color w:val="auto"/>
        </w:rPr>
        <w:t>Account</w:t>
      </w:r>
      <w:r>
        <w:rPr>
          <w:rFonts w:ascii="Arial" w:cs="Arial" w:eastAsia="Arial" w:hAnsi="Arial"/>
          <w:sz w:val="18"/>
          <w:szCs w:val="18"/>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88" w:lineRule="exact"/>
        <w:rPr>
          <w:rFonts w:ascii="Arial" w:cs="Arial" w:eastAsia="Arial" w:hAnsi="Arial"/>
          <w:sz w:val="18"/>
          <w:szCs w:val="18"/>
          <w:color w:val="auto"/>
        </w:rPr>
      </w:pPr>
    </w:p>
    <w:p>
      <w:pPr>
        <w:ind w:right="80" w:firstLine="1305"/>
        <w:spacing w:after="0" w:line="257" w:lineRule="auto"/>
        <w:tabs>
          <w:tab w:leader="none" w:pos="192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88" w:lineRule="exact"/>
        <w:rPr>
          <w:rFonts w:ascii="Arial" w:cs="Arial" w:eastAsia="Arial" w:hAnsi="Arial"/>
          <w:sz w:val="18"/>
          <w:szCs w:val="18"/>
          <w:color w:val="auto"/>
        </w:rPr>
      </w:pPr>
    </w:p>
    <w:p>
      <w:pPr>
        <w:ind w:right="220" w:firstLine="1305"/>
        <w:spacing w:after="0" w:line="259" w:lineRule="auto"/>
        <w:tabs>
          <w:tab w:leader="none" w:pos="192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provided herein, [fifty percent (50%)] of the Award shall vest based on continued employment with the Company (the “</w:t>
      </w:r>
      <w:r>
        <w:rPr>
          <w:rFonts w:ascii="Arial" w:cs="Arial" w:eastAsia="Arial" w:hAnsi="Arial"/>
          <w:sz w:val="18"/>
          <w:szCs w:val="18"/>
          <w:u w:val="single" w:color="auto"/>
          <w:color w:val="auto"/>
        </w:rPr>
        <w:t>Time-Based RSUs</w:t>
      </w:r>
      <w:r>
        <w:rPr>
          <w:rFonts w:ascii="Arial" w:cs="Arial" w:eastAsia="Arial" w:hAnsi="Arial"/>
          <w:sz w:val="18"/>
          <w:szCs w:val="18"/>
          <w:color w:val="auto"/>
        </w:rPr>
        <w:t>”) and [fifty percent (50%)] of the Award shall vest based on continued employment with the Company and the achievement of specified performance criteria described herein (the “</w:t>
      </w:r>
      <w:r>
        <w:rPr>
          <w:rFonts w:ascii="Arial" w:cs="Arial" w:eastAsia="Arial" w:hAnsi="Arial"/>
          <w:sz w:val="18"/>
          <w:szCs w:val="18"/>
          <w:u w:val="single" w:color="auto"/>
          <w:color w:val="auto"/>
        </w:rPr>
        <w:t>Performance-Based RSUs</w:t>
      </w:r>
      <w:r>
        <w:rPr>
          <w:rFonts w:ascii="Arial" w:cs="Arial" w:eastAsia="Arial" w:hAnsi="Arial"/>
          <w:sz w:val="18"/>
          <w:szCs w:val="18"/>
          <w:color w:val="auto"/>
        </w:rPr>
        <w:t>”). Each day on which a portion of the Award vests in accordance with this Agreement is referred to as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ind w:left="1940" w:hanging="647"/>
        <w:spacing w:after="0"/>
        <w:tabs>
          <w:tab w:leader="none" w:pos="19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Time-Based RSUs.</w:t>
      </w:r>
    </w:p>
    <w:p>
      <w:pPr>
        <w:spacing w:after="0" w:line="225" w:lineRule="exact"/>
        <w:rPr>
          <w:rFonts w:ascii="Arial" w:cs="Arial" w:eastAsia="Arial" w:hAnsi="Arial"/>
          <w:sz w:val="18"/>
          <w:szCs w:val="18"/>
          <w:color w:val="auto"/>
        </w:rPr>
      </w:pPr>
    </w:p>
    <w:p>
      <w:pPr>
        <w:ind w:left="640" w:right="40" w:firstLine="1301"/>
        <w:spacing w:after="0" w:line="277" w:lineRule="auto"/>
        <w:tabs>
          <w:tab w:leader="none" w:pos="2556"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Participant’s continued employment with the Company through each applicable Vesting Date listed in the chart below (the “</w:t>
      </w:r>
      <w:r>
        <w:rPr>
          <w:rFonts w:ascii="Arial" w:cs="Arial" w:eastAsia="Arial" w:hAnsi="Arial"/>
          <w:sz w:val="18"/>
          <w:szCs w:val="18"/>
          <w:u w:val="single" w:color="auto"/>
          <w:color w:val="auto"/>
        </w:rPr>
        <w:t>Vesting Chart</w:t>
      </w:r>
      <w:r>
        <w:rPr>
          <w:rFonts w:ascii="Arial" w:cs="Arial" w:eastAsia="Arial" w:hAnsi="Arial"/>
          <w:sz w:val="18"/>
          <w:szCs w:val="18"/>
          <w:color w:val="auto"/>
        </w:rPr>
        <w:t>”), the Time-Based RSUs shall become vested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Percent of Time-Based RSUs Vesting</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Vesting Date</w:t>
            </w:r>
          </w:p>
        </w:tc>
      </w:tr>
      <w:tr>
        <w:trPr>
          <w:trHeight w:val="195"/>
        </w:trPr>
        <w:tc>
          <w:tcPr>
            <w:tcW w:w="5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16"/>
                <w:szCs w:val="16"/>
                <w:color w:val="auto"/>
              </w:rPr>
            </w:pPr>
          </w:p>
        </w:tc>
        <w:tc>
          <w:tcPr>
            <w:tcW w:w="3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firstLine="1301"/>
        <w:spacing w:after="0" w:line="255" w:lineRule="auto"/>
        <w:tabs>
          <w:tab w:leader="none" w:pos="256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w:t>
      </w:r>
    </w:p>
    <w:p>
      <w:pPr>
        <w:spacing w:after="0" w:line="193" w:lineRule="exact"/>
        <w:rPr>
          <w:rFonts w:ascii="Arial" w:cs="Arial" w:eastAsia="Arial" w:hAnsi="Arial"/>
          <w:sz w:val="18"/>
          <w:szCs w:val="18"/>
          <w:color w:val="auto"/>
        </w:rPr>
      </w:pPr>
    </w:p>
    <w:p>
      <w:pPr>
        <w:ind w:left="640" w:firstLine="1949"/>
        <w:spacing w:after="0" w:line="255" w:lineRule="auto"/>
        <w:tabs>
          <w:tab w:leader="none" w:pos="323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w:t>
      </w:r>
    </w:p>
    <w:p>
      <w:pPr>
        <w:spacing w:after="0" w:line="189" w:lineRule="exact"/>
        <w:rPr>
          <w:rFonts w:ascii="Arial" w:cs="Arial" w:eastAsia="Arial" w:hAnsi="Arial"/>
          <w:sz w:val="18"/>
          <w:szCs w:val="18"/>
          <w:color w:val="auto"/>
        </w:rPr>
      </w:pPr>
    </w:p>
    <w:p>
      <w:pPr>
        <w:ind w:left="640" w:right="40" w:firstLine="1949"/>
        <w:spacing w:after="0" w:line="264" w:lineRule="auto"/>
        <w:tabs>
          <w:tab w:leader="none" w:pos="32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39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7" w:name="page38"/>
    <w:bookmarkEnd w:id="37"/>
    <w:p>
      <w:pPr>
        <w:ind w:left="760" w:firstLine="1938"/>
        <w:spacing w:after="0" w:line="276" w:lineRule="auto"/>
        <w:tabs>
          <w:tab w:leader="none" w:pos="3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172" w:lineRule="exact"/>
        <w:rPr>
          <w:rFonts w:ascii="Arial" w:cs="Arial" w:eastAsia="Arial" w:hAnsi="Arial"/>
          <w:sz w:val="17"/>
          <w:szCs w:val="17"/>
          <w:color w:val="auto"/>
        </w:rPr>
      </w:pPr>
    </w:p>
    <w:p>
      <w:pPr>
        <w:ind w:left="760" w:right="180" w:firstLine="1938"/>
        <w:spacing w:after="0" w:line="259" w:lineRule="auto"/>
        <w:tabs>
          <w:tab w:leader="none" w:pos="3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186" w:lineRule="exact"/>
        <w:rPr>
          <w:rFonts w:ascii="Arial" w:cs="Arial" w:eastAsia="Arial" w:hAnsi="Arial"/>
          <w:sz w:val="18"/>
          <w:szCs w:val="18"/>
          <w:color w:val="auto"/>
        </w:rPr>
      </w:pPr>
    </w:p>
    <w:p>
      <w:pPr>
        <w:ind w:left="760" w:right="120" w:firstLine="1938"/>
        <w:spacing w:after="0" w:line="342" w:lineRule="auto"/>
        <w:tabs>
          <w:tab w:leader="none" w:pos="3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following a Change in Control, a change in the office or location where Participant is based of more than thirty (30) miles, which new location is more than thirty (30) miles from Participant’s primary residence; or</w:t>
      </w:r>
    </w:p>
    <w:p>
      <w:pPr>
        <w:spacing w:after="0" w:line="123" w:lineRule="exact"/>
        <w:rPr>
          <w:rFonts w:ascii="Arial" w:cs="Arial" w:eastAsia="Arial" w:hAnsi="Arial"/>
          <w:sz w:val="16"/>
          <w:szCs w:val="16"/>
          <w:color w:val="auto"/>
        </w:rPr>
      </w:pPr>
    </w:p>
    <w:p>
      <w:pPr>
        <w:ind w:left="3320" w:hanging="622"/>
        <w:spacing w:after="0"/>
        <w:tabs>
          <w:tab w:leader="none" w:pos="3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following a Change in Control, a breach by the Company of any material term of any</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employment, consulting, or similar agreement between the Company and Participant;</w:t>
      </w:r>
    </w:p>
    <w:p>
      <w:pPr>
        <w:spacing w:after="0" w:line="211" w:lineRule="exact"/>
        <w:rPr>
          <w:sz w:val="20"/>
          <w:szCs w:val="20"/>
          <w:color w:val="auto"/>
        </w:rPr>
      </w:pPr>
    </w:p>
    <w:p>
      <w:pPr>
        <w:ind w:left="100" w:right="160"/>
        <w:spacing w:after="0" w:line="259" w:lineRule="auto"/>
        <w:rPr>
          <w:sz w:val="20"/>
          <w:szCs w:val="20"/>
          <w:color w:val="auto"/>
        </w:rPr>
      </w:pPr>
      <w:r>
        <w:rPr>
          <w:rFonts w:ascii="Arial" w:cs="Arial" w:eastAsia="Arial" w:hAnsi="Arial"/>
          <w:sz w:val="18"/>
          <w:szCs w:val="18"/>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87" w:lineRule="exact"/>
        <w:rPr>
          <w:sz w:val="20"/>
          <w:szCs w:val="20"/>
          <w:color w:val="auto"/>
        </w:rPr>
      </w:pPr>
    </w:p>
    <w:p>
      <w:pPr>
        <w:ind w:left="100" w:right="180" w:firstLine="1301"/>
        <w:spacing w:after="0" w:line="264" w:lineRule="auto"/>
        <w:tabs>
          <w:tab w:leader="none" w:pos="2026"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 in the event that Participant’s employment with the Company is terminated due to Participant’s death at a time when any portion of the Time-Based RSUs remain unvested, the portion of the Time-Based RSUs which is unvested shall become immediately vested effective as of the date of Participant’s death.</w:t>
      </w:r>
    </w:p>
    <w:p>
      <w:pPr>
        <w:spacing w:after="0" w:line="181" w:lineRule="exact"/>
        <w:rPr>
          <w:rFonts w:ascii="Arial" w:cs="Arial" w:eastAsia="Arial" w:hAnsi="Arial"/>
          <w:sz w:val="18"/>
          <w:szCs w:val="18"/>
          <w:color w:val="auto"/>
        </w:rPr>
      </w:pPr>
    </w:p>
    <w:p>
      <w:pPr>
        <w:ind w:left="1420" w:hanging="667"/>
        <w:spacing w:after="0"/>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Performance-Based RSUs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20" w:firstLine="1301"/>
        <w:spacing w:after="0" w:line="285" w:lineRule="auto"/>
        <w:tabs>
          <w:tab w:leader="none" w:pos="2016"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Except as otherwise provided herein, [fifty percent (50%)] of the Performance-Based RSUs shall cliff vest on [●], based on continuous service with the Company through such Vesting Date and the achievement of Company revenues against the aggregate revenue target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Revenue-Based RSUs</w:t>
      </w:r>
      <w:r>
        <w:rPr>
          <w:rFonts w:ascii="Arial" w:cs="Arial" w:eastAsia="Arial" w:hAnsi="Arial"/>
          <w:sz w:val="16"/>
          <w:szCs w:val="16"/>
          <w:color w:val="auto"/>
        </w:rPr>
        <w:t>”); and [fifty percent (50%)] of the Performance-Based RSUs shall cliff vest on [●], based on continuous service with the Company through such Vesting Date and the achievement of relative total stockholder return (“</w:t>
      </w:r>
      <w:r>
        <w:rPr>
          <w:rFonts w:ascii="Arial" w:cs="Arial" w:eastAsia="Arial" w:hAnsi="Arial"/>
          <w:sz w:val="16"/>
          <w:szCs w:val="16"/>
          <w:u w:val="single" w:color="auto"/>
          <w:color w:val="auto"/>
        </w:rPr>
        <w:t>TSR</w:t>
      </w:r>
      <w:r>
        <w:rPr>
          <w:rFonts w:ascii="Arial" w:cs="Arial" w:eastAsia="Arial" w:hAnsi="Arial"/>
          <w:sz w:val="16"/>
          <w:szCs w:val="16"/>
          <w:color w:val="auto"/>
        </w:rPr>
        <w:t xml:space="preserve">”) performance of the Company against the Peer Group (as defined on </w:t>
      </w:r>
      <w:r>
        <w:rPr>
          <w:rFonts w:ascii="Arial" w:cs="Arial" w:eastAsia="Arial" w:hAnsi="Arial"/>
          <w:sz w:val="16"/>
          <w:szCs w:val="16"/>
          <w:u w:val="single" w:color="auto"/>
          <w:color w:val="auto"/>
        </w:rPr>
        <w:t>Exhibit B</w:t>
      </w:r>
      <w:r>
        <w:rPr>
          <w:rFonts w:ascii="Arial" w:cs="Arial" w:eastAsia="Arial" w:hAnsi="Arial"/>
          <w:sz w:val="16"/>
          <w:szCs w:val="16"/>
          <w:color w:val="auto"/>
        </w:rPr>
        <w:t>) over the period from [●] through</w:t>
      </w:r>
    </w:p>
    <w:p>
      <w:pPr>
        <w:spacing w:after="0" w:line="2" w:lineRule="exact"/>
        <w:rPr>
          <w:rFonts w:ascii="Arial" w:cs="Arial" w:eastAsia="Arial" w:hAnsi="Arial"/>
          <w:sz w:val="16"/>
          <w:szCs w:val="16"/>
          <w:color w:val="auto"/>
        </w:rPr>
      </w:pPr>
    </w:p>
    <w:p>
      <w:pPr>
        <w:ind w:left="380" w:hanging="275"/>
        <w:spacing w:after="0"/>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TSR Performance Period</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TSR-Based RSUs</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8" w:name="page39"/>
    <w:bookmarkEnd w:id="38"/>
    <w:p>
      <w:pPr>
        <w:ind w:left="3220" w:hanging="619"/>
        <w:spacing w:after="0"/>
        <w:tabs>
          <w:tab w:leader="none" w:pos="32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the foregoing:</w:t>
      </w:r>
    </w:p>
    <w:p>
      <w:pPr>
        <w:spacing w:after="0" w:line="225" w:lineRule="exact"/>
        <w:rPr>
          <w:rFonts w:ascii="Arial" w:cs="Arial" w:eastAsia="Arial" w:hAnsi="Arial"/>
          <w:sz w:val="18"/>
          <w:szCs w:val="18"/>
          <w:color w:val="auto"/>
        </w:rPr>
      </w:pPr>
    </w:p>
    <w:p>
      <w:pPr>
        <w:jc w:val="both"/>
        <w:ind w:left="1300" w:right="320" w:firstLine="1949"/>
        <w:spacing w:after="0" w:line="264" w:lineRule="auto"/>
        <w:tabs>
          <w:tab w:leader="none" w:pos="3899"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Revenue-Based RSUs</w:t>
      </w:r>
      <w:r>
        <w:rPr>
          <w:rFonts w:ascii="Arial" w:cs="Arial" w:eastAsia="Arial" w:hAnsi="Arial"/>
          <w:sz w:val="18"/>
          <w:szCs w:val="18"/>
          <w:color w:val="auto"/>
        </w:rPr>
        <w:t>. In the event that a Change in Control occurs before [●], one hundred percent (100%) of the Revenue-Based RSUs will be deemed earned as of the date of the Change in Control. For the avoidance of doubt, in such event, the Participant will be unable to earn any additional Revenue-Based RSUs.</w:t>
      </w:r>
    </w:p>
    <w:p>
      <w:pPr>
        <w:spacing w:after="0" w:line="181" w:lineRule="exact"/>
        <w:rPr>
          <w:rFonts w:ascii="Arial" w:cs="Arial" w:eastAsia="Arial" w:hAnsi="Arial"/>
          <w:sz w:val="18"/>
          <w:szCs w:val="18"/>
          <w:color w:val="auto"/>
        </w:rPr>
      </w:pPr>
    </w:p>
    <w:p>
      <w:pPr>
        <w:ind w:left="1300" w:right="60" w:firstLine="1949"/>
        <w:spacing w:after="0" w:line="270" w:lineRule="auto"/>
        <w:tabs>
          <w:tab w:leader="none" w:pos="389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TSR-Based RSUs</w:t>
      </w:r>
      <w:r>
        <w:rPr>
          <w:rFonts w:ascii="Arial" w:cs="Arial" w:eastAsia="Arial" w:hAnsi="Arial"/>
          <w:sz w:val="17"/>
          <w:szCs w:val="17"/>
          <w:color w:val="auto"/>
        </w:rPr>
        <w:t xml:space="preserve">. In the event that a Change in Control occurs on or before the first anniversary of the Date of Grant, one hundred percent (100%) of the TSR-Based RSUs will be deemed earned. For the avoidance of doubt, in such event, the Participant will be unable to earn any additional TSR-Based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of such date, and shall determine the number of TSR-Based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00" w:firstLine="1949"/>
        <w:spacing w:after="0" w:line="255" w:lineRule="auto"/>
        <w:tabs>
          <w:tab w:leader="none" w:pos="38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Revenue-Based RSUs and the TSR-Based RSUs deemed earned in accordance with the foregoing provisions of this Section 3(b)(ii) will each be treated as immediately vested in accordance with the schedule set forth in the special Change in Control vesting chart below (the “</w:t>
      </w:r>
      <w:r>
        <w:rPr>
          <w:rFonts w:ascii="Arial" w:cs="Arial" w:eastAsia="Arial" w:hAnsi="Arial"/>
          <w:sz w:val="18"/>
          <w:szCs w:val="18"/>
          <w:u w:val="single" w:color="auto"/>
          <w:color w:val="auto"/>
        </w:rPr>
        <w:t>Special CIC Vesting Chart</w:t>
      </w:r>
      <w:r>
        <w:rPr>
          <w:rFonts w:ascii="Arial" w:cs="Arial" w:eastAsia="Arial" w:hAnsi="Arial"/>
          <w:sz w:val="18"/>
          <w:szCs w:val="18"/>
          <w:color w:val="auto"/>
        </w:rPr>
        <w:t>”) as well as additional vesting based on the methodology set forth in Section 3(a)(ii)(A),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0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Vested Percent of Deemed Earned</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50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89"/>
              </w:rPr>
              <w:t>Performance-Based RSUs</w:t>
            </w:r>
          </w:p>
        </w:tc>
        <w:tc>
          <w:tcPr>
            <w:tcW w:w="8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Vesting Date</w:t>
            </w:r>
          </w:p>
        </w:tc>
        <w:tc>
          <w:tcPr>
            <w:tcW w:w="106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4500" w:type="dxa"/>
            <w:vAlign w:val="bottom"/>
          </w:tcPr>
          <w:p>
            <w:pPr>
              <w:jc w:val="center"/>
              <w:ind w:left="730"/>
              <w:spacing w:after="0" w:line="195" w:lineRule="exact"/>
              <w:rPr>
                <w:sz w:val="20"/>
                <w:szCs w:val="20"/>
                <w:color w:val="auto"/>
              </w:rPr>
            </w:pPr>
            <w:r>
              <w:rPr>
                <w:rFonts w:ascii="Arial" w:cs="Arial" w:eastAsia="Arial" w:hAnsi="Arial"/>
                <w:sz w:val="18"/>
                <w:szCs w:val="18"/>
                <w:color w:val="auto"/>
                <w:w w:val="95"/>
              </w:rPr>
              <w:t>[33.33]%</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500" w:type="dxa"/>
            <w:vAlign w:val="bottom"/>
          </w:tcPr>
          <w:p>
            <w:pPr>
              <w:jc w:val="center"/>
              <w:ind w:left="730"/>
              <w:spacing w:after="0"/>
              <w:rPr>
                <w:sz w:val="20"/>
                <w:szCs w:val="20"/>
                <w:color w:val="auto"/>
              </w:rPr>
            </w:pPr>
            <w:r>
              <w:rPr>
                <w:rFonts w:ascii="Arial" w:cs="Arial" w:eastAsia="Arial" w:hAnsi="Arial"/>
                <w:sz w:val="18"/>
                <w:szCs w:val="18"/>
                <w:color w:val="auto"/>
                <w:w w:val="95"/>
              </w:rPr>
              <w:t>[66.67]%</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500" w:type="dxa"/>
            <w:vAlign w:val="bottom"/>
          </w:tcPr>
          <w:p>
            <w:pPr>
              <w:jc w:val="center"/>
              <w:ind w:left="750"/>
              <w:spacing w:after="0"/>
              <w:rPr>
                <w:sz w:val="20"/>
                <w:szCs w:val="20"/>
                <w:color w:val="auto"/>
              </w:rPr>
            </w:pPr>
            <w:r>
              <w:rPr>
                <w:rFonts w:ascii="Arial" w:cs="Arial" w:eastAsia="Arial" w:hAnsi="Arial"/>
                <w:sz w:val="18"/>
                <w:szCs w:val="18"/>
                <w:color w:val="auto"/>
                <w:w w:val="96"/>
              </w:rPr>
              <w:t>[100]%</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9" w:name="page40"/>
    <w:bookmarkEnd w:id="39"/>
    <w:p>
      <w:pPr>
        <w:ind w:left="1280" w:firstLine="1296"/>
        <w:spacing w:after="0" w:line="285" w:lineRule="auto"/>
        <w:rPr>
          <w:sz w:val="20"/>
          <w:szCs w:val="20"/>
          <w:color w:val="auto"/>
        </w:rPr>
      </w:pPr>
      <w:r>
        <w:rPr>
          <w:rFonts w:ascii="Arial" w:cs="Arial" w:eastAsia="Arial" w:hAnsi="Arial"/>
          <w:sz w:val="16"/>
          <w:szCs w:val="16"/>
          <w:color w:val="auto"/>
        </w:rPr>
        <w:t>Accordingly, for example, the Special CIC Vesting Chart and the methodology of Section 3(a)(ii)(A)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 subject to the Participant’s continuous employment with the Company or an Affiliate through 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spacing w:after="0" w:line="178" w:lineRule="exact"/>
        <w:rPr>
          <w:sz w:val="20"/>
          <w:szCs w:val="20"/>
          <w:color w:val="auto"/>
        </w:rPr>
      </w:pPr>
    </w:p>
    <w:p>
      <w:pPr>
        <w:ind w:left="3220" w:hanging="639"/>
        <w:spacing w:after="0"/>
        <w:tabs>
          <w:tab w:leader="none" w:pos="322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w:t>
      </w:r>
    </w:p>
    <w:p>
      <w:pPr>
        <w:spacing w:after="0" w:line="225" w:lineRule="exact"/>
        <w:rPr>
          <w:rFonts w:ascii="Arial" w:cs="Arial" w:eastAsia="Arial" w:hAnsi="Arial"/>
          <w:sz w:val="18"/>
          <w:szCs w:val="18"/>
          <w:color w:val="auto"/>
        </w:rPr>
      </w:pPr>
    </w:p>
    <w:p>
      <w:pPr>
        <w:jc w:val="both"/>
        <w:ind w:left="1360" w:right="140" w:firstLine="1869"/>
        <w:spacing w:after="0" w:line="302" w:lineRule="auto"/>
        <w:tabs>
          <w:tab w:leader="none" w:pos="3878"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Prior to a Change in Control</w:t>
      </w:r>
      <w:r>
        <w:rPr>
          <w:rFonts w:ascii="Arial" w:cs="Arial" w:eastAsia="Arial" w:hAnsi="Arial"/>
          <w:sz w:val="16"/>
          <w:szCs w:val="16"/>
          <w:color w:val="auto"/>
        </w:rPr>
        <w:t>. In the event that no Change in Control has occurred and Participant’s employment with the Company is terminated due to Participant’s death prior to [●], Participant shall become immediately vested in a number of Performance-Based RSUs equal to (x) the number of completed full months from [●] to the date of Participant’s death divided by (y) [36] multiplied by (z) 100% of the Performance-Based RSUs, effective as of the date of Participant’s death.</w:t>
      </w:r>
    </w:p>
    <w:p>
      <w:pPr>
        <w:spacing w:after="0" w:line="154" w:lineRule="exact"/>
        <w:rPr>
          <w:rFonts w:ascii="Arial" w:cs="Arial" w:eastAsia="Arial" w:hAnsi="Arial"/>
          <w:sz w:val="16"/>
          <w:szCs w:val="16"/>
          <w:color w:val="auto"/>
        </w:rPr>
      </w:pPr>
    </w:p>
    <w:p>
      <w:pPr>
        <w:jc w:val="both"/>
        <w:ind w:left="1360" w:right="20" w:firstLine="1869"/>
        <w:spacing w:after="0" w:line="259" w:lineRule="auto"/>
        <w:tabs>
          <w:tab w:leader="none" w:pos="3869"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After a Change in Control</w:t>
      </w:r>
      <w:r>
        <w:rPr>
          <w:rFonts w:ascii="Arial" w:cs="Arial" w:eastAsia="Arial" w:hAnsi="Arial"/>
          <w:sz w:val="18"/>
          <w:szCs w:val="18"/>
          <w:color w:val="auto"/>
        </w:rPr>
        <w:t>. In the event that Participant’s employment with the Company is terminated due to Participant’s death prior to [●] but after a Change in Control has occurred, Participant shall become immediately vested in 100% of the Performance-Based RSUs that were deemed earned as a result of the Change in Control pursuant to Sections 3(b)(ii)(A) and 3(b)(ii)(B) above, effective as of the date of Participant’s death.</w:t>
      </w:r>
    </w:p>
    <w:p>
      <w:pPr>
        <w:spacing w:after="0" w:line="186" w:lineRule="exact"/>
        <w:rPr>
          <w:rFonts w:ascii="Arial" w:cs="Arial" w:eastAsia="Arial" w:hAnsi="Arial"/>
          <w:sz w:val="18"/>
          <w:szCs w:val="18"/>
          <w:color w:val="auto"/>
        </w:rPr>
      </w:pPr>
    </w:p>
    <w:p>
      <w:pPr>
        <w:ind w:left="-20" w:right="220" w:firstLine="1953"/>
        <w:spacing w:after="0" w:line="279" w:lineRule="auto"/>
        <w:tabs>
          <w:tab w:leader="none" w:pos="257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Special 409A Rule</w:t>
      </w:r>
      <w:r>
        <w:rPr>
          <w:rFonts w:ascii="Arial" w:cs="Arial" w:eastAsia="Arial" w:hAnsi="Arial"/>
          <w:sz w:val="17"/>
          <w:szCs w:val="17"/>
          <w:color w:val="auto"/>
        </w:rPr>
        <w:t>. 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0" w:name="page41"/>
    <w:bookmarkEnd w:id="40"/>
    <w:p>
      <w:pPr>
        <w:ind w:left="1920" w:hanging="635"/>
        <w:spacing w:after="0"/>
        <w:tabs>
          <w:tab w:leader="none" w:pos="19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1953"/>
        <w:spacing w:after="0" w:line="271" w:lineRule="auto"/>
        <w:tabs>
          <w:tab w:leader="none" w:pos="2575"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7"/>
          <w:szCs w:val="17"/>
          <w:u w:val="single" w:color="auto"/>
          <w:color w:val="auto"/>
        </w:rPr>
        <w:t>RSU Shares</w:t>
      </w:r>
      <w:r>
        <w:rPr>
          <w:rFonts w:ascii="Arial" w:cs="Arial" w:eastAsia="Arial" w:hAnsi="Arial"/>
          <w:sz w:val="17"/>
          <w:szCs w:val="17"/>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 (or as of the Change in Control, as applicable) such that settlement of the earned and vested Performance-Based RSUs shall be made within the applicable short-term deferral period for purposes of Section 409A of the Code.</w:t>
      </w:r>
    </w:p>
    <w:p>
      <w:pPr>
        <w:spacing w:after="0" w:line="178" w:lineRule="exact"/>
        <w:rPr>
          <w:rFonts w:ascii="Arial" w:cs="Arial" w:eastAsia="Arial" w:hAnsi="Arial"/>
          <w:sz w:val="17"/>
          <w:szCs w:val="17"/>
          <w:color w:val="auto"/>
        </w:rPr>
      </w:pPr>
    </w:p>
    <w:p>
      <w:pPr>
        <w:ind w:left="-20" w:firstLine="1953"/>
        <w:spacing w:after="0" w:line="291" w:lineRule="auto"/>
        <w:tabs>
          <w:tab w:leader="none" w:pos="2585"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are paid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67" w:lineRule="exact"/>
        <w:rPr>
          <w:rFonts w:ascii="Arial" w:cs="Arial" w:eastAsia="Arial" w:hAnsi="Arial"/>
          <w:sz w:val="16"/>
          <w:szCs w:val="16"/>
          <w:color w:val="auto"/>
        </w:rPr>
      </w:pPr>
    </w:p>
    <w:p>
      <w:pPr>
        <w:ind w:left="-20" w:right="60" w:firstLine="1953"/>
        <w:spacing w:after="0" w:line="287" w:lineRule="auto"/>
        <w:tabs>
          <w:tab w:leader="none" w:pos="2575"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Regardless of any action the Company or the Participant’s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takes with respect to any or all income tax, social insurance, payroll tax, payment on account or other tax-related items related to the Participant’s participation in the Plan and legally applicable to the Participant or deemed by the Company or the Employer to be an appropriate charge to the Participant even if technically due by the Company or the Employer (“</w:t>
      </w:r>
      <w:r>
        <w:rPr>
          <w:rFonts w:ascii="Arial" w:cs="Arial" w:eastAsia="Arial" w:hAnsi="Arial"/>
          <w:sz w:val="16"/>
          <w:szCs w:val="16"/>
          <w:u w:val="single" w:color="auto"/>
          <w:color w:val="auto"/>
        </w:rPr>
        <w:t>Tax-Related Items</w:t>
      </w:r>
      <w:r>
        <w:rPr>
          <w:rFonts w:ascii="Arial" w:cs="Arial" w:eastAsia="Arial" w:hAnsi="Arial"/>
          <w:sz w:val="16"/>
          <w:szCs w:val="16"/>
          <w:color w:val="auto"/>
        </w:rPr>
        <w:t>”), the Participant acknowledges that the ultimate liability for all Tax-Related Items is and remains the Participant’s responsibility and may exceed the amount actually withheld by the Company or the Employer. The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RSU Shares upon vesting/settlement of the Restricted Stock Units, the subsequent sale of RSU Shares acquired pursuant to such issuance and the receipt of any dividends and/or any dividend equivalents; and (2) do not commit to and are under no obligation to structure the terms of the grant or any aspect of the Restricted Stock Units to reduce or eliminate the Participant’s liability for Tax-Related Items or achieve any particular tax result. Further, if the Participant has become subject to tax in more than one jurisdiction between the date of grant and the date of any relevant taxable event, the Participant acknowledges that the Company and/or the Employer (or former employer, as applicable) may be required to withhold or account for Tax-Related Items in more than one jurisdiction.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1" w:name="page42"/>
    <w:bookmarkEnd w:id="41"/>
    <w:p>
      <w:pPr>
        <w:ind w:right="60"/>
        <w:spacing w:after="0" w:line="271" w:lineRule="auto"/>
        <w:rPr>
          <w:sz w:val="20"/>
          <w:szCs w:val="20"/>
          <w:color w:val="auto"/>
        </w:rPr>
      </w:pPr>
      <w:r>
        <w:rPr>
          <w:rFonts w:ascii="Arial" w:cs="Arial" w:eastAsia="Arial" w:hAnsi="Arial"/>
          <w:sz w:val="17"/>
          <w:szCs w:val="17"/>
          <w:color w:val="auto"/>
        </w:rPr>
        <w:t>Upon the settlement of the Award in accordance with Section 4(a) hereof in RSU Shares, the Participant shall be required, as a condition of such settlement, to pay to the Company by check or wire transfer the amount of any income, payroll, or social tax withholding that the Company determines is required; provided that the Participant may elect to satisfy such tax withholding obligation by having the Company withhold from the settlement that number of RSU Shares having a Fair Market Value equal to the amount of such withholding. To avoid negative accounting treatment, the Company may withhold or account for Tax-Related Items by considering applicable minimum statutory withholding amounts or other applicable withholding rates. If the obligation for Tax-Related Items is satisfied by withholding in RSU Shares, for tax purposes, the Participant is deemed to have been issued the full number of Shares subject to the vested Restricted Stock Units, notwithstanding that a number of the RSU Shares are held back solely for the purpose of paying the Tax-Related Items due as a result of any aspect of the Participant’s participation in the Plan.</w:t>
      </w:r>
    </w:p>
    <w:p>
      <w:pPr>
        <w:spacing w:after="0" w:line="179" w:lineRule="exact"/>
        <w:rPr>
          <w:sz w:val="20"/>
          <w:szCs w:val="20"/>
          <w:color w:val="auto"/>
        </w:rPr>
      </w:pPr>
    </w:p>
    <w:p>
      <w:pPr>
        <w:ind w:firstLine="1953"/>
        <w:spacing w:after="0" w:line="259" w:lineRule="auto"/>
        <w:tabs>
          <w:tab w:leader="none" w:pos="260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w:t>
      </w:r>
    </w:p>
    <w:p>
      <w:pPr>
        <w:spacing w:after="0" w:line="186" w:lineRule="exact"/>
        <w:rPr>
          <w:rFonts w:ascii="Arial" w:cs="Arial" w:eastAsia="Arial" w:hAnsi="Arial"/>
          <w:sz w:val="18"/>
          <w:szCs w:val="18"/>
          <w:color w:val="auto"/>
        </w:rPr>
      </w:pPr>
    </w:p>
    <w:p>
      <w:pPr>
        <w:ind w:right="240" w:firstLine="1953"/>
        <w:spacing w:after="0" w:line="259" w:lineRule="auto"/>
        <w:tabs>
          <w:tab w:leader="none" w:pos="259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86" w:lineRule="exact"/>
        <w:rPr>
          <w:rFonts w:ascii="Arial" w:cs="Arial" w:eastAsia="Arial" w:hAnsi="Arial"/>
          <w:sz w:val="18"/>
          <w:szCs w:val="18"/>
          <w:color w:val="auto"/>
        </w:rPr>
      </w:pPr>
    </w:p>
    <w:p>
      <w:pPr>
        <w:ind w:firstLine="1953"/>
        <w:spacing w:after="0" w:line="279" w:lineRule="auto"/>
        <w:tabs>
          <w:tab w:leader="none" w:pos="2574"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71" w:lineRule="exact"/>
        <w:rPr>
          <w:rFonts w:ascii="Arial" w:cs="Arial" w:eastAsia="Arial" w:hAnsi="Arial"/>
          <w:sz w:val="17"/>
          <w:szCs w:val="17"/>
          <w:color w:val="auto"/>
        </w:rPr>
      </w:pPr>
    </w:p>
    <w:p>
      <w:pPr>
        <w:ind w:left="1940" w:hanging="635"/>
        <w:spacing w:after="0"/>
        <w:tabs>
          <w:tab w:leader="none" w:pos="19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342" w:lineRule="auto"/>
        <w:tabs>
          <w:tab w:leader="none" w:pos="2595"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23" w:lineRule="exact"/>
        <w:rPr>
          <w:rFonts w:ascii="Arial" w:cs="Arial" w:eastAsia="Arial" w:hAnsi="Arial"/>
          <w:sz w:val="16"/>
          <w:szCs w:val="16"/>
          <w:color w:val="auto"/>
        </w:rPr>
      </w:pPr>
    </w:p>
    <w:p>
      <w:pPr>
        <w:ind w:right="260" w:firstLine="1953"/>
        <w:spacing w:after="0" w:line="308" w:lineRule="auto"/>
        <w:tabs>
          <w:tab w:leader="none" w:pos="2605"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left="26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1" w:lineRule="exact"/>
        <w:rPr>
          <w:sz w:val="20"/>
          <w:szCs w:val="20"/>
          <w:color w:val="auto"/>
        </w:rPr>
      </w:pPr>
    </w:p>
    <w:p>
      <w:pPr>
        <w:ind w:firstLine="1305"/>
        <w:spacing w:after="0" w:line="342" w:lineRule="auto"/>
        <w:tabs>
          <w:tab w:leader="none" w:pos="192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ind w:right="100" w:firstLine="1305"/>
        <w:spacing w:after="0" w:line="312" w:lineRule="auto"/>
        <w:tabs>
          <w:tab w:leader="none" w:pos="192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46" w:lineRule="exact"/>
        <w:rPr>
          <w:rFonts w:ascii="Arial" w:cs="Arial" w:eastAsia="Arial" w:hAnsi="Arial"/>
          <w:sz w:val="16"/>
          <w:szCs w:val="16"/>
          <w:color w:val="auto"/>
        </w:rPr>
      </w:pPr>
    </w:p>
    <w:p>
      <w:pPr>
        <w:ind w:right="260" w:firstLine="1305"/>
        <w:spacing w:after="0" w:line="277" w:lineRule="auto"/>
        <w:tabs>
          <w:tab w:leader="none" w:pos="192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ind w:right="60" w:firstLine="1305"/>
        <w:spacing w:after="0" w:line="340" w:lineRule="auto"/>
        <w:tabs>
          <w:tab w:leader="none" w:pos="1926" w:val="left"/>
        </w:tabs>
        <w:numPr>
          <w:ilvl w:val="0"/>
          <w:numId w:val="7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Personal Data</w:t>
      </w:r>
      <w:r>
        <w:rPr>
          <w:rFonts w:ascii="Arial" w:cs="Arial" w:eastAsia="Arial" w:hAnsi="Arial"/>
          <w:sz w:val="15"/>
          <w:szCs w:val="15"/>
          <w:b w:val="1"/>
          <w:bCs w:val="1"/>
          <w:i w:val="1"/>
          <w:iCs w:val="1"/>
          <w:color w:val="auto"/>
        </w:rPr>
        <w:t>. The Participant hereby explicitly and unambiguously consents to the collection, use and transfer, in electronic or other form, of the Participant’s personal data as described in this Agreement by and among, as applicable, the Employer, the Company and any Affiliate of the Company for the exclusive purpose of implementing, administering and managing the Participant’s participation in the Plan.</w:t>
      </w:r>
    </w:p>
    <w:p>
      <w:pPr>
        <w:spacing w:after="0" w:line="13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b w:val="1"/>
          <w:bCs w:val="1"/>
          <w:i w:val="1"/>
          <w:iCs w:val="1"/>
          <w:color w:val="auto"/>
        </w:rPr>
        <w:t>The Participant understands that the Company and the Employer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details of all Restricted Stock Units or any other entitlement to Shares awarded, canceled, exercised, vested, unvested or outstanding in the Participant’s favor, for the exclusive purpose of implementing, administering and managing the Plan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9" w:right="359" w:bottom="1440" w:gutter="0" w:footer="0" w:header="0"/>
        </w:sectPr>
      </w:pPr>
    </w:p>
    <w:bookmarkStart w:id="43" w:name="page44"/>
    <w:bookmarkEnd w:id="43"/>
    <w:p>
      <w:pPr>
        <w:ind w:firstLine="1297"/>
        <w:spacing w:after="0" w:line="286"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any third party assisting the Company with the implementation, administration and management of the Plan. The Participant understands that the recipients of the Data may be located in the Participant’s country, or elsewhere, and that the recipients’ country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The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refusal or withdrawal of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r>
        <w:rPr>
          <w:rFonts w:ascii="Arial" w:cs="Arial" w:eastAsia="Arial" w:hAnsi="Arial"/>
          <w:sz w:val="16"/>
          <w:szCs w:val="16"/>
          <w:color w:val="auto"/>
        </w:rPr>
        <w:t>.</w:t>
      </w:r>
    </w:p>
    <w:p>
      <w:pPr>
        <w:spacing w:after="0" w:line="175" w:lineRule="exact"/>
        <w:rPr>
          <w:sz w:val="20"/>
          <w:szCs w:val="20"/>
          <w:color w:val="auto"/>
        </w:rPr>
      </w:pPr>
    </w:p>
    <w:p>
      <w:pPr>
        <w:ind w:left="1940" w:hanging="635"/>
        <w:spacing w:after="0"/>
        <w:tabs>
          <w:tab w:leader="none" w:pos="19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signing the Agreement, the Participant acknowledges and agrees that:</w:t>
      </w:r>
    </w:p>
    <w:p>
      <w:pPr>
        <w:spacing w:after="0" w:line="225" w:lineRule="exact"/>
        <w:rPr>
          <w:rFonts w:ascii="Arial" w:cs="Arial" w:eastAsia="Arial" w:hAnsi="Arial"/>
          <w:sz w:val="18"/>
          <w:szCs w:val="18"/>
          <w:color w:val="auto"/>
        </w:rPr>
      </w:pPr>
    </w:p>
    <w:p>
      <w:pPr>
        <w:ind w:right="600" w:firstLine="1953"/>
        <w:spacing w:after="0" w:line="277" w:lineRule="auto"/>
        <w:tabs>
          <w:tab w:leader="none" w:pos="259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170" w:lineRule="exact"/>
        <w:rPr>
          <w:rFonts w:ascii="Arial" w:cs="Arial" w:eastAsia="Arial" w:hAnsi="Arial"/>
          <w:sz w:val="18"/>
          <w:szCs w:val="18"/>
          <w:color w:val="auto"/>
        </w:rPr>
      </w:pPr>
    </w:p>
    <w:p>
      <w:pPr>
        <w:ind w:right="20" w:firstLine="1953"/>
        <w:spacing w:after="0" w:line="264" w:lineRule="auto"/>
        <w:tabs>
          <w:tab w:leader="none" w:pos="260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decisions with respect to future grants, if any, will be at the sole discretion of the Company;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Participant’s participation in the Plan is voluntary;</w:t>
      </w:r>
    </w:p>
    <w:p>
      <w:pPr>
        <w:spacing w:after="0" w:line="225" w:lineRule="exact"/>
        <w:rPr>
          <w:rFonts w:ascii="Arial" w:cs="Arial" w:eastAsia="Arial" w:hAnsi="Arial"/>
          <w:sz w:val="18"/>
          <w:szCs w:val="18"/>
          <w:color w:val="auto"/>
        </w:rPr>
      </w:pPr>
    </w:p>
    <w:p>
      <w:pPr>
        <w:ind w:right="460" w:firstLine="1953"/>
        <w:spacing w:after="0" w:line="277" w:lineRule="auto"/>
        <w:tabs>
          <w:tab w:leader="none" w:pos="259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any employment with the Employer and shall not interfere with the ability of the Employer to terminate the Participant’s employment relationship, if any, at any time.</w:t>
      </w:r>
    </w:p>
    <w:p>
      <w:pPr>
        <w:spacing w:after="0" w:line="170" w:lineRule="exact"/>
        <w:rPr>
          <w:rFonts w:ascii="Arial" w:cs="Arial" w:eastAsia="Arial" w:hAnsi="Arial"/>
          <w:sz w:val="18"/>
          <w:szCs w:val="18"/>
          <w:color w:val="auto"/>
        </w:rPr>
      </w:pPr>
    </w:p>
    <w:p>
      <w:pPr>
        <w:ind w:right="20" w:firstLine="1953"/>
        <w:spacing w:after="0" w:line="264" w:lineRule="auto"/>
        <w:tabs>
          <w:tab w:leader="none" w:pos="25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Restricted Stock Units and the RSU Shares subject to the Restricted Stock Units are an extraordinary item that does not constitute compensation of any kind for services of any kind rendered to the Company or the Employer, and which is outside the scope of the Participant’s employment or service contract, if any;</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Restricted Stock Units and the RSU Shares subject to the Restricted Stock Units are not intended to replace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pension rights or compensation;</w:t>
      </w:r>
    </w:p>
    <w:p>
      <w:pPr>
        <w:spacing w:after="0" w:line="210" w:lineRule="exact"/>
        <w:rPr>
          <w:rFonts w:ascii="Arial" w:cs="Arial" w:eastAsia="Arial" w:hAnsi="Arial"/>
          <w:sz w:val="17"/>
          <w:szCs w:val="17"/>
          <w:color w:val="auto"/>
        </w:rPr>
      </w:pPr>
    </w:p>
    <w:p>
      <w:pPr>
        <w:ind w:right="260" w:firstLine="1953"/>
        <w:spacing w:after="0" w:line="279" w:lineRule="auto"/>
        <w:tabs>
          <w:tab w:leader="none" w:pos="2605"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Restricted Stock Units and the RSU Shares subject to the Restricted Stock Units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Affiliate of the Company;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2560" w:hanging="627"/>
        <w:spacing w:after="0"/>
        <w:tabs>
          <w:tab w:leader="none" w:pos="25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future value of the RSU Shares is unknown and cannot be predicted with certainty;</w:t>
      </w:r>
    </w:p>
    <w:p>
      <w:pPr>
        <w:spacing w:after="0" w:line="225" w:lineRule="exact"/>
        <w:rPr>
          <w:rFonts w:ascii="Arial" w:cs="Arial" w:eastAsia="Arial" w:hAnsi="Arial"/>
          <w:sz w:val="18"/>
          <w:szCs w:val="18"/>
          <w:color w:val="auto"/>
        </w:rPr>
      </w:pPr>
    </w:p>
    <w:p>
      <w:pPr>
        <w:ind w:left="-20" w:right="60" w:firstLine="1953"/>
        <w:spacing w:after="0" w:line="257" w:lineRule="auto"/>
        <w:tabs>
          <w:tab w:leader="none" w:pos="254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consideration of the grant of the Restricted Stock Units, no claim or entitlement to compensation or damages shall arise from forfeiture of the Restricted Stock Units resulting from termination of the Participant’s employment (for any reason whatsoever and whether or not in breach of local labor laws) and the Participant irrevocably releases the Company and the Employer from any such claim that may arise; if, notwithstanding the foregoing, any such claim is found by a court of competent jurisdiction to have arisen, the Participant shall be deemed irrevocably to have waived the Participant’s right to pursue or seek remedy for any such claim or entitlement;</w:t>
      </w:r>
    </w:p>
    <w:p>
      <w:pPr>
        <w:spacing w:after="0" w:line="188" w:lineRule="exact"/>
        <w:rPr>
          <w:rFonts w:ascii="Arial" w:cs="Arial" w:eastAsia="Arial" w:hAnsi="Arial"/>
          <w:sz w:val="18"/>
          <w:szCs w:val="18"/>
          <w:color w:val="auto"/>
        </w:rPr>
      </w:pPr>
    </w:p>
    <w:p>
      <w:pPr>
        <w:ind w:left="-20" w:firstLine="1953"/>
        <w:spacing w:after="0" w:line="257" w:lineRule="auto"/>
        <w:tabs>
          <w:tab w:leader="none" w:pos="258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of termination of the Participant’s employment (whether or not in breach of local labor laws), the Participant’s right to receive Restricted Stock Units under the Plan and to vest in such Restricted Stock Units, if any, will terminate effective as of the date that the Participant is no longer actively providing services and will not be extended by any notice period mandated under local law (e.g., active service would not include a period of “garden leave” or similar period pursuant to local law); the Committee shall have the exclusive discretion to determine when the Participant is no longer actively employed for purposes of the Restricted Stock Units; and</w:t>
      </w:r>
    </w:p>
    <w:p>
      <w:pPr>
        <w:spacing w:after="0" w:line="188" w:lineRule="exact"/>
        <w:rPr>
          <w:rFonts w:ascii="Arial" w:cs="Arial" w:eastAsia="Arial" w:hAnsi="Arial"/>
          <w:sz w:val="18"/>
          <w:szCs w:val="18"/>
          <w:color w:val="auto"/>
        </w:rPr>
      </w:pPr>
    </w:p>
    <w:p>
      <w:pPr>
        <w:ind w:left="-20" w:right="20" w:firstLine="1953"/>
        <w:spacing w:after="0" w:line="277" w:lineRule="auto"/>
        <w:tabs>
          <w:tab w:leader="none" w:pos="254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Restricted Stock Units and the benefits under the Plan, if any, will not automatically transfer to another company in the case of a merger, take-over or transfer of liability.</w:t>
      </w:r>
    </w:p>
    <w:p>
      <w:pPr>
        <w:spacing w:after="0" w:line="170" w:lineRule="exact"/>
        <w:rPr>
          <w:rFonts w:ascii="Arial" w:cs="Arial" w:eastAsia="Arial" w:hAnsi="Arial"/>
          <w:sz w:val="18"/>
          <w:szCs w:val="18"/>
          <w:color w:val="auto"/>
        </w:rPr>
      </w:pPr>
    </w:p>
    <w:p>
      <w:pPr>
        <w:ind w:left="-20" w:right="80" w:firstLine="1305"/>
        <w:spacing w:after="0" w:line="277" w:lineRule="auto"/>
        <w:tabs>
          <w:tab w:leader="none" w:pos="19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ind w:left="-20" w:right="260" w:firstLine="1305"/>
        <w:spacing w:after="0" w:line="277" w:lineRule="auto"/>
        <w:tabs>
          <w:tab w:leader="none" w:pos="190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70" w:lineRule="exact"/>
        <w:rPr>
          <w:rFonts w:ascii="Arial" w:cs="Arial" w:eastAsia="Arial" w:hAnsi="Arial"/>
          <w:sz w:val="18"/>
          <w:szCs w:val="18"/>
          <w:color w:val="auto"/>
        </w:rPr>
      </w:pPr>
    </w:p>
    <w:p>
      <w:pPr>
        <w:jc w:val="both"/>
        <w:ind w:left="-20" w:right="140" w:firstLine="1305"/>
        <w:spacing w:after="0" w:line="279" w:lineRule="auto"/>
        <w:tabs>
          <w:tab w:leader="none" w:pos="190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71" w:lineRule="exact"/>
        <w:rPr>
          <w:rFonts w:ascii="Arial" w:cs="Arial" w:eastAsia="Arial" w:hAnsi="Arial"/>
          <w:sz w:val="17"/>
          <w:szCs w:val="17"/>
          <w:color w:val="auto"/>
        </w:rPr>
      </w:pPr>
    </w:p>
    <w:p>
      <w:pPr>
        <w:ind w:left="-20" w:right="120" w:firstLine="1305"/>
        <w:spacing w:after="0" w:line="259" w:lineRule="auto"/>
        <w:tabs>
          <w:tab w:leader="none" w:pos="190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Appendix hereto, and the Plan contain the entire agreement and understanding of the parties hereto with respect to the subject matter contained herein and supersede all prior communications, representations and negotiations in respect thereto. Except as otherwise provided in Section 16 (Imposition of Other Requirements), no change, modification or waiver of any provision of this Agreement shall be valid unless the same is in writing and signed by the parties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 w:name="page46"/>
    <w:bookmarkEnd w:id="45"/>
    <w:p>
      <w:pPr>
        <w:ind w:left="-60" w:right="60" w:firstLine="1305"/>
        <w:spacing w:after="0" w:line="257" w:lineRule="auto"/>
        <w:tabs>
          <w:tab w:leader="none" w:pos="186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 herein, the Participant’s participation in the Plan shall be subject to any special terms and conditions as set forth in the appendix for the Participant’s country of residence, if any (the “</w:t>
      </w:r>
      <w:r>
        <w:rPr>
          <w:rFonts w:ascii="Arial" w:cs="Arial" w:eastAsia="Arial" w:hAnsi="Arial"/>
          <w:sz w:val="18"/>
          <w:szCs w:val="18"/>
          <w:u w:val="single" w:color="auto"/>
          <w:color w:val="auto"/>
        </w:rPr>
        <w:t>Appendix</w:t>
      </w:r>
      <w:r>
        <w:rPr>
          <w:rFonts w:ascii="Arial" w:cs="Arial" w:eastAsia="Arial" w:hAnsi="Arial"/>
          <w:sz w:val="18"/>
          <w:szCs w:val="18"/>
          <w:color w:val="auto"/>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88" w:lineRule="exact"/>
        <w:rPr>
          <w:rFonts w:ascii="Arial" w:cs="Arial" w:eastAsia="Arial" w:hAnsi="Arial"/>
          <w:sz w:val="18"/>
          <w:szCs w:val="18"/>
          <w:color w:val="auto"/>
        </w:rPr>
      </w:pPr>
    </w:p>
    <w:p>
      <w:pPr>
        <w:ind w:left="-60" w:right="20" w:firstLine="1305"/>
        <w:spacing w:after="0" w:line="259" w:lineRule="auto"/>
        <w:tabs>
          <w:tab w:leader="none" w:pos="186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on the Restricted Stock Units and on any RSU Shares acquired under the Plan, to the extent the Company determines it is necessary or advisable in order to comply with local law or facilitate the administration of the Plan, and to require the Participant to sign any additional agreements or undertakings that may be necessary to accomplish the foregoing.</w:t>
      </w:r>
    </w:p>
    <w:p>
      <w:pPr>
        <w:spacing w:after="0" w:line="187" w:lineRule="exact"/>
        <w:rPr>
          <w:sz w:val="20"/>
          <w:szCs w:val="20"/>
          <w:color w:val="auto"/>
        </w:rPr>
      </w:pPr>
    </w:p>
    <w:p>
      <w:pPr>
        <w:ind w:left="-60" w:firstLine="1305"/>
        <w:spacing w:after="0" w:line="273" w:lineRule="auto"/>
        <w:tabs>
          <w:tab w:leader="none" w:pos="18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For purposes of litigating any dispute that arises directly or indirectly from the relationship of the parties evidenced by the Restricted Stock Units or this Agreement, the parties hereby submit to and consent to the exclusive jurisdiction of the State of New York, and agree that such litigation shall be conducted only in the courts of the State of New York, or the federal courts for the United States for the Southern District of New York, and no other courts, where this grant is made and/or to be performed.</w:t>
      </w:r>
    </w:p>
    <w:p>
      <w:pPr>
        <w:spacing w:after="0" w:line="178" w:lineRule="exact"/>
        <w:rPr>
          <w:sz w:val="20"/>
          <w:szCs w:val="20"/>
          <w:color w:val="auto"/>
        </w:rPr>
      </w:pPr>
    </w:p>
    <w:p>
      <w:pPr>
        <w:ind w:left="-60" w:right="60" w:firstLine="1305"/>
        <w:spacing w:after="0" w:line="277" w:lineRule="auto"/>
        <w:tabs>
          <w:tab w:leader="none" w:pos="186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70" w:lineRule="exact"/>
        <w:rPr>
          <w:rFonts w:ascii="Arial" w:cs="Arial" w:eastAsia="Arial" w:hAnsi="Arial"/>
          <w:sz w:val="18"/>
          <w:szCs w:val="18"/>
          <w:color w:val="auto"/>
        </w:rPr>
      </w:pPr>
    </w:p>
    <w:p>
      <w:pPr>
        <w:ind w:left="-60" w:right="120" w:firstLine="1305"/>
        <w:spacing w:after="0" w:line="277" w:lineRule="auto"/>
        <w:tabs>
          <w:tab w:leader="none" w:pos="186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left="-60" w:right="60" w:firstLine="1305"/>
        <w:spacing w:after="0" w:line="302" w:lineRule="auto"/>
        <w:tabs>
          <w:tab w:leader="none" w:pos="1866"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Signature in Counterparts</w:t>
      </w:r>
      <w:r>
        <w:rPr>
          <w:rFonts w:ascii="Arial" w:cs="Arial" w:eastAsia="Arial" w:hAnsi="Arial"/>
          <w:sz w:val="16"/>
          <w:szCs w:val="16"/>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6"/>
          <w:szCs w:val="16"/>
          <w:b w:val="1"/>
          <w:bCs w:val="1"/>
          <w:color w:val="auto"/>
        </w:rPr>
        <w:t>PLEASE NOTE</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Participant’s designation/election via the current plan</w:t>
      </w:r>
      <w:r>
        <w:rPr>
          <w:rFonts w:ascii="Arial" w:cs="Arial" w:eastAsia="Arial" w:hAnsi="Arial"/>
          <w:sz w:val="16"/>
          <w:szCs w:val="16"/>
          <w:color w:val="auto"/>
        </w:rPr>
        <w:t xml:space="preserve"> </w:t>
      </w:r>
      <w:r>
        <w:rPr>
          <w:rFonts w:ascii="Arial" w:cs="Arial" w:eastAsia="Arial" w:hAnsi="Arial"/>
          <w:sz w:val="16"/>
          <w:szCs w:val="16"/>
          <w:b w:val="1"/>
          <w:bCs w:val="1"/>
          <w:color w:val="auto"/>
        </w:rPr>
        <w:t>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908" w:right="299" w:bottom="1440" w:gutter="0" w:footer="0" w:header="0"/>
        </w:sectPr>
      </w:pPr>
    </w:p>
    <w:bookmarkStart w:id="46" w:name="page47"/>
    <w:bookmarkEnd w:id="46"/>
    <w:p>
      <w:pPr>
        <w:ind w:left="100"/>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25"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u w:val="single" w:color="auto"/>
          <w:color w:val="auto"/>
        </w:rPr>
        <w:t>Exhibit A: Revenue-Based RSUs</w:t>
      </w:r>
    </w:p>
    <w:p>
      <w:pPr>
        <w:spacing w:after="0" w:line="229"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Except as may otherwise be provided herein, the Revenue-Based RSUs shall vest based on the achievement of Company revenues against the aggregate revenue target for the period beginning on [●] and ending on [●], as set forth herein. For purposes of this Exhibit A, “revenue” shall have the meaning given such term in the Board-approved budget for the fiscal year in which the Award is granted.</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 xml:space="preserve">The Company aggregate revenue target for the </w:t>
      </w:r>
      <w:r>
        <w:rPr>
          <w:rFonts w:ascii="Arial" w:cs="Arial" w:eastAsia="Arial" w:hAnsi="Arial"/>
          <w:sz w:val="18"/>
          <w:szCs w:val="18"/>
          <w:b w:val="1"/>
          <w:bCs w:val="1"/>
          <w:color w:val="auto"/>
        </w:rPr>
        <w:t>[YEAR]</w:t>
      </w:r>
      <w:r>
        <w:rPr>
          <w:rFonts w:ascii="Arial" w:cs="Arial" w:eastAsia="Arial" w:hAnsi="Arial"/>
          <w:sz w:val="18"/>
          <w:szCs w:val="18"/>
          <w:color w:val="auto"/>
        </w:rPr>
        <w:t xml:space="preserve"> Revenue-Based PRSUs for the period beginning on [●] and ending on [●] is [●] and the sliding scale used to determine payout achievement is as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[YEAR] </w:t>
            </w:r>
            <w:r>
              <w:rPr>
                <w:rFonts w:ascii="Arial" w:cs="Arial" w:eastAsia="Arial" w:hAnsi="Arial"/>
                <w:sz w:val="18"/>
                <w:szCs w:val="18"/>
                <w:color w:val="auto"/>
              </w:rPr>
              <w:t>PRSU Plan – 3 Year Aggregate Revenue Target Sliding Scale:</w:t>
            </w:r>
          </w:p>
        </w:tc>
        <w:tc>
          <w:tcPr>
            <w:tcW w:w="318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4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Achievement on Revenue</w:t>
            </w:r>
          </w:p>
        </w:tc>
        <w:tc>
          <w:tcPr>
            <w:tcW w:w="318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4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Target of $</w:t>
            </w:r>
            <w:r>
              <w:rPr>
                <w:rFonts w:ascii="Arial" w:cs="Arial" w:eastAsia="Arial" w:hAnsi="Arial"/>
                <w:sz w:val="18"/>
                <w:szCs w:val="18"/>
                <w:color w:val="auto"/>
                <w:w w:val="93"/>
              </w:rPr>
              <w:t>[●]</w:t>
            </w:r>
          </w:p>
        </w:tc>
        <w:tc>
          <w:tcPr>
            <w:tcW w:w="3180" w:type="dxa"/>
            <w:vAlign w:val="bottom"/>
          </w:tcPr>
          <w:p>
            <w:pPr>
              <w:ind w:left="1260"/>
              <w:spacing w:after="0"/>
              <w:rPr>
                <w:sz w:val="20"/>
                <w:szCs w:val="20"/>
                <w:color w:val="auto"/>
              </w:rPr>
            </w:pPr>
            <w:r>
              <w:rPr>
                <w:rFonts w:ascii="Arial" w:cs="Arial" w:eastAsia="Arial" w:hAnsi="Arial"/>
                <w:sz w:val="18"/>
                <w:szCs w:val="18"/>
                <w:b w:val="1"/>
                <w:bCs w:val="1"/>
                <w:color w:val="auto"/>
              </w:rPr>
              <w:t>Funding</w:t>
            </w:r>
          </w:p>
        </w:tc>
      </w:tr>
      <w:tr>
        <w:trPr>
          <w:trHeight w:val="195"/>
        </w:trPr>
        <w:tc>
          <w:tcPr>
            <w:tcW w:w="1300" w:type="dxa"/>
            <w:vAlign w:val="bottom"/>
          </w:tcPr>
          <w:p>
            <w:pPr>
              <w:spacing w:after="0"/>
              <w:rPr>
                <w:sz w:val="16"/>
                <w:szCs w:val="16"/>
                <w:color w:val="auto"/>
              </w:rPr>
            </w:pPr>
          </w:p>
        </w:tc>
        <w:tc>
          <w:tcPr>
            <w:tcW w:w="4400" w:type="dxa"/>
            <w:vAlign w:val="bottom"/>
            <w:tcBorders>
              <w:top w:val="single" w:sz="8" w:color="auto"/>
            </w:tcBorders>
          </w:tcPr>
          <w:p>
            <w:pPr>
              <w:jc w:val="right"/>
              <w:ind w:right="1830"/>
              <w:spacing w:after="0" w:line="195" w:lineRule="exact"/>
              <w:rPr>
                <w:sz w:val="20"/>
                <w:szCs w:val="20"/>
                <w:color w:val="auto"/>
              </w:rPr>
            </w:pPr>
            <w:r>
              <w:rPr>
                <w:rFonts w:ascii="Arial" w:cs="Arial" w:eastAsia="Arial" w:hAnsi="Arial"/>
                <w:sz w:val="18"/>
                <w:szCs w:val="18"/>
                <w:color w:val="auto"/>
              </w:rPr>
              <w:t>[110]%</w:t>
            </w:r>
          </w:p>
        </w:tc>
        <w:tc>
          <w:tcPr>
            <w:tcW w:w="400" w:type="dxa"/>
            <w:vAlign w:val="bottom"/>
          </w:tcPr>
          <w:p>
            <w:pPr>
              <w:spacing w:after="0"/>
              <w:rPr>
                <w:sz w:val="16"/>
                <w:szCs w:val="16"/>
                <w:color w:val="auto"/>
              </w:rPr>
            </w:pPr>
          </w:p>
        </w:tc>
        <w:tc>
          <w:tcPr>
            <w:tcW w:w="3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[200]%</w:t>
            </w:r>
          </w:p>
        </w:tc>
      </w:tr>
      <w:tr>
        <w:trPr>
          <w:trHeight w:val="216"/>
        </w:trPr>
        <w:tc>
          <w:tcPr>
            <w:tcW w:w="1300" w:type="dxa"/>
            <w:vAlign w:val="bottom"/>
          </w:tcPr>
          <w:p>
            <w:pPr>
              <w:spacing w:after="0"/>
              <w:rPr>
                <w:sz w:val="18"/>
                <w:szCs w:val="18"/>
                <w:color w:val="auto"/>
              </w:rPr>
            </w:pPr>
          </w:p>
        </w:tc>
        <w:tc>
          <w:tcPr>
            <w:tcW w:w="48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[98% to 102%]</w:t>
            </w: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[100]%</w:t>
            </w:r>
          </w:p>
        </w:tc>
      </w:tr>
      <w:tr>
        <w:trPr>
          <w:trHeight w:val="230"/>
        </w:trPr>
        <w:tc>
          <w:tcPr>
            <w:tcW w:w="5700" w:type="dxa"/>
            <w:vAlign w:val="bottom"/>
            <w:gridSpan w:val="2"/>
          </w:tcPr>
          <w:p>
            <w:pPr>
              <w:jc w:val="right"/>
              <w:ind w:right="187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the extent the Company’s revenue falls in between [90% and 98%], the percentage of Revenue-Based RSUS earned will be determined based on straight line interpolation calculated using a revenue target range between [90% and 100%] and a funding range between [0% and 100%]. For example, if [95]% of the revenue target is achieved, [50]% of the Revenue-Based RSUs will be earned. To the extent the Company’s revenue falls in between [102% and 110%], the percentage of Revenue-Based RSUS earned will be determined based on straight line interpolation calculated using a revenue target range between [100]% and [110]% and a funding range between [100% and 200%]. For example, if [105]% of the revenue target is achieved, [150]% of the Revenue-Based RSUs will be earned.</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Exhibit B: TSR-Based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has designated the following peer group of public companies in the Company’s 8-digit Global Industry Classification Standard sub-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industry group (the “</w:t>
      </w:r>
      <w:r>
        <w:rPr>
          <w:rFonts w:ascii="Arial" w:cs="Arial" w:eastAsia="Arial" w:hAnsi="Arial"/>
          <w:sz w:val="18"/>
          <w:szCs w:val="18"/>
          <w:u w:val="single" w:color="auto"/>
          <w:color w:val="auto"/>
        </w:rPr>
        <w:t>Peer Group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518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 xml:space="preserve">Company (n = 53) </w:t>
            </w:r>
            <w:r>
              <w:rPr>
                <w:rFonts w:ascii="Arial" w:cs="Arial" w:eastAsia="Arial" w:hAnsi="Arial"/>
                <w:sz w:val="30"/>
                <w:szCs w:val="30"/>
                <w:b w:val="1"/>
                <w:bCs w:val="1"/>
                <w:color w:val="auto"/>
                <w:vertAlign w:val="superscript"/>
              </w:rPr>
              <w:t>(1)</w:t>
            </w:r>
          </w:p>
        </w:tc>
        <w:tc>
          <w:tcPr>
            <w:tcW w:w="6220" w:type="dxa"/>
            <w:vAlign w:val="bottom"/>
            <w:vMerge w:val="restart"/>
          </w:tcPr>
          <w:p>
            <w:pPr>
              <w:ind w:left="400"/>
              <w:spacing w:after="0"/>
              <w:rPr>
                <w:sz w:val="20"/>
                <w:szCs w:val="20"/>
                <w:color w:val="auto"/>
              </w:rPr>
            </w:pPr>
            <w:r>
              <w:rPr>
                <w:rFonts w:ascii="Arial" w:cs="Arial" w:eastAsia="Arial" w:hAnsi="Arial"/>
                <w:sz w:val="18"/>
                <w:szCs w:val="18"/>
                <w:color w:val="auto"/>
              </w:rPr>
              <w:t>NasdaqGM:ALJJ</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ALJ Regional Holdings, Inc.</w:t>
            </w:r>
          </w:p>
        </w:tc>
        <w:tc>
          <w:tcPr>
            <w:tcW w:w="6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Alliance Data Systems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NYSE:ADS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Automatic Data Processing,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NasdaqGS:ADP</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Black Knight,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NYSE:BKI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Blackhawk Network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NasdaqGS:HAWK</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Broadridge Financial Solutions,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NYSE:BR</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Cardtronics plc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NasdaqGS:CATM</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Cass Information Systems,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NasdaqGS:CASS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Conduent Incorporated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NYSE:CNDT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Convergys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NYSE:CVG</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CoreLogic,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NYSE:CLGX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CSG Systems International,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NasdaqGS:CSGS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DST Systems,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NYSE:DST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Euronet Worldwide,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NasdaqGS:EEFT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Everi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NYSE:EVRI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EVERTEC,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NYSE:EVTC</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Exela Technologies,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NasdaqCM:XELA</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Fidelity National Information Services,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NYSE:FIS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First Data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NYSE:FDC</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Fiserv,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NasdaqGS:FISV</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FleetCor Technologies,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NYSE:FLT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GDS Holdings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NasdaqGM:GDS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Genpact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NYSE:G</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Global Payments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NYSE:GPN</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Information Services Group,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NasdaqGM:III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Innodata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NasdaqGM:INOD</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Ituran Location and Control Ltd.</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NasdaqGS:ITRN</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Jack Henry &amp; Associates,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NasdaqGS:JKHY</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JetPay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NasdaqCM:JTPY</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Mastercard Incorporated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NYSE:MA</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MAXIMUS,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NYSE:MMS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MoneyGram International,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NasdaqGS:MGI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Net 1 UEPS Technologies,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NasdaqGS:UEPS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PagSeguro Digital Ltd.</w:t>
            </w:r>
          </w:p>
        </w:tc>
        <w:tc>
          <w:tcPr>
            <w:tcW w:w="6220" w:type="dxa"/>
            <w:vAlign w:val="bottom"/>
          </w:tcPr>
          <w:p>
            <w:pPr>
              <w:ind w:left="400"/>
              <w:spacing w:after="0"/>
              <w:rPr>
                <w:sz w:val="20"/>
                <w:szCs w:val="20"/>
                <w:color w:val="auto"/>
              </w:rPr>
            </w:pPr>
            <w:r>
              <w:rPr>
                <w:rFonts w:ascii="Arial" w:cs="Arial" w:eastAsia="Arial" w:hAnsi="Arial"/>
                <w:sz w:val="18"/>
                <w:szCs w:val="18"/>
                <w:color w:val="auto"/>
              </w:rPr>
              <w:t>NYSE:PAGS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Paychex,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NasdaqGS:PAYX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Payment Data Systems,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NasdaqCM:PYDS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PayPal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NasdaqGS:PYPL</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PRGX Global,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NasdaqGS:PRGX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Qiwi plc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NasdaqGS:QIWI</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Sabre Corporation</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NasdaqGS:SABR</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Square,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NYSE:SQ</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StarTek,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NYSE:SRT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Steel Connect,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NasdaqGS:STCN</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Sykes Enterprises, Incorporated</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NasdaqGS:SYKE</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Syntel,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NasdaqGS:SYNT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The Western Union Company</w:t>
            </w:r>
          </w:p>
        </w:tc>
        <w:tc>
          <w:tcPr>
            <w:tcW w:w="6220" w:type="dxa"/>
            <w:vAlign w:val="bottom"/>
          </w:tcPr>
          <w:p>
            <w:pPr>
              <w:ind w:left="400"/>
              <w:spacing w:after="0"/>
              <w:rPr>
                <w:sz w:val="20"/>
                <w:szCs w:val="20"/>
                <w:color w:val="auto"/>
              </w:rPr>
            </w:pPr>
            <w:r>
              <w:rPr>
                <w:rFonts w:ascii="Arial" w:cs="Arial" w:eastAsia="Arial" w:hAnsi="Arial"/>
                <w:sz w:val="18"/>
                <w:szCs w:val="18"/>
                <w:color w:val="auto"/>
              </w:rPr>
              <w:t>NYSE:WU</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Total System Services,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NYSE:TSS</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Travelport Worldwide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NYSE:TVPT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TTEC Holdings, Inc.</w:t>
            </w:r>
          </w:p>
        </w:tc>
        <w:tc>
          <w:tcPr>
            <w:tcW w:w="6220" w:type="dxa"/>
            <w:vAlign w:val="bottom"/>
          </w:tcPr>
          <w:p>
            <w:pPr>
              <w:ind w:left="400"/>
              <w:spacing w:after="0"/>
              <w:rPr>
                <w:sz w:val="20"/>
                <w:szCs w:val="20"/>
                <w:color w:val="auto"/>
              </w:rPr>
            </w:pPr>
            <w:r>
              <w:rPr>
                <w:rFonts w:ascii="Arial" w:cs="Arial" w:eastAsia="Arial" w:hAnsi="Arial"/>
                <w:sz w:val="18"/>
                <w:szCs w:val="18"/>
                <w:color w:val="auto"/>
              </w:rPr>
              <w:t>NasdaqGS:TTEC</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Visa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NYSE:V</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WEX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NYSE:WEX</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WNS (Holdings) Limited</w:t>
            </w:r>
          </w:p>
        </w:tc>
        <w:tc>
          <w:tcPr>
            <w:tcW w:w="6220" w:type="dxa"/>
            <w:vAlign w:val="bottom"/>
          </w:tcPr>
          <w:p>
            <w:pPr>
              <w:ind w:left="400"/>
              <w:spacing w:after="0"/>
              <w:rPr>
                <w:sz w:val="20"/>
                <w:szCs w:val="20"/>
                <w:color w:val="auto"/>
              </w:rPr>
            </w:pPr>
            <w:r>
              <w:rPr>
                <w:rFonts w:ascii="Arial" w:cs="Arial" w:eastAsia="Arial" w:hAnsi="Arial"/>
                <w:sz w:val="18"/>
                <w:szCs w:val="18"/>
                <w:color w:val="auto"/>
              </w:rPr>
              <w:t>NYSE:WNS</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Worldpay, Inc.</w:t>
            </w:r>
          </w:p>
        </w:tc>
        <w:tc>
          <w:tcPr>
            <w:tcW w:w="6220" w:type="dxa"/>
            <w:vAlign w:val="bottom"/>
          </w:tcPr>
          <w:p>
            <w:pPr>
              <w:ind w:left="400"/>
              <w:spacing w:after="0"/>
              <w:rPr>
                <w:sz w:val="20"/>
                <w:szCs w:val="20"/>
                <w:color w:val="auto"/>
              </w:rPr>
            </w:pPr>
            <w:r>
              <w:rPr>
                <w:rFonts w:ascii="Arial" w:cs="Arial" w:eastAsia="Arial" w:hAnsi="Arial"/>
                <w:sz w:val="18"/>
                <w:szCs w:val="18"/>
                <w:color w:val="auto"/>
              </w:rPr>
              <w:t>NYSE:WP</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w:t>
            </w: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ind w:right="20" w:firstLine="648"/>
        <w:spacing w:after="0" w:line="257" w:lineRule="auto"/>
        <w:rPr>
          <w:sz w:val="20"/>
          <w:szCs w:val="20"/>
          <w:color w:val="auto"/>
        </w:rPr>
      </w:pPr>
      <w:r>
        <w:rPr>
          <w:rFonts w:ascii="Arial" w:cs="Arial" w:eastAsia="Arial" w:hAnsi="Arial"/>
          <w:sz w:val="18"/>
          <w:szCs w:val="18"/>
          <w:color w:val="auto"/>
        </w:rPr>
        <w:t>The Company’s TSR for the TSR Performance Period will be computed and then compared to the TSR of the companies in the Peer Group. A participant shall earn [200%, 150%, 100%, 50% or 0%] of the TSR-Based RSUs, as applicable, if the Company’s TSR for the Performance Period equals or exceeds the [80th, 65th, 50th, 35th or 20th ]percentile, respectively, of the Peer Group, when ranked by TSR for the TSR Performance Period. The percentage of TSR-Based RSUs earned will be determined based on straight-line interpolation to the extent the Company’s TSR falls in between the [20th and 80th] percentiles, as per the chart below:</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Target TSR Percentile</w:t>
            </w:r>
          </w:p>
        </w:tc>
        <w:tc>
          <w:tcPr>
            <w:tcW w:w="3180" w:type="dxa"/>
            <w:vAlign w:val="bottom"/>
          </w:tcPr>
          <w:p>
            <w:pPr>
              <w:ind w:left="1260"/>
              <w:spacing w:after="0"/>
              <w:rPr>
                <w:sz w:val="20"/>
                <w:szCs w:val="20"/>
                <w:color w:val="auto"/>
              </w:rPr>
            </w:pPr>
            <w:r>
              <w:rPr>
                <w:rFonts w:ascii="Arial" w:cs="Arial" w:eastAsia="Arial" w:hAnsi="Arial"/>
                <w:sz w:val="18"/>
                <w:szCs w:val="18"/>
                <w:b w:val="1"/>
                <w:bCs w:val="1"/>
                <w:color w:val="auto"/>
              </w:rPr>
              <w:t>Funding</w:t>
            </w:r>
          </w:p>
        </w:tc>
      </w:tr>
      <w:tr>
        <w:trPr>
          <w:trHeight w:val="195"/>
        </w:trPr>
        <w:tc>
          <w:tcPr>
            <w:tcW w:w="4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[80.0]</w:t>
            </w:r>
          </w:p>
        </w:tc>
        <w:tc>
          <w:tcPr>
            <w:tcW w:w="400" w:type="dxa"/>
            <w:vAlign w:val="bottom"/>
          </w:tcPr>
          <w:p>
            <w:pPr>
              <w:spacing w:after="0"/>
              <w:rPr>
                <w:sz w:val="16"/>
                <w:szCs w:val="16"/>
                <w:color w:val="auto"/>
              </w:rPr>
            </w:pPr>
          </w:p>
        </w:tc>
        <w:tc>
          <w:tcPr>
            <w:tcW w:w="3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[200]%</w:t>
            </w: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7"/>
              </w:rPr>
              <w:t>[65.0]</w:t>
            </w:r>
          </w:p>
        </w:tc>
        <w:tc>
          <w:tcPr>
            <w:tcW w:w="4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[150]%</w:t>
            </w: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7"/>
              </w:rPr>
              <w:t>[50.0]</w:t>
            </w:r>
          </w:p>
        </w:tc>
        <w:tc>
          <w:tcPr>
            <w:tcW w:w="4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[100]%</w:t>
            </w: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7"/>
              </w:rPr>
              <w:t>[35.0]</w:t>
            </w:r>
          </w:p>
        </w:tc>
        <w:tc>
          <w:tcPr>
            <w:tcW w:w="4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4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Notwithstanding the foregoing, if the Company’s TSR for the TSR Performance Period is negative, the maximum percentage of TSR-Based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Companies in the Peer Group that are not publicly traded on the last day of the TSR Performance Period shall not be taken into account for TSR purposes (except that any such company that goes bankrupt will be deemed to have a negative 100% TSR).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Restricted Stock Unit Agreement [For Directors]</w:t>
      </w:r>
    </w:p>
    <w:p>
      <w:pPr>
        <w:spacing w:after="0" w:line="225" w:lineRule="exact"/>
        <w:rPr>
          <w:sz w:val="20"/>
          <w:szCs w:val="20"/>
          <w:color w:val="auto"/>
        </w:rPr>
      </w:pPr>
    </w:p>
    <w:p>
      <w:pPr>
        <w:jc w:val="both"/>
        <w:ind w:right="200" w:firstLine="1297"/>
        <w:spacing w:after="0" w:line="347" w:lineRule="auto"/>
        <w:rPr>
          <w:sz w:val="20"/>
          <w:szCs w:val="20"/>
          <w:color w:val="auto"/>
        </w:rPr>
      </w:pPr>
      <w:r>
        <w:rPr>
          <w:rFonts w:ascii="Arial" w:cs="Arial" w:eastAsia="Arial" w:hAnsi="Arial"/>
          <w:sz w:val="16"/>
          <w:szCs w:val="16"/>
          <w:color w:val="auto"/>
        </w:rPr>
        <w:t>THIS RESTRICTED STOCK UNIT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effective as of the </w:t>
      </w:r>
      <w:r>
        <w:rPr>
          <w:rFonts w:ascii="Arial" w:cs="Arial" w:eastAsia="Arial" w:hAnsi="Arial"/>
          <w:sz w:val="16"/>
          <w:szCs w:val="16"/>
          <w:b w:val="1"/>
          <w:bCs w:val="1"/>
          <w:color w:val="auto"/>
        </w:rPr>
        <w:t>[INSERT GRANT DATE]</w:t>
      </w:r>
      <w:r>
        <w:rPr>
          <w:rFonts w:ascii="Arial" w:cs="Arial" w:eastAsia="Arial" w:hAnsi="Arial"/>
          <w:sz w:val="16"/>
          <w:szCs w:val="16"/>
          <w:color w:val="auto"/>
        </w:rPr>
        <w:t xml:space="preserve"> (hereinafter the “</w:t>
      </w:r>
      <w:r>
        <w:rPr>
          <w:rFonts w:ascii="Arial" w:cs="Arial" w:eastAsia="Arial" w:hAnsi="Arial"/>
          <w:sz w:val="16"/>
          <w:szCs w:val="16"/>
          <w:u w:val="single" w:color="auto"/>
          <w:color w:val="auto"/>
        </w:rPr>
        <w:t>Date of Grant</w:t>
      </w:r>
      <w:r>
        <w:rPr>
          <w:rFonts w:ascii="Arial" w:cs="Arial" w:eastAsia="Arial" w:hAnsi="Arial"/>
          <w:sz w:val="16"/>
          <w:szCs w:val="16"/>
          <w:color w:val="auto"/>
        </w:rPr>
        <w:t>”), between ExlService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w:t>
      </w:r>
      <w:r>
        <w:rPr>
          <w:rFonts w:ascii="Arial" w:cs="Arial" w:eastAsia="Arial" w:hAnsi="Arial"/>
          <w:sz w:val="16"/>
          <w:szCs w:val="16"/>
          <w:b w:val="1"/>
          <w:bCs w:val="1"/>
          <w:color w:val="auto"/>
        </w:rPr>
        <w:t>[INSERT NAME]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Participant</w:t>
      </w:r>
      <w:r>
        <w:rPr>
          <w:rFonts w:ascii="Arial" w:cs="Arial" w:eastAsia="Arial" w:hAnsi="Arial"/>
          <w:sz w:val="16"/>
          <w:szCs w:val="16"/>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WHEREAS, the Company has adopted the ExlService Holdings, Inc. 2018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0" w:lineRule="exact"/>
        <w:rPr>
          <w:sz w:val="20"/>
          <w:szCs w:val="20"/>
          <w:color w:val="auto"/>
        </w:rPr>
      </w:pPr>
    </w:p>
    <w:p>
      <w:pPr>
        <w:ind w:right="380" w:firstLine="1297"/>
        <w:spacing w:after="0" w:line="308"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in the best interests of the Company and its stockholders to grant to the Participant an award of Restricted Stock Units as provided herein and subject to the terms set forth herein.</w:t>
      </w:r>
    </w:p>
    <w:p>
      <w:pPr>
        <w:spacing w:after="0" w:line="147"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7" w:lineRule="exact"/>
        <w:rPr>
          <w:sz w:val="20"/>
          <w:szCs w:val="20"/>
          <w:color w:val="auto"/>
        </w:rPr>
      </w:pPr>
    </w:p>
    <w:p>
      <w:pPr>
        <w:ind w:right="100" w:firstLine="1305"/>
        <w:spacing w:after="0" w:line="277" w:lineRule="auto"/>
        <w:tabs>
          <w:tab w:leader="none" w:pos="1926"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xml:space="preserve">. The Company hereby grants on the Date of Grant, to the Participant a total of </w:t>
      </w:r>
      <w:r>
        <w:rPr>
          <w:rFonts w:ascii="Arial" w:cs="Arial" w:eastAsia="Arial" w:hAnsi="Arial"/>
          <w:sz w:val="17"/>
          <w:szCs w:val="17"/>
          <w:b w:val="1"/>
          <w:bCs w:val="1"/>
          <w:color w:val="FF0000"/>
        </w:rPr>
        <w:t>[INSERT #</w:t>
      </w:r>
      <w:r>
        <w:rPr>
          <w:rFonts w:ascii="Arial" w:cs="Arial" w:eastAsia="Arial" w:hAnsi="Arial"/>
          <w:sz w:val="17"/>
          <w:szCs w:val="17"/>
          <w:color w:val="auto"/>
        </w:rPr>
        <w:t xml:space="preserve"> </w:t>
      </w:r>
      <w:r>
        <w:rPr>
          <w:rFonts w:ascii="Arial" w:cs="Arial" w:eastAsia="Arial" w:hAnsi="Arial"/>
          <w:sz w:val="17"/>
          <w:szCs w:val="17"/>
          <w:b w:val="1"/>
          <w:bCs w:val="1"/>
          <w:color w:val="FF0000"/>
        </w:rPr>
        <w:t xml:space="preserve">DETERMINED BY DIVIDING [110,000] BY (INSERT DATE) CLOSING PRICE] </w:t>
      </w:r>
      <w:r>
        <w:rPr>
          <w:rFonts w:ascii="Arial" w:cs="Arial" w:eastAsia="Arial" w:hAnsi="Arial"/>
          <w:sz w:val="17"/>
          <w:szCs w:val="17"/>
          <w:color w:val="000000"/>
        </w:rPr>
        <w:t>Restricted Stock Units on the terms and conditions set forth in this</w:t>
      </w:r>
      <w:r>
        <w:rPr>
          <w:rFonts w:ascii="Arial" w:cs="Arial" w:eastAsia="Arial" w:hAnsi="Arial"/>
          <w:sz w:val="17"/>
          <w:szCs w:val="17"/>
          <w:b w:val="1"/>
          <w:bCs w:val="1"/>
          <w:color w:val="FF0000"/>
        </w:rPr>
        <w:t xml:space="preserve"> </w:t>
      </w:r>
      <w:r>
        <w:rPr>
          <w:rFonts w:ascii="Arial" w:cs="Arial" w:eastAsia="Arial" w:hAnsi="Arial"/>
          <w:sz w:val="17"/>
          <w:szCs w:val="17"/>
          <w:color w:val="000000"/>
        </w:rPr>
        <w:t>Agreement and as otherwise provided in the Plan. Such Restricted Stock Units shall be credited to a separate account maintained for the Participant on the books of the Company (the “</w:t>
      </w:r>
      <w:r>
        <w:rPr>
          <w:rFonts w:ascii="Arial" w:cs="Arial" w:eastAsia="Arial" w:hAnsi="Arial"/>
          <w:sz w:val="17"/>
          <w:szCs w:val="17"/>
          <w:u w:val="single" w:color="auto"/>
          <w:color w:val="000000"/>
        </w:rPr>
        <w:t>Account</w:t>
      </w:r>
      <w:r>
        <w:rPr>
          <w:rFonts w:ascii="Arial" w:cs="Arial" w:eastAsia="Arial" w:hAnsi="Arial"/>
          <w:sz w:val="17"/>
          <w:szCs w:val="17"/>
          <w:color w:val="000000"/>
        </w:rPr>
        <w:t>”). On any given date, the value of each Restricted Stock Unit credited to the Account shall equal the Fair Market Value of one share of Common Stock. The Restricted Stock Units shall vest and settle in accordance with Section 3 hereof.</w:t>
      </w:r>
    </w:p>
    <w:p>
      <w:pPr>
        <w:spacing w:after="0" w:line="172" w:lineRule="exact"/>
        <w:rPr>
          <w:rFonts w:ascii="Arial" w:cs="Arial" w:eastAsia="Arial" w:hAnsi="Arial"/>
          <w:sz w:val="17"/>
          <w:szCs w:val="17"/>
          <w:color w:val="auto"/>
        </w:rPr>
      </w:pPr>
    </w:p>
    <w:p>
      <w:pPr>
        <w:ind w:right="60" w:firstLine="1305"/>
        <w:spacing w:after="0" w:line="257" w:lineRule="auto"/>
        <w:tabs>
          <w:tab w:leader="none" w:pos="192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Board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p>
      <w:pPr>
        <w:ind w:left="1932" w:hanging="635"/>
        <w:spacing w:after="0"/>
        <w:tabs>
          <w:tab w:leader="none" w:pos="193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953"/>
        <w:spacing w:after="0" w:line="291" w:lineRule="auto"/>
        <w:tabs>
          <w:tab w:leader="none" w:pos="2587" w:val="left"/>
        </w:tabs>
        <w:numPr>
          <w:ilvl w:val="2"/>
          <w:numId w:val="80"/>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Except as otherwise provided in the Plan and this Agreement, and contingent upon the Participant’s continued service to the Company, one hundred percent (100%) of the Restricted Stock Units credited to the Account shall vest and become non-forfeitable the earlier of</w:t>
      </w:r>
    </w:p>
    <w:p>
      <w:pPr>
        <w:ind w:left="-8" w:right="680" w:firstLine="8"/>
        <w:spacing w:after="0" w:line="261" w:lineRule="auto"/>
        <w:tabs>
          <w:tab w:leader="none" w:pos="2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[first] anniversary of the Date of Grant, (B) the date on which the Participant’s term as a member of the Board expires if the Participant is not subsequently elected to a new term on the Board and (C) a Change in Control (the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 w:firstLine="1953"/>
        <w:spacing w:after="0" w:line="269" w:lineRule="auto"/>
        <w:tabs>
          <w:tab w:leader="none" w:pos="2597" w:val="left"/>
        </w:tabs>
        <w:numPr>
          <w:ilvl w:val="2"/>
          <w:numId w:val="81"/>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Upon the “Settlement Date” (as defined below), each vested Restricted Stock Unit credited to the Account will be settled (and, upon such settlement, shall cease to be credited to the Account) by the Company (i) issuing to the Participant one share of Common Stock for each whole Restricted Stock Unit credited to the Account (such shares, the “</w:t>
      </w:r>
      <w:r>
        <w:rPr>
          <w:rFonts w:ascii="Arial" w:cs="Arial" w:eastAsia="Arial" w:hAnsi="Arial"/>
          <w:sz w:val="17"/>
          <w:szCs w:val="17"/>
          <w:u w:val="single" w:color="auto"/>
          <w:color w:val="auto"/>
        </w:rPr>
        <w:t>RSU Shares</w:t>
      </w:r>
      <w:r>
        <w:rPr>
          <w:rFonts w:ascii="Arial" w:cs="Arial" w:eastAsia="Arial" w:hAnsi="Arial"/>
          <w:sz w:val="17"/>
          <w:szCs w:val="17"/>
          <w:color w:val="auto"/>
        </w:rPr>
        <w:t>”) and making a cash payment to the Participant equal to the Fair Market Value of any fractional Restricted Stock Units credited to the Account and (ii) with respect to the RSU Shares so issued, entering the Participant’s name as a stockholder of record on the books of the Company. For purposes of this Agreement, “</w:t>
      </w:r>
      <w:r>
        <w:rPr>
          <w:rFonts w:ascii="Arial" w:cs="Arial" w:eastAsia="Arial" w:hAnsi="Arial"/>
          <w:sz w:val="17"/>
          <w:szCs w:val="17"/>
          <w:u w:val="single" w:color="auto"/>
          <w:color w:val="auto"/>
        </w:rPr>
        <w:t>Settlement Date</w:t>
      </w:r>
      <w:r>
        <w:rPr>
          <w:rFonts w:ascii="Arial" w:cs="Arial" w:eastAsia="Arial" w:hAnsi="Arial"/>
          <w:sz w:val="17"/>
          <w:szCs w:val="17"/>
          <w:color w:val="auto"/>
        </w:rPr>
        <w:t xml:space="preserve">” shall mean the earliest of (i) the Participant’s death, (ii) a Change in Control, or (iii) </w:t>
      </w:r>
      <w:r>
        <w:rPr>
          <w:rFonts w:ascii="Arial" w:cs="Arial" w:eastAsia="Arial" w:hAnsi="Arial"/>
          <w:sz w:val="17"/>
          <w:szCs w:val="17"/>
          <w:b w:val="1"/>
          <w:bCs w:val="1"/>
          <w:color w:val="auto"/>
        </w:rPr>
        <w:t>[SELECT VESTING OPTION] [</w:t>
      </w:r>
      <w:r>
        <w:rPr>
          <w:rFonts w:ascii="Arial" w:cs="Arial" w:eastAsia="Arial" w:hAnsi="Arial"/>
          <w:sz w:val="17"/>
          <w:szCs w:val="17"/>
          <w:color w:val="auto"/>
        </w:rPr>
        <w:t>the Vesting Date</w:t>
      </w:r>
      <w:r>
        <w:rPr>
          <w:rFonts w:ascii="Arial" w:cs="Arial" w:eastAsia="Arial" w:hAnsi="Arial"/>
          <w:sz w:val="17"/>
          <w:szCs w:val="17"/>
          <w:b w:val="1"/>
          <w:bCs w:val="1"/>
          <w:color w:val="auto"/>
        </w:rPr>
        <w:t>] [</w:t>
      </w:r>
      <w:r>
        <w:rPr>
          <w:rFonts w:ascii="Arial" w:cs="Arial" w:eastAsia="Arial" w:hAnsi="Arial"/>
          <w:sz w:val="17"/>
          <w:szCs w:val="17"/>
          <w:color w:val="auto"/>
        </w:rPr>
        <w:t>the date that is 180 days following the date on which the Participant ceases to serve as a member of the Board for any reason other than due to his death or, if later, the date of the Participant’s “separation from service” (as defined in Section 409A of the Code and any Treasury Regulations promulgated thereunder)</w:t>
      </w:r>
      <w:r>
        <w:rPr>
          <w:rFonts w:ascii="Arial" w:cs="Arial" w:eastAsia="Arial" w:hAnsi="Arial"/>
          <w:sz w:val="17"/>
          <w:szCs w:val="17"/>
          <w:b w:val="1"/>
          <w:bCs w:val="1"/>
          <w:color w:val="auto"/>
        </w:rPr>
        <w:t>]</w:t>
      </w:r>
      <w:r>
        <w:rPr>
          <w:rFonts w:ascii="Arial" w:cs="Arial" w:eastAsia="Arial" w:hAnsi="Arial"/>
          <w:sz w:val="17"/>
          <w:szCs w:val="17"/>
          <w:color w:val="auto"/>
        </w:rPr>
        <w:t>. Notwithstanding anything to the contrary in this Section 3, a Change of Control hereunder shall not be a distribution event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182" w:lineRule="exact"/>
        <w:rPr>
          <w:rFonts w:ascii="Arial" w:cs="Arial" w:eastAsia="Arial" w:hAnsi="Arial"/>
          <w:sz w:val="17"/>
          <w:szCs w:val="17"/>
          <w:color w:val="auto"/>
        </w:rPr>
      </w:pPr>
    </w:p>
    <w:p>
      <w:pPr>
        <w:ind w:left="-8" w:right="140" w:firstLine="1953"/>
        <w:spacing w:after="0" w:line="259" w:lineRule="auto"/>
        <w:tabs>
          <w:tab w:leader="none" w:pos="2587"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Restricted Stock Units granted hereunder may not be sold, pledged or otherwise transferred (other than by will or the laws of decent and distribution) and may not be subject to lien, garnishment, attachment or other legal process. The Participant acknowledges and agrees that, with respect to the Restricted Stock Units credited to his Account, he has no voting rights with respect to the Company unless and until such Restricted Stock Units are settled in RSU Shares pursuant to Section 3(b) hereof.</w:t>
      </w:r>
    </w:p>
    <w:p>
      <w:pPr>
        <w:spacing w:after="0" w:line="186" w:lineRule="exact"/>
        <w:rPr>
          <w:rFonts w:ascii="Arial" w:cs="Arial" w:eastAsia="Arial" w:hAnsi="Arial"/>
          <w:sz w:val="18"/>
          <w:szCs w:val="18"/>
          <w:color w:val="auto"/>
        </w:rPr>
      </w:pPr>
    </w:p>
    <w:p>
      <w:pPr>
        <w:ind w:left="2612" w:hanging="667"/>
        <w:spacing w:after="0"/>
        <w:tabs>
          <w:tab w:leader="none" w:pos="2612"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40" w:firstLine="2601"/>
        <w:spacing w:after="0" w:line="264" w:lineRule="auto"/>
        <w:tabs>
          <w:tab w:leader="none" w:pos="3205" w:val="left"/>
        </w:tabs>
        <w:numPr>
          <w:ilvl w:val="3"/>
          <w:numId w:val="81"/>
        </w:numPr>
        <w:rPr>
          <w:rFonts w:ascii="Arial" w:cs="Arial" w:eastAsia="Arial" w:hAnsi="Arial"/>
          <w:sz w:val="18"/>
          <w:szCs w:val="18"/>
          <w:color w:val="auto"/>
        </w:rPr>
      </w:pPr>
      <w:r>
        <w:rPr>
          <w:rFonts w:ascii="Arial" w:cs="Arial" w:eastAsia="Arial" w:hAnsi="Arial"/>
          <w:sz w:val="18"/>
          <w:szCs w:val="18"/>
          <w:color w:val="auto"/>
        </w:rPr>
        <w:t>Except as otherwise provided in subsection (ii) of this Section 3(d) or the Plan, if the Participant’s service with the Company terminates prior to the Vesting Date for any reason, the Restricted Stock Units credited to the Account shall be forfeited without further consideration to the Participant.</w:t>
      </w:r>
    </w:p>
    <w:p>
      <w:pPr>
        <w:spacing w:after="0" w:line="181" w:lineRule="exact"/>
        <w:rPr>
          <w:rFonts w:ascii="Arial" w:cs="Arial" w:eastAsia="Arial" w:hAnsi="Arial"/>
          <w:sz w:val="18"/>
          <w:szCs w:val="18"/>
          <w:color w:val="auto"/>
        </w:rPr>
      </w:pPr>
    </w:p>
    <w:p>
      <w:pPr>
        <w:ind w:left="-8" w:right="500" w:firstLine="2601"/>
        <w:spacing w:after="0" w:line="308" w:lineRule="auto"/>
        <w:tabs>
          <w:tab w:leader="none" w:pos="3210" w:val="left"/>
        </w:tabs>
        <w:numPr>
          <w:ilvl w:val="3"/>
          <w:numId w:val="81"/>
        </w:numPr>
        <w:rPr>
          <w:rFonts w:ascii="Arial" w:cs="Arial" w:eastAsia="Arial" w:hAnsi="Arial"/>
          <w:sz w:val="17"/>
          <w:szCs w:val="17"/>
          <w:color w:val="auto"/>
        </w:rPr>
      </w:pPr>
      <w:r>
        <w:rPr>
          <w:rFonts w:ascii="Arial" w:cs="Arial" w:eastAsia="Arial" w:hAnsi="Arial"/>
          <w:sz w:val="17"/>
          <w:szCs w:val="17"/>
          <w:color w:val="auto"/>
        </w:rPr>
        <w:t>Upon the termination of Participant’s service with the Company due to his death or the end of his term as a member of the Board, the Restricted Stock Units credited to the Account shall become one hundred (100%) vested and non-forfeitable.</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2" w:name="page53"/>
    <w:bookmarkEnd w:id="52"/>
    <w:p>
      <w:pPr>
        <w:ind w:left="-20" w:firstLine="1953"/>
        <w:spacing w:after="0" w:line="255" w:lineRule="auto"/>
        <w:tabs>
          <w:tab w:leader="none" w:pos="257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If on any date the Company pays any dividend with respect to its Common Stock (the “</w:t>
      </w:r>
      <w:r>
        <w:rPr>
          <w:rFonts w:ascii="Arial" w:cs="Arial" w:eastAsia="Arial" w:hAnsi="Arial"/>
          <w:sz w:val="18"/>
          <w:szCs w:val="18"/>
          <w:u w:val="single" w:color="auto"/>
          <w:color w:val="auto"/>
        </w:rPr>
        <w:t>Payment Date</w:t>
      </w:r>
      <w:r>
        <w:rPr>
          <w:rFonts w:ascii="Arial" w:cs="Arial" w:eastAsia="Arial" w:hAnsi="Arial"/>
          <w:sz w:val="18"/>
          <w:szCs w:val="18"/>
          <w:color w:val="auto"/>
        </w:rPr>
        <w:t>”), then the number of Restricted Stock Units credited to the Account shall on the Payment Date be increased by that number of Restricted Stock Units equal to: (i) the product of (x) the number of Restricted Stock Units in the Account as of the Payment Date and (y) the per share cash amount of such dividend (or, in the case of a dividend payable in shares of Common Stock or in property other than cash, the per share equivalent cash value of such dividend, as determined in good faith by the Board), divided by (ii) the Fair Market Value of a share of Common Stock on the Payment Date. Each additional Restricted Stock Unit, or fraction thereof, credited to the Account in accordance with this Section 3(e) shall vest and be settled at the same time as the original Restricted Stock Units to which they are attributable.</w:t>
      </w:r>
    </w:p>
    <w:p>
      <w:pPr>
        <w:spacing w:after="0" w:line="189" w:lineRule="exact"/>
        <w:rPr>
          <w:rFonts w:ascii="Arial" w:cs="Arial" w:eastAsia="Arial" w:hAnsi="Arial"/>
          <w:sz w:val="18"/>
          <w:szCs w:val="18"/>
          <w:color w:val="auto"/>
        </w:rPr>
      </w:pPr>
    </w:p>
    <w:p>
      <w:pPr>
        <w:ind w:left="-20" w:right="60" w:firstLine="1953"/>
        <w:spacing w:after="0" w:line="264" w:lineRule="auto"/>
        <w:tabs>
          <w:tab w:leader="none" w:pos="255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Upon the settlement of the Restricted Stock Units in accordance with Section 3(b) hereof, the Participant shall recognize taxable income in respect of the Restricted Stock Units and the Company shall report such taxable income to the appropriate taxing authorities as it determines to be necessary and appropriate.</w:t>
      </w:r>
    </w:p>
    <w:p>
      <w:pPr>
        <w:spacing w:after="0" w:line="181" w:lineRule="exact"/>
        <w:rPr>
          <w:rFonts w:ascii="Arial" w:cs="Arial" w:eastAsia="Arial" w:hAnsi="Arial"/>
          <w:sz w:val="18"/>
          <w:szCs w:val="18"/>
          <w:color w:val="auto"/>
        </w:rPr>
      </w:pPr>
    </w:p>
    <w:p>
      <w:pPr>
        <w:ind w:left="-20" w:right="20" w:firstLine="1953"/>
        <w:spacing w:after="0" w:line="259" w:lineRule="auto"/>
        <w:tabs>
          <w:tab w:leader="none" w:pos="258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Upon and following the Settlement Date, the Participant shall be the record owner of the RSU Shares unless and until such shares are sold or otherwise disposed of, and as record owner shall be entitled to all rights of a common stockholder of the Company, including, without limitation, voting rights, if any, with respect to the RSU Shares. Prior to the Settlement Date, the Participant shall not be deemed for any purpose to be the owner of the shares of Common Stock underlying the Restricted Stock Units.</w:t>
      </w:r>
    </w:p>
    <w:p>
      <w:pPr>
        <w:spacing w:after="0" w:line="186" w:lineRule="exact"/>
        <w:rPr>
          <w:rFonts w:ascii="Arial" w:cs="Arial" w:eastAsia="Arial" w:hAnsi="Arial"/>
          <w:sz w:val="18"/>
          <w:szCs w:val="18"/>
          <w:color w:val="auto"/>
        </w:rPr>
      </w:pPr>
    </w:p>
    <w:p>
      <w:pPr>
        <w:ind w:left="1920" w:hanging="635"/>
        <w:spacing w:after="0"/>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953"/>
        <w:spacing w:after="0" w:line="342" w:lineRule="auto"/>
        <w:tabs>
          <w:tab w:leader="none" w:pos="257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Participant’s interest in the Account shall make the Participant only a general, unsecured creditor of the Company.</w:t>
      </w:r>
    </w:p>
    <w:p>
      <w:pPr>
        <w:spacing w:after="0" w:line="123" w:lineRule="exact"/>
        <w:rPr>
          <w:rFonts w:ascii="Arial" w:cs="Arial" w:eastAsia="Arial" w:hAnsi="Arial"/>
          <w:sz w:val="16"/>
          <w:szCs w:val="16"/>
          <w:color w:val="auto"/>
        </w:rPr>
      </w:pPr>
    </w:p>
    <w:p>
      <w:pPr>
        <w:ind w:left="-20" w:right="280" w:firstLine="1953"/>
        <w:spacing w:after="0" w:line="308" w:lineRule="auto"/>
        <w:tabs>
          <w:tab w:leader="none" w:pos="2585"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3" w:name="page54"/>
    <w:bookmarkEnd w:id="53"/>
    <w:p>
      <w:pPr>
        <w:ind w:right="260"/>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1" w:lineRule="exact"/>
        <w:rPr>
          <w:sz w:val="20"/>
          <w:szCs w:val="20"/>
          <w:color w:val="auto"/>
        </w:rPr>
      </w:pPr>
    </w:p>
    <w:p>
      <w:pPr>
        <w:ind w:firstLine="1953"/>
        <w:spacing w:after="0" w:line="264" w:lineRule="auto"/>
        <w:tabs>
          <w:tab w:leader="none" w:pos="259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1" w:lineRule="exact"/>
        <w:rPr>
          <w:rFonts w:ascii="Arial" w:cs="Arial" w:eastAsia="Arial" w:hAnsi="Arial"/>
          <w:sz w:val="18"/>
          <w:szCs w:val="18"/>
          <w:color w:val="auto"/>
        </w:rPr>
      </w:pPr>
    </w:p>
    <w:p>
      <w:pPr>
        <w:ind w:right="120" w:firstLine="1953"/>
        <w:spacing w:after="0" w:line="312" w:lineRule="auto"/>
        <w:tabs>
          <w:tab w:leader="none" w:pos="260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 Rights to Service</w:t>
      </w:r>
      <w:r>
        <w:rPr>
          <w:rFonts w:ascii="Arial" w:cs="Arial" w:eastAsia="Arial" w:hAnsi="Arial"/>
          <w:sz w:val="16"/>
          <w:szCs w:val="16"/>
          <w:color w:val="auto"/>
        </w:rPr>
        <w:t>. Nothing contained in this Agreement shall be construed as giving the Participant any right to be retained, in any position, as a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46" w:lineRule="exact"/>
        <w:rPr>
          <w:rFonts w:ascii="Arial" w:cs="Arial" w:eastAsia="Arial" w:hAnsi="Arial"/>
          <w:sz w:val="16"/>
          <w:szCs w:val="16"/>
          <w:color w:val="auto"/>
        </w:rPr>
      </w:pPr>
    </w:p>
    <w:p>
      <w:pPr>
        <w:ind w:right="80" w:firstLine="1953"/>
        <w:spacing w:after="0" w:line="277" w:lineRule="auto"/>
        <w:tabs>
          <w:tab w:leader="none" w:pos="259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70" w:lineRule="exact"/>
        <w:rPr>
          <w:rFonts w:ascii="Arial" w:cs="Arial" w:eastAsia="Arial" w:hAnsi="Arial"/>
          <w:sz w:val="18"/>
          <w:szCs w:val="18"/>
          <w:color w:val="auto"/>
        </w:rPr>
      </w:pPr>
    </w:p>
    <w:p>
      <w:pPr>
        <w:ind w:right="80" w:firstLine="1953"/>
        <w:spacing w:after="0" w:line="264" w:lineRule="auto"/>
        <w:tabs>
          <w:tab w:leader="none" w:pos="25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Board a written designation of a beneficiary on such form as may be prescribed by the Board and may, from time to time, amend or revoke such designation. If no designated beneficiary survives the Participant, the executor or administrator of the Participant’s estate shall be deemed to be the Participant’s beneficiary.</w:t>
      </w:r>
    </w:p>
    <w:p>
      <w:pPr>
        <w:spacing w:after="0" w:line="181" w:lineRule="exact"/>
        <w:rPr>
          <w:rFonts w:ascii="Arial" w:cs="Arial" w:eastAsia="Arial" w:hAnsi="Arial"/>
          <w:sz w:val="18"/>
          <w:szCs w:val="18"/>
          <w:color w:val="auto"/>
        </w:rPr>
      </w:pPr>
    </w:p>
    <w:p>
      <w:pPr>
        <w:ind w:right="240" w:firstLine="1953"/>
        <w:spacing w:after="0" w:line="277" w:lineRule="auto"/>
        <w:tabs>
          <w:tab w:leader="none" w:pos="260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ind w:firstLine="1953"/>
        <w:spacing w:after="0" w:line="286" w:lineRule="auto"/>
        <w:tabs>
          <w:tab w:leader="none" w:pos="260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w:t>
      </w:r>
    </w:p>
    <w:p>
      <w:pPr>
        <w:spacing w:after="0" w:line="165" w:lineRule="exact"/>
        <w:rPr>
          <w:rFonts w:ascii="Arial" w:cs="Arial" w:eastAsia="Arial" w:hAnsi="Arial"/>
          <w:sz w:val="17"/>
          <w:szCs w:val="17"/>
          <w:color w:val="auto"/>
        </w:rPr>
      </w:pPr>
    </w:p>
    <w:p>
      <w:pPr>
        <w:ind w:right="20" w:firstLine="1953"/>
        <w:spacing w:after="0" w:line="264" w:lineRule="auto"/>
        <w:tabs>
          <w:tab w:leader="none" w:pos="256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New York without regard to principles of conflicts of law thereof, or principals of conflicts of laws of any other jurisdiction which could cause the application of the laws of any jurisdiction other than the State of New York.</w:t>
      </w:r>
    </w:p>
    <w:p>
      <w:pPr>
        <w:spacing w:after="0" w:line="181" w:lineRule="exact"/>
        <w:rPr>
          <w:rFonts w:ascii="Arial" w:cs="Arial" w:eastAsia="Arial" w:hAnsi="Arial"/>
          <w:sz w:val="18"/>
          <w:szCs w:val="18"/>
          <w:color w:val="auto"/>
        </w:rPr>
      </w:pPr>
    </w:p>
    <w:p>
      <w:pPr>
        <w:ind w:right="500" w:firstLine="1953"/>
        <w:spacing w:after="0" w:line="277" w:lineRule="auto"/>
        <w:tabs>
          <w:tab w:leader="none" w:pos="256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right="260" w:firstLine="1953"/>
        <w:spacing w:after="0" w:line="277" w:lineRule="auto"/>
        <w:tabs>
          <w:tab w:leader="none" w:pos="260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b w:val="1"/>
          <w:bCs w:val="1"/>
          <w:color w:val="auto"/>
        </w:rPr>
        <w:t>EXLSERVICE HOLDINGS, INC.</w:t>
      </w:r>
    </w:p>
    <w:p>
      <w:pPr>
        <w:spacing w:after="0" w:line="200" w:lineRule="exact"/>
        <w:rPr>
          <w:sz w:val="20"/>
          <w:szCs w:val="20"/>
          <w:color w:val="auto"/>
        </w:rPr>
      </w:pPr>
    </w:p>
    <w:p>
      <w:pPr>
        <w:spacing w:after="0" w:line="25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-130175</wp:posOffset>
            </wp:positionV>
            <wp:extent cx="36449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[INSERT DIRECTOR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-127635</wp:posOffset>
            </wp:positionV>
            <wp:extent cx="3644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1."/>
      <w:numFmt w:val="decimal"/>
      <w:start w:val="2"/>
    </w:lvl>
    <w:lvl w:ilvl="1">
      <w:lvlJc w:val="left"/>
      <w:lvlText w:val="(%2)"/>
      <w:numFmt w:val="lowerLetter"/>
      <w:start w:val="1"/>
    </w:lvl>
  </w:abstractNum>
  <w:abstractNum w:abstractNumId="3">
    <w:nsid w:val="725A06FB"/>
    <w:multiLevelType w:val="hybridMultilevel"/>
    <w:lvl w:ilvl="0">
      <w:lvlJc w:val="left"/>
      <w:lvlText w:val="(%1)"/>
      <w:numFmt w:val="lowerLetter"/>
      <w:start w:val="6"/>
    </w:lvl>
    <w:lvl w:ilvl="1">
      <w:lvlJc w:val="left"/>
      <w:lvlText w:val="(%2)"/>
      <w:numFmt w:val="lowerRoman"/>
      <w:start w:val="1"/>
    </w:lvl>
  </w:abstractNum>
  <w:abstractNum w:abstractNumId="4">
    <w:nsid w:val="2CD89A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5">
    <w:nsid w:val="57E4CCAF"/>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6">
    <w:nsid w:val="7A6D8D3C"/>
    <w:multiLevelType w:val="hybridMultilevel"/>
    <w:lvl w:ilvl="0">
      <w:lvlJc w:val="left"/>
      <w:lvlText w:val="(%1)"/>
      <w:numFmt w:val="lowerLetter"/>
      <w:start w:val="61"/>
    </w:lvl>
    <w:lvl w:ilvl="1">
      <w:lvlJc w:val="left"/>
      <w:lvlText w:val="(%2)"/>
      <w:numFmt w:val="lowerLetter"/>
      <w:start w:val="18"/>
    </w:lvl>
    <w:lvl w:ilvl="2">
      <w:lvlJc w:val="left"/>
      <w:lvlText w:val="%3"/>
      <w:numFmt w:val="lowerLetter"/>
      <w:start w:val="1"/>
    </w:lvl>
  </w:abstractNum>
  <w:abstractNum w:abstractNumId="7">
    <w:nsid w:val="4B588F54"/>
    <w:multiLevelType w:val="hybridMultilevel"/>
    <w:lvl w:ilvl="0">
      <w:lvlJc w:val="left"/>
      <w:lvlText w:val="(%1)"/>
      <w:numFmt w:val="lowerLetter"/>
      <w:start w:val="19"/>
    </w:lvl>
  </w:abstractNum>
  <w:abstractNum w:abstractNumId="8">
    <w:nsid w:val="542289EC"/>
    <w:multiLevelType w:val="hybridMultilevel"/>
    <w:lvl w:ilvl="0">
      <w:lvlJc w:val="left"/>
      <w:lvlText w:val="(%1)"/>
      <w:numFmt w:val="lowerLetter"/>
      <w:start w:val="27"/>
    </w:lvl>
  </w:abstractNum>
  <w:abstractNum w:abstractNumId="9">
    <w:nsid w:val="6DE91B18"/>
    <w:multiLevelType w:val="hybridMultilevel"/>
    <w:lvl w:ilvl="0">
      <w:lvlJc w:val="left"/>
      <w:lvlText w:val="(%1)"/>
      <w:numFmt w:val="lowerLetter"/>
      <w:start w:val="28"/>
    </w:lvl>
  </w:abstractNum>
  <w:abstractNum w:abstractNumId="10">
    <w:nsid w:val="38437FDB"/>
    <w:multiLevelType w:val="hybridMultilevel"/>
    <w:lvl w:ilvl="0">
      <w:lvlJc w:val="left"/>
      <w:lvlText w:val="%1"/>
      <w:numFmt w:val="decimal"/>
      <w:start w:val="1"/>
    </w:lvl>
    <w:lvl w:ilvl="1">
      <w:lvlJc w:val="left"/>
      <w:lvlText w:val="(%2)"/>
      <w:numFmt w:val="lowerLetter"/>
      <w:start w:val="44"/>
    </w:lvl>
  </w:abstractNum>
  <w:abstractNum w:abstractNumId="11">
    <w:nsid w:val="7644A45C"/>
    <w:multiLevelType w:val="hybridMultilevel"/>
    <w:lvl w:ilvl="0">
      <w:lvlJc w:val="left"/>
      <w:lvlText w:val="%1."/>
      <w:numFmt w:val="decimal"/>
      <w:start w:val="3"/>
    </w:lvl>
    <w:lvl w:ilvl="1">
      <w:lvlJc w:val="left"/>
      <w:lvlText w:val="%2"/>
      <w:numFmt w:val="lowerLetter"/>
      <w:start w:val="1"/>
    </w:lvl>
  </w:abstractNum>
  <w:abstractNum w:abstractNumId="12">
    <w:nsid w:val="32FFF902"/>
    <w:multiLevelType w:val="hybridMultilevel"/>
    <w:lvl w:ilvl="0">
      <w:lvlJc w:val="left"/>
      <w:lvlText w:val="%1."/>
      <w:numFmt w:val="decimal"/>
      <w:start w:val="4"/>
    </w:lvl>
    <w:lvl w:ilvl="1">
      <w:lvlJc w:val="left"/>
      <w:lvlText w:val="(%2)"/>
      <w:numFmt w:val="lowerLetter"/>
      <w:start w:val="1"/>
    </w:lvl>
  </w:abstractNum>
  <w:abstractNum w:abstractNumId="13">
    <w:nsid w:val="684A481A"/>
    <w:multiLevelType w:val="hybridMultilevel"/>
    <w:lvl w:ilvl="0">
      <w:lvlJc w:val="left"/>
      <w:lvlText w:val="%1"/>
      <w:numFmt w:val="decimal"/>
      <w:start w:val="1"/>
    </w:lvl>
    <w:lvl w:ilvl="1">
      <w:lvlJc w:val="left"/>
      <w:lvlText w:val="(%2)"/>
      <w:numFmt w:val="lowerLetter"/>
      <w:start w:val="5"/>
    </w:lvl>
  </w:abstractNum>
  <w:abstractNum w:abstractNumId="14">
    <w:nsid w:val="579478FE"/>
    <w:multiLevelType w:val="hybridMultilevel"/>
    <w:lvl w:ilvl="0">
      <w:lvlJc w:val="left"/>
      <w:lvlText w:val="%1."/>
      <w:numFmt w:val="decimal"/>
      <w:start w:val="5"/>
    </w:lvl>
    <w:lvl w:ilvl="1">
      <w:lvlJc w:val="left"/>
      <w:lvlText w:val="%2"/>
      <w:numFmt w:val="lowerLetter"/>
      <w:start w:val="1"/>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1"/>
      <w:numFmt w:val="decimal"/>
      <w:start w:val="1"/>
    </w:lvl>
    <w:lvl w:ilvl="1">
      <w:lvlJc w:val="left"/>
      <w:lvlText w:val="(%2)"/>
      <w:numFmt w:val="lowerLetter"/>
      <w:start w:val="6"/>
    </w:lvl>
  </w:abstractNum>
  <w:abstractNum w:abstractNumId="17">
    <w:nsid w:val="1BA026FA"/>
    <w:multiLevelType w:val="hybridMultilevel"/>
    <w:lvl w:ilvl="0">
      <w:lvlJc w:val="left"/>
      <w:lvlText w:val="%1."/>
      <w:numFmt w:val="decimal"/>
      <w:start w:val="6"/>
    </w:lvl>
    <w:lvl w:ilvl="1">
      <w:lvlJc w:val="left"/>
      <w:lvlText w:val="%2"/>
      <w:numFmt w:val="lowerLetter"/>
      <w:start w:val="1"/>
    </w:lvl>
  </w:abstractNum>
  <w:abstractNum w:abstractNumId="18">
    <w:nsid w:val="79A1DEAA"/>
    <w:multiLevelType w:val="hybridMultilevel"/>
    <w:lvl w:ilvl="0">
      <w:lvlJc w:val="left"/>
      <w:lvlText w:val="%1."/>
      <w:numFmt w:val="decimal"/>
      <w:start w:val="7"/>
    </w:lvl>
  </w:abstractNum>
  <w:abstractNum w:abstractNumId="19">
    <w:nsid w:val="75C6C33A"/>
    <w:multiLevelType w:val="hybridMultilevel"/>
    <w:lvl w:ilvl="0">
      <w:lvlJc w:val="left"/>
      <w:lvlText w:val="(%1)"/>
      <w:numFmt w:val="lowerLetter"/>
      <w:start w:val="1"/>
    </w:lvl>
  </w:abstractNum>
  <w:abstractNum w:abstractNumId="20">
    <w:nsid w:val="12E685FB"/>
    <w:multiLevelType w:val="hybridMultilevel"/>
    <w:lvl w:ilvl="0">
      <w:lvlJc w:val="left"/>
      <w:lvlText w:val="(%1)"/>
      <w:numFmt w:val="lowerLetter"/>
      <w:start w:val="3"/>
    </w:lvl>
    <w:lvl w:ilvl="1">
      <w:lvlJc w:val="left"/>
      <w:lvlText w:val="(%2)"/>
      <w:numFmt w:val="lowerRoman"/>
      <w:start w:val="1"/>
    </w:lvl>
  </w:abstractNum>
  <w:abstractNum w:abstractNumId="21">
    <w:nsid w:val="70C6A529"/>
    <w:multiLevelType w:val="hybridMultilevel"/>
    <w:lvl w:ilvl="0">
      <w:lvlJc w:val="left"/>
      <w:lvlText w:val="%1"/>
      <w:numFmt w:val="decimal"/>
      <w:start w:val="1"/>
    </w:lvl>
    <w:lvl w:ilvl="1">
      <w:lvlJc w:val="left"/>
      <w:lvlText w:val="(%2)"/>
      <w:numFmt w:val="lowerLetter"/>
      <w:start w:val="6"/>
    </w:lvl>
  </w:abstractNum>
  <w:abstractNum w:abstractNumId="22">
    <w:nsid w:val="520EEDD1"/>
    <w:multiLevelType w:val="hybridMultilevel"/>
    <w:lvl w:ilvl="0">
      <w:lvlJc w:val="left"/>
      <w:lvlText w:val="%1."/>
      <w:numFmt w:val="decimal"/>
      <w:start w:val="8"/>
    </w:lvl>
    <w:lvl w:ilvl="1">
      <w:lvlJc w:val="left"/>
      <w:lvlText w:val="%2"/>
      <w:numFmt w:val="lowerLetter"/>
      <w:start w:val="1"/>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
    <w:nsid w:val="23F9C13C"/>
    <w:multiLevelType w:val="hybridMultilevel"/>
    <w:lvl w:ilvl="0">
      <w:lvlJc w:val="left"/>
      <w:lvlText w:val="(%1)"/>
      <w:numFmt w:val="lowerLetter"/>
      <w:start w:val="3"/>
    </w:lvl>
  </w:abstractNum>
  <w:abstractNum w:abstractNumId="26">
    <w:nsid w:val="649BB77C"/>
    <w:multiLevelType w:val="hybridMultilevel"/>
    <w:lvl w:ilvl="0">
      <w:lvlJc w:val="left"/>
      <w:lvlText w:val="(%1)"/>
      <w:numFmt w:val="lowerLetter"/>
      <w:start w:val="5"/>
    </w:lvl>
  </w:abstractNum>
  <w:abstractNum w:abstractNumId="27">
    <w:nsid w:val="275AC794"/>
    <w:multiLevelType w:val="hybridMultilevel"/>
    <w:lvl w:ilvl="0">
      <w:lvlJc w:val="left"/>
      <w:lvlText w:val="%1."/>
      <w:numFmt w:val="decimal"/>
      <w:start w:val="10"/>
    </w:lvl>
  </w:abstractNum>
  <w:abstractNum w:abstractNumId="28">
    <w:nsid w:val="39386575"/>
    <w:multiLevelType w:val="hybridMultilevel"/>
    <w:lvl w:ilvl="0">
      <w:lvlJc w:val="left"/>
      <w:lvlText w:val="%1."/>
      <w:numFmt w:val="decimal"/>
      <w:start w:val="11"/>
    </w:lvl>
  </w:abstractNum>
  <w:abstractNum w:abstractNumId="29">
    <w:nsid w:val="1CF10FD8"/>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30">
    <w:nsid w:val="180115BE"/>
    <w:multiLevelType w:val="hybridMultilevel"/>
    <w:lvl w:ilvl="0">
      <w:lvlJc w:val="left"/>
      <w:lvlText w:val="%1"/>
      <w:numFmt w:val="lowerLetter"/>
      <w:start w:val="1"/>
    </w:lvl>
    <w:lvl w:ilvl="1">
      <w:lvlJc w:val="left"/>
      <w:lvlText w:val="(%2)"/>
      <w:numFmt w:val="lowerLetter"/>
      <w:start w:val="35"/>
    </w:lvl>
  </w:abstractNum>
  <w:abstractNum w:abstractNumId="31">
    <w:nsid w:val="235BA861"/>
    <w:multiLevelType w:val="hybridMultilevel"/>
    <w:lvl w:ilvl="0">
      <w:lvlJc w:val="left"/>
      <w:lvlText w:val="(%1)"/>
      <w:numFmt w:val="lowerLetter"/>
      <w:start w:val="6"/>
    </w:lvl>
    <w:lvl w:ilvl="1">
      <w:lvlJc w:val="left"/>
      <w:lvlText w:val="%2"/>
      <w:numFmt w:val="lowerLetter"/>
      <w:start w:val="1"/>
    </w:lvl>
  </w:abstractNum>
  <w:abstractNum w:abstractNumId="32">
    <w:nsid w:val="47398C89"/>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33">
    <w:nsid w:val="354FE9F9"/>
    <w:multiLevelType w:val="hybridMultilevel"/>
    <w:lvl w:ilvl="0">
      <w:lvlJc w:val="left"/>
      <w:lvlText w:val="%1"/>
      <w:numFmt w:val="lowerLetter"/>
      <w:start w:val="1"/>
    </w:lvl>
    <w:lvl w:ilvl="1">
      <w:lvlJc w:val="left"/>
      <w:lvlText w:val="(%2)"/>
      <w:numFmt w:val="lowerLetter"/>
      <w:start w:val="61"/>
    </w:lvl>
  </w:abstractNum>
  <w:abstractNum w:abstractNumId="34">
    <w:nsid w:val="15B5AF5C"/>
    <w:multiLevelType w:val="hybridMultilevel"/>
    <w:lvl w:ilvl="0">
      <w:lvlJc w:val="left"/>
      <w:lvlText w:val="(%1)"/>
      <w:numFmt w:val="lowerLetter"/>
      <w:start w:val="13"/>
    </w:lvl>
    <w:lvl w:ilvl="1">
      <w:lvlJc w:val="left"/>
      <w:lvlText w:val="%2"/>
      <w:numFmt w:val="lowerLetter"/>
      <w:start w:val="1"/>
    </w:lvl>
  </w:abstractNum>
  <w:abstractNum w:abstractNumId="35">
    <w:nsid w:val="741226BB"/>
    <w:multiLevelType w:val="hybridMultilevel"/>
    <w:lvl w:ilvl="0">
      <w:lvlJc w:val="left"/>
      <w:lvlText w:val="%1"/>
      <w:numFmt w:val="decimal"/>
      <w:start w:val="1"/>
    </w:lvl>
    <w:lvl w:ilvl="1">
      <w:lvlJc w:val="left"/>
      <w:lvlText w:val="(%2)"/>
      <w:numFmt w:val="lowerLetter"/>
      <w:start w:val="16"/>
    </w:lvl>
  </w:abstractNum>
  <w:abstractNum w:abstractNumId="36">
    <w:nsid w:val="D34B6A8"/>
    <w:multiLevelType w:val="hybridMultilevel"/>
    <w:lvl w:ilvl="0">
      <w:lvlJc w:val="left"/>
      <w:lvlText w:val="%1."/>
      <w:numFmt w:val="decimal"/>
      <w:start w:val="13"/>
    </w:lvl>
    <w:lvl w:ilvl="1">
      <w:lvlJc w:val="left"/>
      <w:lvlText w:val="%2"/>
      <w:numFmt w:val="lowerLetter"/>
      <w:start w:val="1"/>
    </w:lvl>
  </w:abstractNum>
  <w:abstractNum w:abstractNumId="37">
    <w:nsid w:val="10233C9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8">
    <w:nsid w:val="3F6AB60F"/>
    <w:multiLevelType w:val="hybridMultilevel"/>
    <w:lvl w:ilvl="0">
      <w:lvlJc w:val="left"/>
      <w:lvlText w:val="%1."/>
      <w:numFmt w:val="decimal"/>
      <w:start w:val="16"/>
    </w:lvl>
    <w:lvl w:ilvl="1">
      <w:lvlJc w:val="left"/>
      <w:lvlText w:val="(%2)"/>
      <w:numFmt w:val="lowerLetter"/>
      <w:start w:val="1"/>
    </w:lvl>
  </w:abstractNum>
  <w:abstractNum w:abstractNumId="39">
    <w:nsid w:val="61574095"/>
    <w:multiLevelType w:val="hybridMultilevel"/>
    <w:lvl w:ilvl="0">
      <w:lvlJc w:val="left"/>
      <w:lvlText w:val="%1"/>
      <w:numFmt w:val="decimal"/>
      <w:start w:val="1"/>
    </w:lvl>
    <w:lvl w:ilvl="1">
      <w:lvlJc w:val="left"/>
      <w:lvlText w:val="(%2)"/>
      <w:numFmt w:val="lowerLetter"/>
      <w:start w:val="2"/>
    </w:lvl>
  </w:abstractNum>
  <w:abstractNum w:abstractNumId="40">
    <w:nsid w:val="7E0C57B1"/>
    <w:multiLevelType w:val="hybridMultilevel"/>
    <w:lvl w:ilvl="0">
      <w:lvlJc w:val="left"/>
      <w:lvlText w:val="%1."/>
      <w:numFmt w:val="decimal"/>
      <w:start w:val="17"/>
    </w:lvl>
    <w:lvl w:ilvl="1">
      <w:lvlJc w:val="left"/>
      <w:lvlText w:val="(%2)"/>
      <w:numFmt w:val="lowerLetter"/>
      <w:start w:val="1"/>
    </w:lvl>
  </w:abstractNum>
  <w:abstractNum w:abstractNumId="41">
    <w:nsid w:val="77AE35EB"/>
    <w:multiLevelType w:val="hybridMultilevel"/>
    <w:lvl w:ilvl="0">
      <w:lvlJc w:val="left"/>
      <w:lvlText w:val="%1"/>
      <w:numFmt w:val="decimal"/>
      <w:start w:val="1"/>
    </w:lvl>
    <w:lvl w:ilvl="1">
      <w:lvlJc w:val="left"/>
      <w:lvlText w:val="(%2)"/>
      <w:numFmt w:val="lowerLetter"/>
      <w:start w:val="3"/>
    </w:lvl>
  </w:abstractNum>
  <w:abstractNum w:abstractNumId="42">
    <w:nsid w:val="579BE4F1"/>
    <w:multiLevelType w:val="hybridMultilevel"/>
    <w:lvl w:ilvl="0">
      <w:lvlJc w:val="left"/>
      <w:lvlText w:val="%1."/>
      <w:numFmt w:val="decimal"/>
      <w:start w:val="18"/>
    </w:lvl>
    <w:lvl w:ilvl="1">
      <w:lvlJc w:val="left"/>
      <w:lvlText w:val="%2"/>
      <w:numFmt w:val="lowerLetter"/>
      <w:start w:val="1"/>
    </w:lvl>
  </w:abstractNum>
  <w:abstractNum w:abstractNumId="43">
    <w:nsid w:val="310C50B3"/>
    <w:multiLevelType w:val="hybridMultilevel"/>
    <w:lvl w:ilvl="0">
      <w:lvlJc w:val="left"/>
      <w:lvlText w:val="%1."/>
      <w:numFmt w:val="decimal"/>
      <w:start w:val="19"/>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lowerLetter"/>
      <w:start w:val="1"/>
    </w:lvl>
    <w:lvl w:ilvl="1">
      <w:lvlJc w:val="left"/>
      <w:lvlText w:val="(%2)"/>
      <w:numFmt w:val="lowerLetter"/>
      <w:start w:val="9"/>
    </w:lvl>
  </w:abstractNum>
  <w:abstractNum w:abstractNumId="46">
    <w:nsid w:val="25A70BF7"/>
    <w:multiLevelType w:val="hybridMultilevel"/>
    <w:lvl w:ilvl="0">
      <w:lvlJc w:val="left"/>
      <w:lvlText w:val="(%1)"/>
      <w:numFmt w:val="lowerRoman"/>
      <w:start w:val="2"/>
    </w:lvl>
    <w:lvl w:ilvl="1">
      <w:lvlJc w:val="left"/>
      <w:lvlText w:val="(%2)"/>
      <w:numFmt w:val="upperLetter"/>
      <w:start w:val="2"/>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lowerLetter"/>
      <w:start w:val="1"/>
    </w:lvl>
    <w:lvl w:ilvl="1">
      <w:lvlJc w:val="left"/>
      <w:lvlText w:val="(%2)"/>
      <w:numFmt w:val="lowerLetter"/>
      <w:start w:val="61"/>
    </w:lvl>
  </w:abstractNum>
  <w:abstractNum w:abstractNumId="49">
    <w:nsid w:val="1F48EAA1"/>
    <w:multiLevelType w:val="hybridMultilevel"/>
    <w:lvl w:ilvl="0">
      <w:lvlJc w:val="left"/>
      <w:lvlText w:val="(%1)"/>
      <w:numFmt w:val="lowerLetter"/>
      <w:start w:val="2"/>
    </w:lvl>
    <w:lvl w:ilvl="1">
      <w:lvlJc w:val="left"/>
      <w:lvlText w:val="(%2)"/>
      <w:numFmt w:val="lowerLetter"/>
      <w:start w:val="9"/>
    </w:lvl>
  </w:abstractNum>
  <w:abstractNum w:abstractNumId="50">
    <w:nsid w:val="1381823A"/>
    <w:multiLevelType w:val="hybridMultilevel"/>
    <w:lvl w:ilvl="0">
      <w:lvlJc w:val="left"/>
      <w:lvlText w:val="(%1)"/>
      <w:numFmt w:val="lowerRoman"/>
      <w:start w:val="2"/>
    </w:lvl>
    <w:lvl w:ilvl="1">
      <w:lvlJc w:val="left"/>
      <w:lvlText w:val="(%2)"/>
      <w:numFmt w:val="upperLetter"/>
      <w:start w:val="1"/>
    </w:lvl>
  </w:abstractNum>
  <w:abstractNum w:abstractNumId="51">
    <w:nsid w:val="5DB70AE5"/>
    <w:multiLevelType w:val="hybridMultilevel"/>
    <w:lvl w:ilvl="0">
      <w:lvlJc w:val="left"/>
      <w:lvlText w:val="(%1)"/>
      <w:numFmt w:val="lowerLetter"/>
      <w:start w:val="3"/>
    </w:lvl>
    <w:lvl w:ilvl="1">
      <w:lvlJc w:val="left"/>
      <w:lvlText w:val="(%2)"/>
      <w:numFmt w:val="upperLetter"/>
      <w:start w:val="1"/>
    </w:lvl>
  </w:abstractNum>
  <w:abstractNum w:abstractNumId="52">
    <w:nsid w:val="100F8FCA"/>
    <w:multiLevelType w:val="hybridMultilevel"/>
    <w:lvl w:ilvl="0">
      <w:lvlJc w:val="left"/>
      <w:lvlText w:val="(%1)"/>
      <w:numFmt w:val="upperLetter"/>
      <w:start w:val="2"/>
    </w:lvl>
  </w:abstractNum>
  <w:abstractNum w:abstractNumId="53">
    <w:nsid w:val="6590700B"/>
    <w:multiLevelType w:val="hybridMultilevel"/>
    <w:lvl w:ilvl="0">
      <w:lvlJc w:val="left"/>
      <w:lvlText w:val="(%1)"/>
      <w:numFmt w:val="lowerRoman"/>
      <w:start w:val="3"/>
    </w:lvl>
    <w:lvl w:ilvl="1">
      <w:lvlJc w:val="left"/>
      <w:lvlText w:val="(%2)"/>
      <w:numFmt w:val="upperLetter"/>
      <w:start w:val="1"/>
    </w:lvl>
  </w:abstractNum>
  <w:abstractNum w:abstractNumId="54">
    <w:nsid w:val="15014ACB"/>
    <w:multiLevelType w:val="hybridMultilevel"/>
    <w:lvl w:ilvl="0">
      <w:lvlJc w:val="left"/>
      <w:lvlText w:val="%1."/>
      <w:numFmt w:val="decimal"/>
      <w:start w:val="4"/>
    </w:lvl>
    <w:lvl w:ilvl="1">
      <w:lvlJc w:val="left"/>
      <w:lvlText w:val="(%2)"/>
      <w:numFmt w:val="lowerLetter"/>
      <w:start w:val="1"/>
    </w:lvl>
  </w:abstractNum>
  <w:abstractNum w:abstractNumId="55">
    <w:nsid w:val="5F5E7FD0"/>
    <w:multiLevelType w:val="hybridMultilevel"/>
    <w:lvl w:ilvl="0">
      <w:lvlJc w:val="left"/>
      <w:lvlText w:val="%1"/>
      <w:numFmt w:val="decimal"/>
      <w:start w:val="1"/>
    </w:lvl>
    <w:lvl w:ilvl="1">
      <w:lvlJc w:val="left"/>
      <w:lvlText w:val="(%2)"/>
      <w:numFmt w:val="lowerLetter"/>
      <w:start w:val="5"/>
    </w:lvl>
  </w:abstractNum>
  <w:abstractNum w:abstractNumId="56">
    <w:nsid w:val="98A3148"/>
    <w:multiLevelType w:val="hybridMultilevel"/>
    <w:lvl w:ilvl="0">
      <w:lvlJc w:val="left"/>
      <w:lvlText w:val="%1."/>
      <w:numFmt w:val="decimal"/>
      <w:start w:val="5"/>
    </w:lvl>
    <w:lvl w:ilvl="1">
      <w:lvlJc w:val="left"/>
      <w:lvlText w:val="(%2)"/>
      <w:numFmt w:val="lowerLetter"/>
      <w:start w:val="1"/>
    </w:lvl>
  </w:abstractNum>
  <w:abstractNum w:abstractNumId="57">
    <w:nsid w:val="799D0247"/>
    <w:multiLevelType w:val="hybridMultilevel"/>
    <w:lvl w:ilvl="0">
      <w:lvlJc w:val="left"/>
      <w:lvlText w:val="%1."/>
      <w:numFmt w:val="decimal"/>
      <w:start w:val="6"/>
    </w:lvl>
  </w:abstractNum>
  <w:abstractNum w:abstractNumId="58">
    <w:nsid w:val="6B94764"/>
    <w:multiLevelType w:val="hybridMultilevel"/>
    <w:lvl w:ilvl="0">
      <w:lvlJc w:val="left"/>
      <w:lvlText w:val="%1."/>
      <w:numFmt w:val="decimal"/>
      <w:start w:val="8"/>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lowerLetter"/>
      <w:start w:val="1"/>
    </w:lvl>
    <w:lvl w:ilvl="1">
      <w:lvlJc w:val="left"/>
      <w:lvlText w:val="(%2)"/>
      <w:numFmt w:val="lowerLetter"/>
      <w:start w:val="9"/>
    </w:lvl>
  </w:abstractNum>
  <w:abstractNum w:abstractNumId="61">
    <w:nsid w:val="1EBA5D23"/>
    <w:multiLevelType w:val="hybridMultilevel"/>
    <w:lvl w:ilvl="0">
      <w:lvlJc w:val="left"/>
      <w:lvlText w:val="(%1)"/>
      <w:numFmt w:val="lowerRoman"/>
      <w:start w:val="2"/>
    </w:lvl>
    <w:lvl w:ilvl="1">
      <w:lvlJc w:val="left"/>
      <w:lvlText w:val="(%2)"/>
      <w:numFmt w:val="upperLetter"/>
      <w:start w:val="2"/>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64">
    <w:nsid w:val="540A471C"/>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9"/>
    </w:lvl>
  </w:abstractNum>
  <w:abstractNum w:abstractNumId="65">
    <w:nsid w:val="7BD3EE7B"/>
    <w:multiLevelType w:val="hybridMultilevel"/>
    <w:lvl w:ilvl="0">
      <w:lvlJc w:val="left"/>
      <w:lvlText w:val="(%1)"/>
      <w:numFmt w:val="lowerRoman"/>
      <w:start w:val="2"/>
    </w:lvl>
    <w:lvl w:ilvl="1">
      <w:lvlJc w:val="left"/>
      <w:lvlText w:val="(%2)"/>
      <w:numFmt w:val="upperLetter"/>
      <w:start w:val="1"/>
    </w:lvl>
  </w:abstractNum>
  <w:abstractNum w:abstractNumId="66">
    <w:nsid w:val="51D9C56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67">
    <w:nsid w:val="613EFDC5"/>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8">
    <w:nsid w:val="BF72B14"/>
    <w:multiLevelType w:val="hybridMultilevel"/>
    <w:lvl w:ilvl="0">
      <w:lvlJc w:val="left"/>
      <w:lvlText w:val="%1."/>
      <w:numFmt w:val="decimal"/>
      <w:start w:val="4"/>
    </w:lvl>
    <w:lvl w:ilvl="1">
      <w:lvlJc w:val="left"/>
      <w:lvlText w:val="(%2)"/>
      <w:numFmt w:val="lowerLetter"/>
      <w:start w:val="1"/>
    </w:lvl>
  </w:abstractNum>
  <w:abstractNum w:abstractNumId="69">
    <w:nsid w:val="11447B73"/>
    <w:multiLevelType w:val="hybridMultilevel"/>
    <w:lvl w:ilvl="0">
      <w:lvlJc w:val="left"/>
      <w:lvlText w:val="%1"/>
      <w:numFmt w:val="decimal"/>
      <w:start w:val="1"/>
    </w:lvl>
    <w:lvl w:ilvl="1">
      <w:lvlJc w:val="left"/>
      <w:lvlText w:val="(%2)"/>
      <w:numFmt w:val="lowerLetter"/>
      <w:start w:val="4"/>
    </w:lvl>
  </w:abstractNum>
  <w:abstractNum w:abstractNumId="70">
    <w:nsid w:val="42963E5A"/>
    <w:multiLevelType w:val="hybridMultilevel"/>
    <w:lvl w:ilvl="0">
      <w:lvlJc w:val="left"/>
      <w:lvlText w:val="%1."/>
      <w:numFmt w:val="decimal"/>
      <w:start w:val="5"/>
    </w:lvl>
    <w:lvl w:ilvl="1">
      <w:lvlJc w:val="left"/>
      <w:lvlText w:val="(%2)"/>
      <w:numFmt w:val="lowerLetter"/>
      <w:start w:val="1"/>
    </w:lvl>
  </w:abstractNum>
  <w:abstractNum w:abstractNumId="71">
    <w:nsid w:val="A0382C5"/>
    <w:multiLevelType w:val="hybridMultilevel"/>
    <w:lvl w:ilvl="0">
      <w:lvlJc w:val="left"/>
      <w:lvlText w:val="%1."/>
      <w:numFmt w:val="decimal"/>
      <w:start w:val="6"/>
    </w:lvl>
  </w:abstractNum>
  <w:abstractNum w:abstractNumId="72">
    <w:nsid w:val="8F2B15E"/>
    <w:multiLevelType w:val="hybridMultilevel"/>
    <w:lvl w:ilvl="0">
      <w:lvlJc w:val="left"/>
      <w:lvlText w:val="%1."/>
      <w:numFmt w:val="decimal"/>
      <w:start w:val="10"/>
    </w:lvl>
    <w:lvl w:ilvl="1">
      <w:lvlJc w:val="left"/>
      <w:lvlText w:val="(%2)"/>
      <w:numFmt w:val="lowerLetter"/>
      <w:start w:val="1"/>
    </w:lvl>
  </w:abstractNum>
  <w:abstractNum w:abstractNumId="73">
    <w:nsid w:val="1A32234B"/>
    <w:multiLevelType w:val="hybridMultilevel"/>
    <w:lvl w:ilvl="0">
      <w:lvlJc w:val="left"/>
      <w:lvlText w:val="%1"/>
      <w:numFmt w:val="decimal"/>
      <w:start w:val="1"/>
    </w:lvl>
    <w:lvl w:ilvl="1">
      <w:lvlJc w:val="left"/>
      <w:lvlText w:val="(%2)"/>
      <w:numFmt w:val="lowerLetter"/>
      <w:start w:val="9"/>
    </w:lvl>
  </w:abstractNum>
  <w:abstractNum w:abstractNumId="74">
    <w:nsid w:val="3B0FD379"/>
    <w:multiLevelType w:val="hybridMultilevel"/>
    <w:lvl w:ilvl="0">
      <w:lvlJc w:val="left"/>
      <w:lvlText w:val="%1."/>
      <w:numFmt w:val="decimal"/>
      <w:start w:val="11"/>
    </w:lvl>
    <w:lvl w:ilvl="1">
      <w:lvlJc w:val="left"/>
      <w:lvlText w:val="%2"/>
      <w:numFmt w:val="lowerLetter"/>
      <w:start w:val="1"/>
    </w:lvl>
  </w:abstractNum>
  <w:abstractNum w:abstractNumId="75">
    <w:nsid w:val="68EB2F63"/>
    <w:multiLevelType w:val="hybridMultilevel"/>
    <w:lvl w:ilvl="0">
      <w:lvlJc w:val="left"/>
      <w:lvlText w:val="%1."/>
      <w:numFmt w:val="decimal"/>
      <w:start w:val="15"/>
    </w:lvl>
  </w:abstractNum>
  <w:abstractNum w:abstractNumId="76">
    <w:nsid w:val="4962813B"/>
    <w:multiLevelType w:val="hybridMultilevel"/>
    <w:lvl w:ilvl="0">
      <w:lvlJc w:val="left"/>
      <w:lvlText w:val="%1."/>
      <w:numFmt w:val="decimal"/>
      <w:start w:val="11"/>
    </w:lvl>
  </w:abstractNum>
  <w:abstractNum w:abstractNumId="77">
    <w:nsid w:val="60B6DF70"/>
    <w:multiLevelType w:val="hybridMultilevel"/>
    <w:lvl w:ilvl="0">
      <w:lvlJc w:val="left"/>
      <w:lvlText w:val="%1."/>
      <w:numFmt w:val="decimal"/>
      <w:start w:val="17"/>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80">
    <w:nsid w:val="7FFFCA1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1">
    <w:nsid w:val="1A27709E"/>
    <w:multiLevelType w:val="hybridMultilevel"/>
    <w:lvl w:ilvl="0">
      <w:lvlJc w:val="left"/>
      <w:lvlText w:val="%1"/>
      <w:numFmt w:val="decimal"/>
      <w:start w:val="1"/>
    </w:lvl>
    <w:lvl w:ilvl="1">
      <w:lvlJc w:val="left"/>
      <w:lvlText w:val="(%2)"/>
      <w:numFmt w:val="lowerLetter"/>
      <w:start w:val="5"/>
    </w:lvl>
  </w:abstractNum>
  <w:abstractNum w:abstractNumId="82">
    <w:nsid w:val="71EA1109"/>
    <w:multiLevelType w:val="hybridMultilevel"/>
    <w:lvl w:ilvl="0">
      <w:lvlJc w:val="left"/>
      <w:lvlText w:val="%1."/>
      <w:numFmt w:val="decimal"/>
      <w:start w:val="4"/>
    </w:lvl>
    <w:lvl w:ilvl="1">
      <w:lvlJc w:val="left"/>
      <w:lvlText w:val="(%2)"/>
      <w:numFmt w:val="lowerLetter"/>
      <w:start w:val="1"/>
    </w:lvl>
  </w:abstractNum>
  <w:abstractNum w:abstractNumId="83">
    <w:nsid w:val="100F59D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2019-12-28T21:14:29Z</dcterms:created>
  <dcterms:modified xsi:type="dcterms:W3CDTF">2019-12-28T21:14:29Z</dcterms:modified>
</cp:coreProperties>
</file>