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6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67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GRUBER STEVEN B</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10/19/2006</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54"/>
        <w:spacing w:after="0" w:line="268" w:lineRule="auto"/>
        <w:rPr>
          <w:sz w:val="20"/>
          <w:szCs w:val="20"/>
          <w:color w:val="auto"/>
        </w:rPr>
      </w:pPr>
      <w:r>
        <w:rPr>
          <w:rFonts w:ascii="Arial" w:cs="Arial" w:eastAsia="Arial" w:hAnsi="Arial"/>
          <w:sz w:val="18"/>
          <w:szCs w:val="18"/>
          <w:color w:val="0000FF"/>
        </w:rPr>
        <w:t>C/O OAK HILL CAPITAL PARTNERS, L.P.</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201 MAIN STREET, SUITE 1620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276"/>
              <w:spacing w:after="0"/>
              <w:rPr>
                <w:sz w:val="20"/>
                <w:szCs w:val="20"/>
                <w:color w:val="auto"/>
              </w:rPr>
            </w:pPr>
            <w:r>
              <w:rPr>
                <w:rFonts w:ascii="Arial" w:cs="Arial" w:eastAsia="Arial" w:hAnsi="Arial"/>
                <w:sz w:val="11"/>
                <w:szCs w:val="11"/>
                <w:color w:val="008000"/>
              </w:rPr>
              <w:t>(2)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shares of restricted stock vest on the earlier of (i) the first anniversary of the date of the reporting person's installation as a member of the Board, (ii) the end of the reporting person's term on the Company's Board of Directors, and (iii) the occurrence of a "Change in Control", as defined in the Company's 2006 Omnibus Award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6"/>
              </w:rPr>
              <w:t>/s/ Steven Gruber</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Steven Gruber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Steven Gruber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12375"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2019-12-16T15:00:08Z</dcterms:created>
  <dcterms:modified xsi:type="dcterms:W3CDTF">2019-12-16T15:00:08Z</dcterms:modified>
</cp:coreProperties>
</file>