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    </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FOR THE TRANSITION PERIOD FROM</w:t>
      </w:r>
      <w:r>
        <w:rPr>
          <w:color w:val="000000"/>
        </w:rPr>
        <w:t xml:space="preserve"> </w:t>
      </w:r>
      <w:r>
        <w:rPr>
          <w:color w:val="000000"/>
          <w:u w:val="single"/>
        </w:rPr>
        <w:t>                    </w:t>
      </w:r>
      <w:r>
        <w:rPr>
          <w:color w:val="000000"/>
        </w:rPr>
        <w:t xml:space="preserve"> </w:t>
      </w:r>
      <w:r>
        <w:rPr>
          <w:rFonts w:ascii="Times New Roman;serif" w:hAnsi="Times New Roman;serif"/>
          <w:b/>
          <w:color w:val="000000"/>
          <w:sz w:val="18"/>
        </w:rPr>
        <w:t>TO</w:t>
      </w:r>
      <w:r>
        <w:rPr>
          <w:color w:val="000000"/>
        </w:rPr>
        <w:t xml:space="preserve"> </w:t>
      </w:r>
      <w:r>
        <w:rPr>
          <w:color w:val="000000"/>
          <w:u w:val="single"/>
        </w:rPr>
        <w:t>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001-33089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EXLSERVICE HOLDINGS,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w:t>
      </w:r>
    </w:p>
    <w:tbl>
      <w:tblPr>
        <w:tblW w:w="4733" w:type="dxa"/>
        <w:jc w:val="center"/>
        <w:tblInd w:w="0" w:type="dxa"/>
        <w:tblLayout w:type="fixed"/>
        <w:tblCellMar>
          <w:top w:w="28" w:type="dxa"/>
          <w:left w:w="28" w:type="dxa"/>
          <w:bottom w:w="28" w:type="dxa"/>
          <w:right w:w="28" w:type="dxa"/>
        </w:tblCellMar>
      </w:tblPr>
      <w:tblGrid>
        <w:gridCol w:w="592"/>
        <w:gridCol w:w="523"/>
        <w:gridCol w:w="523"/>
        <w:gridCol w:w="425"/>
        <w:gridCol w:w="425"/>
        <w:gridCol w:w="434"/>
        <w:gridCol w:w="109"/>
        <w:gridCol w:w="109"/>
        <w:gridCol w:w="109"/>
        <w:gridCol w:w="432"/>
        <w:gridCol w:w="432"/>
        <w:gridCol w:w="620"/>
      </w:tblGrid>
      <w:tr>
        <w:trPr/>
        <w:tc>
          <w:tcPr>
            <w:tcW w:w="59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82-0572194</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320 Park Avenue,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29</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8"/>
              </w:rPr>
              <w:t>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New York,</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10022</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(212) 277-7100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8249" w:type="dxa"/>
        <w:jc w:val="center"/>
        <w:tblInd w:w="0" w:type="dxa"/>
        <w:tblLayout w:type="fixed"/>
        <w:tblCellMar>
          <w:top w:w="28" w:type="dxa"/>
          <w:left w:w="28" w:type="dxa"/>
          <w:bottom w:w="28" w:type="dxa"/>
          <w:right w:w="28" w:type="dxa"/>
        </w:tblCellMar>
      </w:tblPr>
      <w:tblGrid>
        <w:gridCol w:w="1160"/>
        <w:gridCol w:w="1017"/>
        <w:gridCol w:w="1017"/>
        <w:gridCol w:w="510"/>
        <w:gridCol w:w="510"/>
        <w:gridCol w:w="510"/>
        <w:gridCol w:w="1033"/>
        <w:gridCol w:w="1033"/>
        <w:gridCol w:w="1459"/>
      </w:tblGrid>
      <w:tr>
        <w:trPr/>
        <w:tc>
          <w:tcPr>
            <w:tcW w:w="11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8249"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5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1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EXLS</w:t>
            </w:r>
          </w:p>
        </w:tc>
        <w:tc>
          <w:tcPr>
            <w:tcW w:w="35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None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firstLine="360"/>
        <w:jc w:val="left"/>
        <w:rPr/>
      </w:pPr>
      <w:r>
        <w:rPr>
          <w:rFonts w:ascii="Times New Roman;serif" w:hAnsi="Times New Roman;serif"/>
          <w:b w:val="false"/>
          <w:color w:val="000000"/>
          <w:sz w:val="17"/>
        </w:rPr>
        <w:t>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7"/>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6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31"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109"/>
        <w:gridCol w:w="109"/>
        <w:gridCol w:w="109"/>
        <w:gridCol w:w="669"/>
        <w:gridCol w:w="669"/>
        <w:gridCol w:w="673"/>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60" w:after="283"/>
        <w:ind w:left="0" w:right="0" w:firstLine="360"/>
        <w:jc w:val="left"/>
        <w:rPr/>
      </w:pPr>
      <w:r>
        <w:rPr>
          <w:rFonts w:ascii="Times New Roman;serif" w:hAnsi="Times New Roman;serif"/>
          <w:b w:val="false"/>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6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56"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60" w:after="283"/>
        <w:ind w:left="0" w:right="0" w:firstLine="360"/>
        <w:jc w:val="left"/>
        <w:rPr/>
      </w:pPr>
      <w:r>
        <w:rPr/>
      </w:r>
    </w:p>
    <w:p>
      <w:pPr>
        <w:pStyle w:val="TextBody"/>
        <w:bidi w:val="0"/>
        <w:spacing w:lineRule="auto" w:line="256" w:before="0" w:after="0"/>
        <w:ind w:left="0" w:right="0" w:firstLine="360"/>
        <w:jc w:val="both"/>
        <w:rPr>
          <w:rFonts w:ascii="Times New Roman;serif" w:hAnsi="Times New Roman;serif"/>
          <w:b w:val="false"/>
          <w:color w:val="000000"/>
          <w:sz w:val="17"/>
        </w:rPr>
      </w:pPr>
      <w:r>
        <w:rPr>
          <w:rFonts w:ascii="Times New Roman;serif" w:hAnsi="Times New Roman;serif"/>
          <w:b w:val="false"/>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360"/>
        <w:jc w:val="both"/>
        <w:rPr/>
      </w:pPr>
      <w:r>
        <w:rPr/>
      </w:r>
    </w:p>
    <w:p>
      <w:pPr>
        <w:pStyle w:val="TextBody"/>
        <w:bidi w:val="0"/>
        <w:spacing w:lineRule="auto" w:line="288" w:before="60" w:after="283"/>
        <w:ind w:left="0" w:right="0" w:firstLine="360"/>
        <w:jc w:val="left"/>
        <w:rPr/>
      </w:pPr>
      <w:r>
        <w:rPr>
          <w:rFonts w:ascii="Times New Roman;serif" w:hAnsi="Times New Roman;serif"/>
          <w:b w:val="false"/>
          <w:color w:val="000000"/>
          <w:sz w:val="17"/>
        </w:rPr>
        <w:t>Indicate by check mark whether the registrant is a shell company (as defined in Rule 12b-2 of the Exchange Act).    Yes  ☐    No  </w:t>
      </w:r>
      <w:r>
        <w:rPr>
          <w:color w:val="000000"/>
        </w:rPr>
        <w:t>☒</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As of June 30, 2025, the aggregate market value of common stock held by non-affiliates was approximately $6,886,850,585.</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As of February 20, 2026, there were 156,383,708 shares of the registrant’s common stock outstanding, par value $0.001 per share.</w:t>
      </w:r>
    </w:p>
    <w:p>
      <w:pPr>
        <w:pStyle w:val="TextBody"/>
        <w:bidi w:val="0"/>
        <w:spacing w:before="60" w:after="283"/>
        <w:ind w:left="0" w:right="0" w:firstLine="360"/>
        <w:jc w:val="left"/>
        <w:rPr/>
      </w:pPr>
      <w:r>
        <w:rPr/>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DOCUMENTS INCORPORATED BY REFERENCE</w:t>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Part III incorporates information from certain portions of the registrant’s definitive proxy statement to be filed with the Securities and Exchange Commission within 120 days after the fiscal year ended December 31,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47"/>
        <w:gridCol w:w="305"/>
        <w:gridCol w:w="309"/>
        <w:gridCol w:w="109"/>
        <w:gridCol w:w="109"/>
        <w:gridCol w:w="109"/>
        <w:gridCol w:w="2816"/>
        <w:gridCol w:w="2788"/>
        <w:gridCol w:w="2800"/>
        <w:gridCol w:w="149"/>
        <w:gridCol w:w="149"/>
        <w:gridCol w:w="21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0">
              <w:r>
                <w:rPr>
                  <w:rStyle w:val="InternetLink"/>
                  <w:rFonts w:ascii="Times New Roman;serif" w:hAnsi="Times New Roman;serif"/>
                  <w:b/>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3">
              <w:r>
                <w:rPr>
                  <w:rStyle w:val="InternetLink"/>
                  <w:rFonts w:ascii="Times New Roman;serif" w:hAnsi="Times New Roman;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13">
              <w:r>
                <w:rPr>
                  <w:rStyle w:val="InternetLink"/>
                  <w:rFonts w:ascii="Times New Roman;serif" w:hAnsi="Times New Roman;serif"/>
                  <w:b w:val="false"/>
                  <w:strike w:val="false"/>
                  <w:dstrike w:val="false"/>
                  <w:color w:val="0000FF"/>
                  <w:sz w:val="20"/>
                  <w:u w:val="none"/>
                  <w:effect w:val="none"/>
                </w:rPr>
                <w:t>1</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6">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16">
              <w:r>
                <w:rPr>
                  <w:rStyle w:val="InternetLink"/>
                  <w:rFonts w:ascii="Times New Roman;serif" w:hAnsi="Times New Roman;serif"/>
                  <w:b w:val="false"/>
                  <w:strike w:val="false"/>
                  <w:dstrike w:val="false"/>
                  <w:color w:val="0000FF"/>
                  <w:sz w:val="20"/>
                  <w:u w:val="none"/>
                  <w:effect w:val="none"/>
                </w:rPr>
                <w:t>12</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9">
              <w:r>
                <w:rPr>
                  <w:rStyle w:val="InternetLink"/>
                  <w:rFonts w:ascii="Times New Roman;serif" w:hAnsi="Times New Roman;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19">
              <w:r>
                <w:rPr>
                  <w:rStyle w:val="InternetLink"/>
                  <w:rFonts w:ascii="Times New Roman;serif" w:hAnsi="Times New Roman;serif"/>
                  <w:b w:val="false"/>
                  <w:strike w:val="false"/>
                  <w:dstrike w:val="false"/>
                  <w:color w:val="0000FF"/>
                  <w:sz w:val="20"/>
                  <w:u w:val="none"/>
                  <w:effect w:val="none"/>
                </w:rPr>
                <w:t>24</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22">
              <w:r>
                <w:rPr>
                  <w:rStyle w:val="InternetLink"/>
                  <w:rFonts w:ascii="Times New Roman;serif" w:hAnsi="Times New Roman;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19">
              <w:r>
                <w:rPr>
                  <w:rStyle w:val="InternetLink"/>
                  <w:rFonts w:ascii="Times New Roman;serif" w:hAnsi="Times New Roman;serif"/>
                  <w:b w:val="false"/>
                  <w:strike w:val="false"/>
                  <w:dstrike w:val="false"/>
                  <w:color w:val="0000FF"/>
                  <w:sz w:val="20"/>
                  <w:u w:val="none"/>
                  <w:effect w:val="none"/>
                </w:rPr>
                <w:t>24</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25">
              <w:r>
                <w:rPr>
                  <w:rStyle w:val="InternetLink"/>
                  <w:rFonts w:ascii="Times New Roman;serif" w:hAnsi="Times New Roman;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25">
              <w:r>
                <w:rPr>
                  <w:rStyle w:val="InternetLink"/>
                  <w:rFonts w:ascii="Times New Roman;serif" w:hAnsi="Times New Roman;serif"/>
                  <w:b w:val="false"/>
                  <w:strike w:val="false"/>
                  <w:dstrike w:val="false"/>
                  <w:color w:val="0000FF"/>
                  <w:sz w:val="20"/>
                  <w:u w:val="none"/>
                  <w:effect w:val="none"/>
                </w:rPr>
                <w:t>25</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28">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28">
              <w:r>
                <w:rPr>
                  <w:rStyle w:val="InternetLink"/>
                  <w:rFonts w:ascii="Times New Roman;serif" w:hAnsi="Times New Roman;serif"/>
                  <w:b w:val="false"/>
                  <w:strike w:val="false"/>
                  <w:dstrike w:val="false"/>
                  <w:color w:val="0000FF"/>
                  <w:sz w:val="20"/>
                  <w:u w:val="none"/>
                  <w:effect w:val="none"/>
                </w:rPr>
                <w:t>25</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31">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31">
              <w:r>
                <w:rPr>
                  <w:rStyle w:val="InternetLink"/>
                  <w:rFonts w:ascii="Times New Roman;serif" w:hAnsi="Times New Roman;serif"/>
                  <w:b w:val="false"/>
                  <w:strike w:val="false"/>
                  <w:dstrike w:val="false"/>
                  <w:color w:val="0000FF"/>
                  <w:sz w:val="20"/>
                  <w:u w:val="none"/>
                  <w:effect w:val="none"/>
                </w:rPr>
                <w:t>26</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34">
              <w:r>
                <w:rPr>
                  <w:rStyle w:val="InternetLink"/>
                  <w:rFonts w:ascii="Times New Roman;serif" w:hAnsi="Times New Roman;serif"/>
                  <w:b/>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37">
              <w:r>
                <w:rPr>
                  <w:rStyle w:val="InternetLink"/>
                  <w:rFonts w:ascii="Times New Roman;serif" w:hAnsi="Times New Roman;serif"/>
                  <w:b w:val="false"/>
                  <w:strike w:val="false"/>
                  <w:dstrike w:val="false"/>
                  <w:color w:val="0000FF"/>
                  <w:sz w:val="20"/>
                  <w:u w:val="none"/>
                  <w:effect w:val="none"/>
                </w:rPr>
                <w:t>27</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40">
              <w:r>
                <w:rPr>
                  <w:rStyle w:val="InternetLink"/>
                  <w:rFonts w:ascii="Times New Roman;serif" w:hAnsi="Times New Roman;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40">
              <w:r>
                <w:rPr>
                  <w:rStyle w:val="InternetLink"/>
                  <w:rFonts w:ascii="Times New Roman;serif" w:hAnsi="Times New Roman;serif"/>
                  <w:b w:val="false"/>
                  <w:strike w:val="false"/>
                  <w:dstrike w:val="false"/>
                  <w:color w:val="0000FF"/>
                  <w:sz w:val="20"/>
                  <w:u w:val="none"/>
                  <w:effect w:val="none"/>
                </w:rPr>
                <w:t>28</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43">
              <w:r>
                <w:rPr>
                  <w:rStyle w:val="InternetLink"/>
                  <w:rFonts w:ascii="Times New Roman;serif" w:hAnsi="Times New Roman;serif"/>
                  <w:b w:val="false"/>
                  <w:strike w:val="false"/>
                  <w:dstrike w:val="false"/>
                  <w:color w:val="0000FF"/>
                  <w:sz w:val="20"/>
                  <w:u w:val="none"/>
                  <w:effect w:val="none"/>
                </w:rPr>
                <w:t>29</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46">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46">
              <w:r>
                <w:rPr>
                  <w:rStyle w:val="InternetLink"/>
                  <w:rFonts w:ascii="Times New Roman;serif" w:hAnsi="Times New Roman;serif"/>
                  <w:b w:val="false"/>
                  <w:strike w:val="false"/>
                  <w:dstrike w:val="false"/>
                  <w:color w:val="0000FF"/>
                  <w:sz w:val="20"/>
                  <w:u w:val="none"/>
                  <w:effect w:val="none"/>
                </w:rPr>
                <w:t>45</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49">
              <w:r>
                <w:rPr>
                  <w:rStyle w:val="InternetLink"/>
                  <w:rFonts w:ascii="Times New Roman;serif" w:hAnsi="Times New Roman;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49">
              <w:r>
                <w:rPr>
                  <w:rStyle w:val="InternetLink"/>
                  <w:rFonts w:ascii="Times New Roman;serif" w:hAnsi="Times New Roman;serif"/>
                  <w:b w:val="false"/>
                  <w:strike w:val="false"/>
                  <w:dstrike w:val="false"/>
                  <w:color w:val="0000FF"/>
                  <w:sz w:val="20"/>
                  <w:u w:val="none"/>
                  <w:effect w:val="none"/>
                </w:rPr>
                <w:t>46</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52">
              <w:r>
                <w:rPr>
                  <w:rStyle w:val="InternetLink"/>
                  <w:rFonts w:ascii="Times New Roman;serif" w:hAnsi="Times New Roman;serif"/>
                  <w:b w:val="false"/>
                  <w:color w:val="0000FF"/>
                  <w:sz w:val="20"/>
                  <w:u w:val="single"/>
                </w:rPr>
                <w:t>Changes in and Disagreement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52">
              <w:r>
                <w:rPr>
                  <w:rStyle w:val="InternetLink"/>
                  <w:rFonts w:ascii="Times New Roman;serif" w:hAnsi="Times New Roman;serif"/>
                  <w:b w:val="false"/>
                  <w:strike w:val="false"/>
                  <w:dstrike w:val="false"/>
                  <w:color w:val="0000FF"/>
                  <w:sz w:val="20"/>
                  <w:u w:val="none"/>
                  <w:effect w:val="none"/>
                </w:rPr>
                <w:t>46</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55">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55">
              <w:r>
                <w:rPr>
                  <w:rStyle w:val="InternetLink"/>
                  <w:rFonts w:ascii="Times New Roman;serif" w:hAnsi="Times New Roman;serif"/>
                  <w:b w:val="false"/>
                  <w:strike w:val="false"/>
                  <w:dstrike w:val="false"/>
                  <w:color w:val="0000FF"/>
                  <w:sz w:val="20"/>
                  <w:u w:val="none"/>
                  <w:effect w:val="none"/>
                </w:rPr>
                <w:t>46</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58">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58">
              <w:r>
                <w:rPr>
                  <w:rStyle w:val="InternetLink"/>
                  <w:rFonts w:ascii="Times New Roman;serif" w:hAnsi="Times New Roman;serif"/>
                  <w:b w:val="false"/>
                  <w:strike w:val="false"/>
                  <w:dstrike w:val="false"/>
                  <w:color w:val="0000FF"/>
                  <w:sz w:val="20"/>
                  <w:u w:val="none"/>
                  <w:effect w:val="none"/>
                </w:rPr>
                <w:t>48</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64">
              <w:r>
                <w:rPr>
                  <w:rStyle w:val="InternetLink"/>
                  <w:rFonts w:ascii="Times New Roman;serif" w:hAnsi="Times New Roman;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64">
              <w:r>
                <w:rPr>
                  <w:rStyle w:val="InternetLink"/>
                  <w:rFonts w:ascii="Times New Roman;serif" w:hAnsi="Times New Roman;serif"/>
                  <w:b w:val="false"/>
                  <w:strike w:val="false"/>
                  <w:dstrike w:val="false"/>
                  <w:color w:val="0000FF"/>
                  <w:sz w:val="20"/>
                  <w:u w:val="none"/>
                  <w:effect w:val="none"/>
                </w:rPr>
                <w:t>48</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67">
              <w:r>
                <w:rPr>
                  <w:rStyle w:val="InternetLink"/>
                  <w:rFonts w:ascii="Times New Roman;serif" w:hAnsi="Times New Roman;serif"/>
                  <w:b/>
                  <w:color w:val="0000FF"/>
                  <w:sz w:val="20"/>
                  <w:u w:val="single"/>
                </w:rPr>
                <w:t>PART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70">
              <w:r>
                <w:rPr>
                  <w:rStyle w:val="InternetLink"/>
                  <w:rFonts w:ascii="Times New Roman;serif" w:hAnsi="Times New Roman;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70">
              <w:r>
                <w:rPr>
                  <w:rStyle w:val="InternetLink"/>
                  <w:rFonts w:ascii="Times New Roman;serif" w:hAnsi="Times New Roman;serif"/>
                  <w:b w:val="false"/>
                  <w:strike w:val="false"/>
                  <w:dstrike w:val="false"/>
                  <w:color w:val="0000FF"/>
                  <w:sz w:val="20"/>
                  <w:u w:val="none"/>
                  <w:effect w:val="none"/>
                </w:rPr>
                <w:t>49</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73">
              <w:r>
                <w:rPr>
                  <w:rStyle w:val="InternetLink"/>
                  <w:rFonts w:ascii="Times New Roman;serif" w:hAnsi="Times New Roman;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73">
              <w:r>
                <w:rPr>
                  <w:rStyle w:val="InternetLink"/>
                  <w:rFonts w:ascii="Times New Roman;serif" w:hAnsi="Times New Roman;serif"/>
                  <w:b w:val="false"/>
                  <w:strike w:val="false"/>
                  <w:dstrike w:val="false"/>
                  <w:color w:val="0000FF"/>
                  <w:sz w:val="20"/>
                  <w:u w:val="none"/>
                  <w:effect w:val="none"/>
                </w:rPr>
                <w:t>49</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76">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76">
              <w:r>
                <w:rPr>
                  <w:rStyle w:val="InternetLink"/>
                  <w:rFonts w:ascii="Times New Roman;serif" w:hAnsi="Times New Roman;serif"/>
                  <w:b w:val="false"/>
                  <w:strike w:val="false"/>
                  <w:dstrike w:val="false"/>
                  <w:color w:val="0000FF"/>
                  <w:sz w:val="20"/>
                  <w:u w:val="none"/>
                  <w:effect w:val="none"/>
                </w:rPr>
                <w:t>49</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79">
              <w:r>
                <w:rPr>
                  <w:rStyle w:val="InternetLink"/>
                  <w:rFonts w:ascii="Times New Roman;serif" w:hAnsi="Times New Roman;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79">
              <w:r>
                <w:rPr>
                  <w:rStyle w:val="InternetLink"/>
                  <w:rFonts w:ascii="Times New Roman;serif" w:hAnsi="Times New Roman;serif"/>
                  <w:b w:val="false"/>
                  <w:strike w:val="false"/>
                  <w:dstrike w:val="false"/>
                  <w:color w:val="0000FF"/>
                  <w:sz w:val="20"/>
                  <w:u w:val="none"/>
                  <w:effect w:val="none"/>
                </w:rPr>
                <w:t>50</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82">
              <w:r>
                <w:rPr>
                  <w:rStyle w:val="InternetLink"/>
                  <w:rFonts w:ascii="Times New Roman;serif" w:hAnsi="Times New Roman;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82">
              <w:r>
                <w:rPr>
                  <w:rStyle w:val="InternetLink"/>
                  <w:rFonts w:ascii="Times New Roman;serif" w:hAnsi="Times New Roman;serif"/>
                  <w:b w:val="false"/>
                  <w:strike w:val="false"/>
                  <w:dstrike w:val="false"/>
                  <w:color w:val="0000FF"/>
                  <w:sz w:val="20"/>
                  <w:u w:val="none"/>
                  <w:effect w:val="none"/>
                </w:rPr>
                <w:t>50</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85">
              <w:r>
                <w:rPr>
                  <w:rStyle w:val="InternetLink"/>
                  <w:rFonts w:ascii="Times New Roman;serif" w:hAnsi="Times New Roman;serif"/>
                  <w:b/>
                  <w:color w:val="0000FF"/>
                  <w:sz w:val="20"/>
                  <w:u w:val="single"/>
                </w:rPr>
                <w:t>PART IV.</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88">
              <w:r>
                <w:rPr>
                  <w:rStyle w:val="InternetLink"/>
                  <w:rFonts w:ascii="Times New Roman;serif" w:hAnsi="Times New Roman;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88">
              <w:r>
                <w:rPr>
                  <w:rStyle w:val="InternetLink"/>
                  <w:rFonts w:ascii="Times New Roman;serif" w:hAnsi="Times New Roman;serif"/>
                  <w:b w:val="false"/>
                  <w:strike w:val="false"/>
                  <w:dstrike w:val="false"/>
                  <w:color w:val="0000FF"/>
                  <w:sz w:val="20"/>
                  <w:u w:val="none"/>
                  <w:effect w:val="none"/>
                </w:rPr>
                <w:t>50</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91">
              <w:r>
                <w:rPr>
                  <w:rStyle w:val="InternetLink"/>
                  <w:rFonts w:ascii="Times New Roman;serif" w:hAnsi="Times New Roman;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88">
              <w:r>
                <w:rPr>
                  <w:rStyle w:val="InternetLink"/>
                  <w:rFonts w:ascii="Times New Roman;serif" w:hAnsi="Times New Roman;serif"/>
                  <w:b w:val="false"/>
                  <w:strike w:val="false"/>
                  <w:dstrike w:val="false"/>
                  <w:color w:val="0000FF"/>
                  <w:sz w:val="20"/>
                  <w:u w:val="none"/>
                  <w:effect w:val="none"/>
                </w:rPr>
                <w:t>50</w:t>
              </w:r>
            </w:hyperlink>
          </w:p>
        </w:tc>
      </w:tr>
      <w:tr>
        <w:trPr/>
        <w:tc>
          <w:tcPr>
            <w:tcW w:w="96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94">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94">
              <w:r>
                <w:rPr>
                  <w:rStyle w:val="InternetLink"/>
                  <w:rFonts w:ascii="Times New Roman;serif" w:hAnsi="Times New Roman;serif"/>
                  <w:b w:val="false"/>
                  <w:strike w:val="false"/>
                  <w:dstrike w:val="false"/>
                  <w:color w:val="0000FF"/>
                  <w:sz w:val="20"/>
                  <w:u w:val="none"/>
                  <w:effect w:val="none"/>
                </w:rPr>
                <w:t>51</w:t>
              </w:r>
            </w:hyperlink>
          </w:p>
        </w:tc>
      </w:tr>
      <w:tr>
        <w:trPr/>
        <w:tc>
          <w:tcPr>
            <w:tcW w:w="96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97">
              <w:r>
                <w:rPr>
                  <w:rStyle w:val="InternetLink"/>
                  <w:rFonts w:ascii="Times New Roman;serif" w:hAnsi="Times New Roman;serif"/>
                  <w:b w:val="false"/>
                  <w:color w:val="0000FF"/>
                  <w:sz w:val="20"/>
                  <w:u w:val="single"/>
                </w:rPr>
                <w:t>EXHIBIT INDEX</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0a3f0a95d247d680ff7135b4c006ae_97">
              <w:r>
                <w:rPr>
                  <w:rStyle w:val="InternetLink"/>
                  <w:rFonts w:ascii="Times New Roman;serif" w:hAnsi="Times New Roman;serif"/>
                  <w:b w:val="false"/>
                  <w:strike w:val="false"/>
                  <w:dstrike w:val="false"/>
                  <w:color w:val="0000FF"/>
                  <w:sz w:val="20"/>
                  <w:u w:val="none"/>
                  <w:effect w:val="none"/>
                </w:rPr>
                <w:t>52</w:t>
              </w:r>
            </w:hyperlink>
          </w:p>
        </w:tc>
      </w:tr>
      <w:tr>
        <w:trPr/>
        <w:tc>
          <w:tcPr>
            <w:tcW w:w="96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00">
              <w:r>
                <w:rPr>
                  <w:rStyle w:val="InternetLink"/>
                  <w:rFonts w:ascii="Times New Roman;serif" w:hAnsi="Times New Roman;serif"/>
                  <w:b w:val="false"/>
                  <w:color w:val="0000FF"/>
                  <w:sz w:val="20"/>
                  <w:u w:val="single"/>
                </w:rPr>
                <w:t>INDEX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661DE8"/>
                <w:sz w:val="20"/>
                <w:u w:val="single"/>
              </w:rPr>
              <w:t>F-</w:t>
            </w:r>
            <w:hyperlink w:anchor="i550a3f0a95d247d680ff7135b4c006ae_100">
              <w:r>
                <w:rPr>
                  <w:rStyle w:val="InternetLink"/>
                  <w:rFonts w:ascii="Times New Roman;serif" w:hAnsi="Times New Roman;serif"/>
                  <w:b w:val="false"/>
                  <w:color w:val="000080"/>
                  <w:sz w:val="20"/>
                  <w:u w:val="singl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ExlService Holdings, Inc. (“EXL,” “we,” “us,” “our” or the “Company”), incorporated in Delaware in 2002, is a global data and artificial intelligence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 EXL was founded in 1999 with the core values of innovation, collaboration, excellence, integrity and respect. We are headquartered in New York and have over 65,000 employees spanning six continents.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Using our deep understanding of the industry that we have developed in over 25 years of managing critical business operations, we help enterprises unlock the full value of their structured and unstructured data and embed AI into their workflows. We deliver business outcomes for our clients at speed and scale, by reinventing their business models through advanced analytics and AI powered digital operations to help them achieve superior customer experience, higher productivity, cost efficiency and business growth. Our vision of being an indispensable partner for data and AI-led transformation reflects the long-term priorities of our clients' businesses across industry sectors, and we continue to evolve our offerings with a variety of AI services and solutions.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One of our key assets is our global delivery network, which includes highly trained industry and process specialists across the United States, the United Kingdom, Latin America, South Africa, Europe and Asia (primarily India and the Philippines). We have operations centers in India, the United States, the Philippines, South Africa, Colombia, Bulgaria, Romania, the United Kingdom, the Czech Republic, Mexico and the Republic of Ireland.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we implemented operational and structural changes to accelerate the execution of our data and AI strategy and align with how our management reviews financial information and makes operating decisions. The new operating model is comprised of Industry Market Units (“IMUs”) to focus on delivering higher value to clients leveraging our full suite of capabilities; and Strategic Growth Units (“SGUs”) to focus on rapidly advancing our operational, analytics, data management, digital engineering, and AI capabilities specific to our chosen industries. Our IMUs focus on managing customer relationships and delivering the “One EXL” value proposition to clients, maintaining a unified go-to-market approach and being integrally responsible for growth, profitability and client satisfaction.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our new reportable segments, aligned to our IMUs, are as follows: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Insurance,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Healthcare and Life Sciences,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Banking, Capital Markets and Diversified Industries,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International Growth Markets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changes in our new reportable segments reflect 1) the integration of our former Analytics reportable segment as a core capability within each of our IMUs, ensuring alignment with the specialized needs of our clients across IMUs, 2) the reorganization of our former Emerging Business reportable segment into a Banking, Capital Markets and Diversified Industries reportable segment, excluding Life Sciences, which is now a part of the new Healthcare and Life Sciences reportable segment, and 3) the formation of International Growth Markets as a separate IMU to represent all our services and solutions offerings to clients in the United Kingdom, Europe, Middle East, Asia-Pacific and South Africa geographies across all industry verticals. The International Growth Markets IMU is helping strategically expand our footprint in markets outside of North America and drive focus on offerings and expansion in those markets in new and existing clients.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revenues by service type are now presented as data and AI-led solutions and services and digital operations solutions and services. Revenues attributable to geographical regions are now presented as North America (including the United States, Canada and Mexico), the United Kingdom and Europe, and Rest of World.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Our Services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data and AI-led solutions and services and digital operations solutions and services to our clients. We market and sell our solutions and services to existing and prospective clients through our sales and client management teams, which are aligned by our IMUs. Our sales and client management teams operate primarily from the United States, India, the United Kingdom, Ireland and Australia.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Data and AI-led</w:t>
      </w:r>
    </w:p>
    <w:p>
      <w:pPr>
        <w:pStyle w:val="TextBody"/>
        <w:bidi w:val="0"/>
        <w:spacing w:lineRule="auto" w:line="26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 xml:space="preserve">In our data and AI-led solutions and services we embed data and AI into client workflows, leveraging our deep domain knowledge, analytics, data management and digital engineering expertise. Our industry-specific offerings are designed to help our clients address large and complex business challenges, accelerate growth, improve customer experience, enhance efficiency, and deliver lasting competitive advantages. As clients evolve from digital operations to data and AI-powered operations, this evolution represents the next stage of enterprise transformation. </w:t>
      </w:r>
    </w:p>
    <w:p>
      <w:pPr>
        <w:pStyle w:val="TextBody"/>
        <w:bidi w:val="0"/>
        <w:spacing w:before="0" w:after="0"/>
        <w:ind w:left="0" w:right="0" w:firstLine="440"/>
        <w:jc w:val="both"/>
        <w:rPr/>
      </w:pPr>
      <w:r>
        <w:rPr/>
      </w:r>
    </w:p>
    <w:p>
      <w:pPr>
        <w:pStyle w:val="TextBody"/>
        <w:bidi w:val="0"/>
        <w:spacing w:lineRule="auto" w:line="26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We deliver modern, cloud ready data management by unifying fragmented data, strengthening governance, and enabling AI driven decisioning. Our capabilities span data modernization, automated quality, secure pipelines, and enterprise grade data architecture.</w:t>
      </w:r>
    </w:p>
    <w:p>
      <w:pPr>
        <w:pStyle w:val="TextBody"/>
        <w:bidi w:val="0"/>
        <w:spacing w:before="0" w:after="0"/>
        <w:ind w:left="0" w:right="0" w:firstLine="440"/>
        <w:jc w:val="both"/>
        <w:rPr/>
      </w:pPr>
      <w:r>
        <w:rPr/>
      </w:r>
    </w:p>
    <w:p>
      <w:pPr>
        <w:pStyle w:val="TextBody"/>
        <w:bidi w:val="0"/>
        <w:spacing w:lineRule="auto" w:line="26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Our digital engineering teams design and build scalable, intelligent solutions across cloud, automation, application modernization, and digital product development. By combining engineering rigor with deep domain knowledge, we help clients accelerate transformation, modernize legacy systems, and rapidly deploy AI-enabled digital experiences.</w:t>
      </w:r>
    </w:p>
    <w:p>
      <w:pPr>
        <w:pStyle w:val="TextBody"/>
        <w:bidi w:val="0"/>
        <w:spacing w:before="0" w:after="0"/>
        <w:ind w:left="0" w:right="0" w:firstLine="440"/>
        <w:jc w:val="both"/>
        <w:rPr/>
      </w:pPr>
      <w:r>
        <w:rPr/>
      </w:r>
    </w:p>
    <w:p>
      <w:pPr>
        <w:pStyle w:val="TextBody"/>
        <w:bidi w:val="0"/>
        <w:spacing w:lineRule="auto" w:line="26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 xml:space="preserve">We support our clients wherever they are in their AI transformation journey—early discovery, data modernization, pilot experimentation, or enterprise-scale deployment. Our role includes defining strategy, strengthening data readiness, building and operationalizing AI products, and embedding AI within everyday processes. As part of this journey, we help clients build scalable, cloud-native data platforms by migrating legacy environments using our proprietary accelerators and strong partnerships ecosystem. Our focus is on creating AI-ready data foundations—ensuring that client data is well-organized, high-quality, secure, and accessible across the enterprise. By modernizing data environments and enabling reliable, governed, and unified data assets, we position organizations to confidently adopt advanced analytics, machine learning, and generative AI at scale. This accelerates their transformations and unlocks faster, more measurable business value from AI. We aim to facilitate AI adoption in a manner that is practical, secure, value-driven, and aligned to our clients’ business priorities and industry-related requirements. </w:t>
      </w:r>
    </w:p>
    <w:p>
      <w:pPr>
        <w:pStyle w:val="TextBody"/>
        <w:bidi w:val="0"/>
        <w:spacing w:before="0" w:after="0"/>
        <w:ind w:left="0" w:right="0" w:firstLine="440"/>
        <w:jc w:val="both"/>
        <w:rPr/>
      </w:pPr>
      <w:r>
        <w:rPr/>
      </w:r>
    </w:p>
    <w:p>
      <w:pPr>
        <w:pStyle w:val="TextBody"/>
        <w:bidi w:val="0"/>
        <w:spacing w:lineRule="auto" w:line="26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 xml:space="preserve">With our proprietary agentic AI platform, the orchestration of data, digital, and domain-specialized AI solutions is being enabled to transform mission-critical operations at scale. Our key digital and AI capabilities that drive data and technology-led transformation for our clients include generative AI, reinforcement learning, hyper automation, cloud data management, conversational AI, robotics, enterprise architecture development, integration platform as a service and AI for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key solutions are: </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EXL Domain or Industry Specific Large Language Model (“LLM”). For example, Insurance LLM is an industry-specific LLM that supports claims and underwriting-related tasks, such as claims reconciliation, data extraction and interpretation, question-answering, anomaly detection and chronology summarization. </w:t>
      </w:r>
    </w:p>
    <w:p>
      <w:pPr>
        <w:pStyle w:val="TextBody"/>
        <w:bidi w:val="0"/>
        <w:spacing w:before="0" w:after="0"/>
        <w:ind w:left="0" w:right="0" w:firstLine="18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EXLData.AI, an agentic AI-native solution which modernizes and unifies fragmented, siloed enterprise data embeds intelligence across the full data lifecycle using agentic architecture, integrates seamlessly with Databricks, Snowflake, AWS and other ecosystems, and accelerates AI adoption by making enterprise data “AI ready”.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Generative AI platform for the development and deployment of our proprietary solutions, including, among others, Smart Agent Assist, Claims Assist, Conversational Business Intelligence and Code Harbor.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Xtrakto.AI is a patented and AI-powered solution designed to alleviate the challenges of managing unstructured data. PayMentor is an AI-powered collections and receivables management solution designed to optimize the debt collection process.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generative AI ecosystem spans data to decision pipelines, combining platform-native accelerators, agentic automation, domain specific LLMs, workflow orchestration, code modernization tools, and enterprise enablement frameworks. Together, these tools make AI deeply embedded in client workflows, delivering faster, more intelligent, end to end digital transformation.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Digital Operations</w:t>
      </w:r>
    </w:p>
    <w:p>
      <w:pPr>
        <w:pStyle w:val="TextBody"/>
        <w:bidi w:val="0"/>
        <w:spacing w:before="0" w:after="0"/>
        <w:ind w:left="0" w:right="0" w:firstLine="72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digital operations business comprises technology-enabled managed services that blend our deep domain expertise with our industry-specific solutions and services that help clients run mission-critical business functions with enhanced productivity, streamlined workflows, greater speed and improved accuracy, reduce operating costs and gain more scalable business outcomes. Drawing on over two decades of experience in managing complex operations across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healthcare and life sciences, banking, capital markets, and diversified industries across markets, our digital operations team applies deep industry expertise and tailored proprietary or client-owned technology to solve complex challenges and drive measurable outcomes. These digital operations deployments form the foundation for future client transformation opportunities to infuse AI into client workflows and unlock even greater value.</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Our Segments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reportable segments, aligned to our IMUs, which provide data and AI-led solutions and services and digital operations solutions and services, are described below.</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i/>
          <w:color w:val="000000"/>
          <w:sz w:val="20"/>
        </w:rPr>
        <w:t>Insurance:</w:t>
      </w:r>
      <w:r>
        <w:rPr>
          <w:color w:val="000000"/>
        </w:rPr>
        <w:t xml:space="preserve"> </w:t>
      </w:r>
      <w:r>
        <w:rPr>
          <w:rFonts w:ascii="Times New Roman;serif" w:hAnsi="Times New Roman;serif"/>
          <w:b w:val="false"/>
          <w:color w:val="000000"/>
          <w:sz w:val="20"/>
        </w:rPr>
        <w:t>Our Insurance IMU serves property and casualty insurance, life insurance, disability insurance, insurance brokers, reinsurers, annuity and retirement services and insurtech companies. Our data and AI-led solutions and services and digital operations solutions and services span across the insurance value chain.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end-to-end data and AI-led solutions and services and digital operations solutions and services across the insurance industry encompassing claims management, premium and benefit administration, agency management, account reconciliation, actuarial and risk analytics, policy research, digital marketing, new business acquisition, underwriting support, policy servicing, premium audit, surveys, billing and collection, commercial and residential survey and customer service using digital technology, AI, including agentic AI, generative AI, machine learning (“ML”) and advanced automation. We also combine our cloud-first digital insurance software solutions and industry expertise with agentic AI, generative AI, machine learning, advanced analytics, and platforms. Our Insurance Large Language Model (“LLM”), an industry-specific generative AI platform for claims, underwriting and subrogation that we developed leveraging our deep experience and proprietary data in the insurance industry. In addition, we provide a suite of data and AI-led finance and accounting services that include financial planning and analysis, decision support, GAAP and STAT accounting, regulatory and statutory reporting, and compliance services in addition to core finance operations. We bring a data and AI-led and practical digital approach to finance and accounting, enabling our clients to simplify and scale their finance and accounting processes, drive stakeholder centricity, improve controls and compliance, reduce operating costs and deliver rich data and AI-led insights to our clients’ businesses.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provide end-to-end third-party administration for life and annuity insurance policies, which include digital customer acquisition services using a SaaS delivery model through our LifePRO® and Life Digital Suite platforms that help clients administer life insurance, annuities and credit life and disability insurance policies. In addition, we provide subrogation services to property and casualty insurers using a business process-as-a-service delivery model and our proprietary Subrosource® software platform, the largest commercial end-to-end subrogation platform. Subrosource® integrates with client systems, manages recovery workflow, increases recoveries and reduces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i/>
          <w:color w:val="000000"/>
          <w:sz w:val="20"/>
        </w:rPr>
        <w:t>Healthcare and Life Sciences:</w:t>
      </w:r>
      <w:r>
        <w:rPr>
          <w:color w:val="000000"/>
        </w:rPr>
        <w:t xml:space="preserve"> </w:t>
      </w:r>
      <w:r>
        <w:rPr>
          <w:rFonts w:ascii="Times New Roman;serif" w:hAnsi="Times New Roman;serif"/>
          <w:b w:val="false"/>
          <w:color w:val="000000"/>
          <w:sz w:val="20"/>
        </w:rPr>
        <w:t xml:space="preserve">Our Healthcare and Life Sciences IMU primarily serves U.S.-based healthcare payers, providers, pharmacy benefit managers (“PBMs”), and life sciences organizations, helping them address their operational, regulatory and customer-facing dynamic business challenges. We combine deep healthcare and life sciences domain expertise with data, analytics and AI-led insights and technology-enabled services to transform how care is delivered, managed and paid at these organizations.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services related to care management, utilization management, disease management, payment integrity, revenue optimization and customer engagement, commercial analytics, regulatory support, which address the market need for improved healthcare outcomes, enhanced patient and provider experience and optimized healthcare spending.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Through our integrated range of data and AI-led solutions and services and digital operations solutions and services offerings, we streamline healthcare administration processes, enhance operational efficiency, reduce costs for both providers and consumers and improve consumer experience by simplifying complex workflows and, minimizing administrative hurdles.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healthcare payers, our payment integrity services help improve claims accuracy and reduce fraud, and waste. We offer pre-pay and post-pay audit solutions, payment analytics that leverage advanced analytics, data mining, AI, NLP, and automation to identify overpayment claims, verify eligibility, assess contractual compliance to support both pre</w:t>
        <w:noBreakHyphen/>
        <w:t>pay and post</w:t>
        <w:noBreakHyphen/>
        <w:t>pay audit programs. In addition, we offer subrogation and claims recovery, care management and patient navigation solutions to our clients. For healthcare providers, we offer revenue cycle management, digital transformation, data-driven analytics and contact center solutions. For PBMs, we provide digital transformation, data and analytics and call center modernization. Our integrated care management offering, including our proprietary clinical data, connects payers, providers and members to increase efficiency and effectiveness across all aspects of care management, including medical, pharmacy and behavioral health.</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Life Sciences offerings combine domain expertise, data engineering, AI-driven insight generation, and digital operations to deliver outcomes across commercial, clinical, regulatory, and patient support functions. We act as a transformation partner for life sciences organizations seeking to modernize operations, comply with evolving regulations, accelerate clinical and commercial performance, and embed AI deeply into the enterprise.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leverage AI, including agentic AI and generative AI, ML, advanced analytics, and cloud-based solutions across the segment to enhance value-based care, optimize claims, and ensure regulatory compliance to deliver improved efficiency, business outcomes and consumer experience.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i/>
          <w:color w:val="000000"/>
          <w:sz w:val="20"/>
        </w:rPr>
        <w:t>Banking, Capital Markets and Diversified Industries:</w:t>
      </w:r>
      <w:r>
        <w:rPr>
          <w:color w:val="000000"/>
        </w:rPr>
        <w:t xml:space="preserve"> </w:t>
      </w:r>
      <w:r>
        <w:rPr>
          <w:rFonts w:ascii="Times New Roman;serif" w:hAnsi="Times New Roman;serif"/>
          <w:b w:val="false"/>
          <w:color w:val="000000"/>
          <w:sz w:val="20"/>
        </w:rPr>
        <w:t>Our Banking, Capital Markets, and Diversified Industries group delivers comprehensive solutions across a broad spectrum of sectors, including consumer and commercial banking, credit card and payment services, fintech, wealth and retirement services, capital markets, utilities, retail and consumer packaged goods, communications, media and entertainment, travel and leisure, transportation and logistics, infrastructure and other business services.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By integrating deep domain expertise with AI-driven decision-making, we enable financial institutions to innovate, enhance operational agility, and adapt to evolving market demands. We embed analytics and AI across the entire customer lifecycle, from acquisition, customer management to retention. Our risk management solutions help clients manage credit risk, minimize fraud losses and maximize returns from collections. Our marketing and customer analytics solutions help clients increase acquisitions, improve cross-selling, maximize customer lifetime value, enhance retention and optimize portfolio performance. Our integrated operations services encompass the full range of banking operations, including digital lending solutions that improve underwriting and compliance, omni-channel marketing, digital onboarding, know-your-customer (“KYC”) and anti-money laundering (“AML”) compliance, collections, fraud prevention, and customer servicing, among others. Our industry-leading, AI and automation driven service offerings are designed to drive operational efficiency and foster innovation across the financial services and other industries.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retail and consumer packaged goods sectors, we enable advanced supply chain performance through AI-driven analytics. Our solutions support smarter merchandising, dynamic pricing, and highly accurate demand forecasting. In the energy and infrastructure sector, we deliver comprehensive end-to-end lifecycle services covering onboarding, terminations, engineering field operations, billing, and debt management. These capabilities are strengthened by AI-enabled operations, advanced data management, and analytics solutions that improve collections, customer lifecycle visibility, sentiment insights and carbon footprint management. Collectively, these capabilities position enterprises to deliver more proactive processes, enhanced operational efficiency, and predictable, high-quality customer experiences. In the media industry, we help clients unlock new growth opportunities through data-driven insights. Our offerings include advertisement and broadcasting analytics, call center performance optimization, personalized marketing suites, fan lifecycle management, and streamlined ticketing operations. Our business and tech services group delivers comprehensive solutions including integrated finance and accounting services, back-office operations, Human Resources Outsourcing (“HRO”), and customer service solutions that form the operational foundation for our clients' success. By embedding intelligence, automation, and strategic data insights across these diverse sectors, we empower businesses to innovate, operate efficiently, and stay ahead in a rapidly evolving marketplace.</w:t>
      </w:r>
    </w:p>
    <w:p>
      <w:pPr>
        <w:pStyle w:val="TextBody"/>
        <w:bidi w:val="0"/>
        <w:spacing w:lineRule="auto" w:line="288" w:before="180" w:after="180"/>
        <w:ind w:left="0" w:right="0" w:firstLine="450"/>
        <w:jc w:val="both"/>
        <w:rPr/>
      </w:pPr>
      <w:r>
        <w:rPr>
          <w:rFonts w:ascii="Times New Roman;serif" w:hAnsi="Times New Roman;serif"/>
          <w:b/>
          <w:i/>
          <w:color w:val="000000"/>
          <w:sz w:val="20"/>
        </w:rPr>
        <w:t>International Growth Markets:</w:t>
      </w:r>
      <w:r>
        <w:rPr>
          <w:color w:val="000000"/>
        </w:rPr>
        <w:t xml:space="preserve"> </w:t>
      </w:r>
      <w:r>
        <w:rPr>
          <w:rFonts w:ascii="Times New Roman;serif" w:hAnsi="Times New Roman;serif"/>
          <w:b w:val="false"/>
          <w:color w:val="000000"/>
          <w:sz w:val="20"/>
        </w:rPr>
        <w:t xml:space="preserve">Our International Growth Markets (“IGM”) IMU is focused on strengthening our global footprint outside of North America and customizing offerings for diverse regional requirements. We ensure customized delivery while leveraging EXL’s global capabilities in data, AI, and digital operations to drive differentiated business outcomes for our clients in growth markets. This provides us with opportunities to leverage our investments, experience, and expertise from the North America market to expand our global client base, drive further growth, and bring us closer to our clients and partners across the world.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IGM consists of dedicated teams servicing clients in the insurance, life sciences, banking and capital markets, energy and infrastructure, retail, consumer goods, and travel industries in growth markets. This IMU is instrumental in localizing our global capabilities with the local regulatory, cultural, linguistic and economic needs of our clients across industry segments. Across all regions in which we operate, we combine deep domain industry experience with our data and AI expertise to help clients innovate, enhance operational agility, adapt to changing market demands, and drive business transformation.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data and AI company that provides strategic data and AI-led solutions and services and digital operations solutions and services to our clients. We help our clients reinvent their business models, drive better business outcomes and unlock growth with speed. We do this through our data and AI-led value creation framework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68" w:before="180" w:after="180"/>
        <w:jc w:val="both"/>
        <w:rPr>
          <w:rFonts w:ascii="Times New Roman;serif" w:hAnsi="Times New Roman;serif"/>
          <w:b w:val="false"/>
          <w:color w:val="000000"/>
          <w:sz w:val="20"/>
        </w:rPr>
      </w:pPr>
      <w:r>
        <w:rPr>
          <w:rFonts w:ascii="Times New Roman;serif" w:hAnsi="Times New Roman;serif"/>
          <w:b w:val="false"/>
          <w:color w:val="000000"/>
          <w:sz w:val="20"/>
        </w:rPr>
        <w:t>enable better and faster decision making, leveraging our end-to-end data and analytics capabilities to drive improved business outcomes, and re-designing operating models to integrate AI and advanced technology into operational workflows. To enable these AI-led workflow transformations, we employ our deep understanding of process workflows, access to proprietary and real-time data, and industry-specific AI solutions to help us drive performance and differentiate ourselves as the partner of choice for our clients and prospective clients for AI-led transformation. We have invested in advancing our data and AI capabilities, including our domain-specific AI solutions that we can scale quickly across clients and industries, where applicable. Below are some of our strategic focus areas.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Expanding our Addressable Markets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continued focus is on the insurance, healthcare and life sciences, banking, capital markets and diversified industries including retail, communications and media, and energy and infrastructure industries, among others, which are large markets with high demand, as well as pursuing opportunities in emerging industries. We also continue to build our client portfolio and increase client penetration across all of our services offerings. We are strategically equipped to help our clients through each step of their digital transformation journeys based on our deep baseline understanding of their businesses and processes gained from delivering digital operations solutions and services. Combining our domain expertise with data, advanced analytics, cloud, AI and ML, we achieve desired transformational outcomes with speed. As demand for AI services increases, we will see adoption move to embedding AI directly into redesigned operational workflows. We look for opportunities to penetrate deeper into new buying centers at existing clients. At the same time, we aim to strengthen our market presence by acquiring new clients and continue to enhance our offerings through innovation and expanding our partner network. This approach positions us well to drive sustainable growth, increase revenues, and build long-term strategic partnerships across industries.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Integrating our Data and AI-Led Capabilities and Domain Expertise</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combination of our data and AI-led capabilities and domain expertise has been central to our market differentiation. Our unique combination of long standing, trusted industry client relationships, data and analytics foundation and AI-powered workflows drive our sustainable revenue growth.</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Cultivating Long-term Relationships and Expanding our Client Base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Increasing the depth and breadth of the services we provide across our clients’ value chains and geographies;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Offering the full suite of our services, which include data and AI-led solutions and services and digital operations solutions and services;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Supporting our clients’ geographic expansions by leveraging our global footprint.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continue building a portfolio of Fortune 500 and Forbes Global 2000 companies in our focus industries that have complex and diverse data and AI-led processes and, accordingly, stand to benefit significantly from our services. We also intend to cultivate long-term relationships with medium-sized companies in our industries by leveraging our data, AI solutions and services, and digital capabilities.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Optimizing our Global Delivery Footprint and Operational Infrastructure in the Countries and Regions where we Operate</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network of delivery centers and operational footprint is designed to serve the needs of our business, including delivering for our clients, driving efficiencies and adapting to hybrid working model. We continually optimize our network based on facility usage and business requirements.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Pursuing Strategic Acquisitions and Partnerships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selective pursuit of mergers and acquisitions (“M&amp;A”) continues to be important to the execution of our growth strategy, and is aimed at strengthening our capabilities, enhancing our solutions roadmap, and boosting our competitiveness.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will continue to deploy capital to accelerate our data and AI-led growth agenda, and develop industry capabilities that support vertical and geographic expansion through M&amp;A.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engagement across the partner ecosystem remains an important component of our data and AI-led strategy. Close collaboration with strategic partners enables us to combine our deep industry and implementation expertise with their horizontal and technology capabilities to deliver differentiated solutions and services that address evolving client needs. We aim to position EXL as a preferred partner by leveraging our strengths in domain and data, investing in partner capabilities and aligning go-to-market activities with key partners.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Sales, Marketing and Client Management</w:t>
      </w:r>
    </w:p>
    <w:p>
      <w:pPr>
        <w:pStyle w:val="TextBody"/>
        <w:bidi w:val="0"/>
        <w:spacing w:lineRule="auto" w:line="26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 xml:space="preserve">We market and sell our services to existing and prospective clients through our sales and client management teams, partner relationships, industry forums, and marketing programs.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and client management teams are aligned by IMUs, and have expertise in data and AI-led solutions and services and digital operations solutions and services. As of December 31, 2025, we employed approximately 390 sales, marketing, business development, and client management professionals based in various geographies, including the United States, the United Kingdom, Ireland, Australia and India.</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marketing and business development teams are responsible for new client acquisition, nurturing and growing current client relationships, public relations, analyst relations, lead generation, content development, campaign management, digital and/or web presence, brand awareness and participation in industry forums and conferences.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Clients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generated revenues from approximately 590 clients and 570 clients in 2025 and 2024, respectively (with annual revenue exceeding $50,000 per client). We won 65 and 69 new clients during 2025 and 2024, respectively.</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top three, five and ten clients generated 17.8%, 23.9% and 34.0% of our revenues, respectively, in 2025. Our top three, five and ten clients generated 17.2%, 23.0% and 33.2% of our revenues, respectively, in 2024. No client accounted for more than 10% of our total revenues in 2025 or 2024. Our revenue concentration with our top clients typically remains consistent year-over-year, but we continue to develop relationships with new clients to diversify our client base. We believe that the loss of any significant client in a particular segment could have a material adverse effect on the financial performance of that segment. For details refer Part I, Item 1A, “Risk Factors” under “Risks Related to Our Business––We earn a substantial portion of our revenues from a limited number of clients that are mainly located in the United States.”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long-term relationships with our clients typically evolve from providing a single, discrete service or process into providing a series of complex, integrated processes across multiple business lines. Our contracts with clients typically take the form of a master services agreement (MSA), which is a framework agreement that we then supplement with statements of work (SOWs), which are each individually negotiated with the client.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80" w:after="18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in the data and AI-led solutions and services and digital operations solutions and services industry is intense and growing. The competitive landscape continues to converge on AI, with various service providers embedding and providing AI as part of their solutions, including consultants, advisory service providers, or pure-play AI products, or clients opting to develop AI solutions internally. </w:t>
      </w:r>
    </w:p>
    <w:p>
      <w:pPr>
        <w:pStyle w:val="TextBody"/>
        <w:bidi w:val="0"/>
        <w:spacing w:lineRule="auto" w:line="288" w:before="180" w:after="18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We believe our key advantage is our ability to orchestrate AI, domain expertise, data, digital, advanced analytics and human design expertise to enable delivery of business. We compete primarily against: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large global companies with data and AI-led capabilities, who help to implement AI into business workflows such as Cognizant Technology Solutions, Genpact Limited, Infosys, NTT DATA, and Tata Consultancy Services;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niche industry-specific digital operations solutions and services providers such as Cotiviti and Optum Health;</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niche analytics/AI services providers and platform providers such as Fractal, Latentview Analytics and platform vendors like Guidewire;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pure-play AI solutions / platform vendors such as Salesforce, Gradient AI;</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global capability centers or other internal resources of a potential client;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leading management consulting firms providing AI advisory and embedding AI solutions in workflows such as Accenture, Deloitte, Capgemini.</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compete against these entities by working to differentiate ourselves as a strategic partner for businesses with deep industry expertise, sophisticated data and AI capabilities, innovative digital operations and solutions, strong client relationships, leading industry talent, advanced process capabilities and differentiated technology, which enable us to respond rapidly to market trends and the evolving needs of our clients. For further details, refer to Part I, Item 1A, “Risk Factors” under “Risks Related to Our Business––We face competition globally from other providers and from our clients, who may build global capability centers to provide data and AI-led solutions and services and digital operations solutions and services themselves, either in-house or other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intellectual property consists of proprietary platforms, software, data, databases, models, methodologies, know-how, names, designs, domains, user interfaces, applications and operating procedures among other materials. We own patents on a number of our proprietary solutions and are engaged in the process of assessing new inventions and obtaining patents, whenever appropriate, on an ongoing basis. We consider many of our business processes and implementation methodologies to be trade secrets or proprietary know-how and confidential information. We seek to protect our intellectual property through a combination of patent, trademark, copyright and trade secret laws, as well as through confidentiality procedures and contractual provisions. In recent years, we have continued to expand our patent portfolio. In 2025, we added 9 new patents, increasing our total number of patents to 12 since the inception of our patent program. Clients and business partners typically agree in writing to confidential treatment of our intellectual property. Our employees and independent contractors are required to sign work-for-hire agreements containing confidentiality covenants as a condition to their employment and engagement, respectively. We also have policies requiring our employees, independent contractors, and associates to respect the intellectual property rights of others, including obtaining appropriate licenses when using, selling or distributing third-party materials.</w:t>
      </w:r>
    </w:p>
    <w:p>
      <w:pPr>
        <w:pStyle w:val="TextBody"/>
        <w:bidi w:val="0"/>
        <w:spacing w:before="0" w:after="0"/>
        <w:ind w:left="0" w:right="0" w:firstLine="72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solutions we offer our clients often include our software, data and other intellectual property assets developed by our data scientists and engineers, combined with software and data licensed by us or by clients from third parties. We also leverage strategic partnerships with third parties to facilitate our services or solution offerings to clients, including, among others, robotics and process automation software providers, platform providers, foundry partners, and AI solutions providers. We typically retain ownership of any pre-existing proprietary intellectual property assets, including modifications or enhancements to such pre-existing proprietary assets developed while providing client services, and also seek to retain the right to use anonymized data derived from client engagements. Independently or while working on client engagements, we also often develop new tools, methodologies and models, including AI/LLM and ML models that can be leveraged for various use cases. We endeavor to negotiate contracts that give us ownership or broad licenses to use, develop, demonstrate and offer such newly developed intellectual property assets to or for other clients.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and rapidly evolving global market. We seek to continue providing value to our clients with our deep industry knowledge, ability to advise clients on how to transform their processes and deliver transformation that drives business value, and ability to provide innovative services and solutions, including digital offerings that incorporate AI/LLM and ML capabilities. We also rely on our reputation, client references, ability to sustain long-term client relationships, as well as our global reach and scale, and competitive pricing to maintain our competitiveness in our industry. While our proprietary intellectual property assets are important to our business, we believe EXL as a whole is not materially dependent on any particular intellectual property, other than our EXL brand. Our intellectual property portfolio is comprised of patents, trademarks, copyrights, and domain names to protect our brands, including our EXL brand, which is one of our most valuable assets.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organization comprised of passionate and talented colleagues who are solution driven. Our guiding principle is simple: there is always a better way to do things. This belief drives everything we do.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Global Presence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 workforce of over 65,000 professionals as of December 31,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teams operate across six continents and from over 50 offices worldwide, with our largest talent presence in India and Philippines with approximately 43,200 in India and 13,400 in Philippines, complemented by teams of about 4,100 in South Africa, 2,900 in the United States and 1,500 across other countries.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Culture</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in a shared purpose—for our clients, colleagues, partners, and communities. Our culture is built on accountability and creativity to deliver exceptional value and is rooted in our five core values: innovation, collaboration, excellence, integrity and respect. We look deeper, find better solutions, and make them happen.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Talent Strategy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data and AI-led solutions and services and digital operations solutions and services organization, our talent strategy focuses on creating knowledge and driving innovation through three pillars:</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Build: Strengthen our existing talent base through structured learning and cross-skilling initiatives, building expertise in AI solutions, LLMs, and digital tools, while enhancing domain and technology capabilities and accelerating time-to-productivity.</w:t>
      </w:r>
    </w:p>
    <w:p>
      <w:pPr>
        <w:pStyle w:val="TextBody"/>
        <w:bidi w:val="0"/>
        <w:spacing w:before="0" w:after="0"/>
        <w:ind w:left="0" w:right="0" w:firstLine="18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Partner: Grow certifications and technology capabilities through strategic partnerships, ensuring we keep pace with industry standards.</w:t>
      </w:r>
    </w:p>
    <w:p>
      <w:pPr>
        <w:pStyle w:val="TextBody"/>
        <w:bidi w:val="0"/>
        <w:spacing w:before="0" w:after="0"/>
        <w:ind w:left="0" w:right="0" w:firstLine="18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Acquire: Bring in talent that fits our strategy and creates value.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value different perspectives and experiences because they drive innovation and performance and aim to create a working environment that reflects these values and encourages collaboration. All employees have access to our employee resource groups, which help our people connect, share experiences, and feel a sense of belonging. We also provide training on ethics and compliance to each of our employees in line with our core values of excellence, integrity and respect.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Recruiting, Developing and Engaging our Employees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developed a comprehensive and integrated talent management framework that fosters collaboration among our recruitment, capability development, and business human resources teams while supporting the dynamic requirements of our IMUs and SGUs. We prioritize attracting top talent with skills relevant to the services delivered within these IMUs and SGUs. We are committed to strengthening their expertise, including data and AI-led capabilities, through targeted learning academies, stringent promotion criteria, and specialized client and industry-focused training programs. We offer competitive, performance-driven compensation packages, including incentive-based rewards.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talent strategy is designed to address our current needs while supporting the long-term business objective of transforming data into a competitive edge for our clients. To make our strategy impactful, we identify critical skills and roles required across each IMU and SGU and then build a talent pipeline through market mapping exercises followed by initiatives to attract and retain talent.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implemented a framework of practices, processes, and programs designed to make learning accessible, collaborative, and integrated into daily workflows. Our dedicated employee relations function helps to foster a supportive and responsive work environment that seeks to understand and address employees’ needs, concerns, and aspirations and provide timely and tailored responses. Our overall approach focuses on building a skilled and engaged workforce that drives excellence across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an online model for recruitment and training, incorporating AI-based smart screening used to assist with and bolster our ongoing use of traditional screening processes and real-time proctored online assessments. In 2024 and 2025, we introduced a recruitment solution across seven of our geographies, which automates key recruitment processes, streamlines workflows for hiring managers and recruiters, and establishes an improved and standardized approach to talent acquisition, all aimed at providing a seamless candidate application experience. Our hiring model involves comprehensive assessments, multiple rounds of video interviews, and background checks aligned with client mandates before extending offers.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hybrid working model offers employees enhanced flexibility. By leveraging digital-first and multi-channel communication strategies, we continuously refine our approaches to keep our global workforce informed, aligned and engaged.</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Employee Benefits and Experience</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global organization in data and AI-led solutions and services and digital operations solutions and services, we continue to evolve our “Total Rewards” framework to attract, engage, and retain top talent while meeting the diverse needs of our workforce. Our approach integrates competitive pay, performance-linked bonuses, benefits and equity programs.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key pillars of Total Rewards: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Compensation: Base pay, annual bonuses, and equity programs to recognize and reward employee contributions aligned with individual and Company success.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Alignment and Best Practices: Regular benchmarking ensures competitiveness and supports best practices such as pay reporting and flexible structures for emerging industry skills.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Health and Wellness: Comprehensive medical, dental, vision, and mental health programs, supported by an integrated benefits platform.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Work-Life Balance: Flexible work arrangements, parental leave, and wellness stipends enabled by digital platforms for real-time access.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Career Growth and Recognition: Internal mobility and recognition programs to foster advancement and engagement as our colleagues progress through the upskilling and professional development processes.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initiatives: Committed to fair, equitable and transparent pay across demographics through a robust non-executive incentive program aligned to market standards.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Capability Development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promote large-scale upskilling and reskilling while fostering a learning environment that supports individual skill-building and long-term career advancement. We operate in a democratized learning ecosystem that enables employees to drive their own development through AI-based recommendations, curated content libraries, intelligent web-sourced resources, peer learning groups, hands-on labs, and supervisor dashboards. This approach delivers personalized, market-relevant learning pathways and ensures capabilities remain aligned to business priorities and evolving client needs.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talent development strategy is comprehensive and deeply aligned to EXL’s focus on data and AI-led, and industry-specific value creation. We aim for employees to build deep expertise in the technologies, tools, and frameworks required for complex client engagements, while also strengthening mindset around agility, speed, creativity, innovation, and collaboration. Employees have structured career-linked learning opportunities, spanning from new hires to senior leadership, to enable sustained growth across technical, domain, and leadership capabilities.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industry-focused academies continue to build deep industry, domain and techno-functional expertise through certifications, immersions and specialization tracks. These academies provide blended learning through virtual sessions, classroom training, on-the-job coaching, and technology-enabled modules. Our programs integrate behavioral, functional, and consultative skills to ensure job readiness and sustained performance across roles and geographies. We have continued to expand our specialized capability development initiatives, including AI, analytics and CX focused programs, in response to shifting industry and client priorities. We have strengthened technical specialization tracks focused on agentic AI, AI and data engineering, cloud engineering, and solution architecture enabling deeper expertise in advance and emerging technologies.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accelerate innovation at scale, we have invested in the EXL Innovation Sandbox, enabling a rapid “fail fast” environment for prototyping, testing, and deploying new ideas that is available to all of our employees. Innovation culture initiatives—including Idea Tank hackathons, “ideas for innovation,” and enterprise-wide innovation skilling—have further strengthened organizational innovation capability and speed.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build deep expertise in strategic partner technology ecosystems through certifications in partnership with NVIDIA, Databricks, Microsoft, AWS, Google, and Snowflake, ensuring our teams stay aligned with the latest advancements in data and AI platforms.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parallel, our continued focus on deep domain expertise and consultative capability is supported through EXL-created programs such as the customized “Domain Expertise Acceleration Program” (DEAP) track and structured domain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certification pathways. Our “Tech Savviness” track helps growth leaders to strengthen their understanding of data, analytics, and technology trends to better guide client conversations and solutioning.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Leadership development remains a core pillar of our capability strategy. Our Integrated Leadership Development Framework combines industry expertise, EXL’s solutions knowledge, technical depth, and partner insights to equip leaders to drive business impact. We have further enhanced leadership development through collaborations with global academic institutions such as Kellogg, University College Dublin, and Trinity College Dublin, offering focused development programs that prepare leaders for future market demands.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Through this integrated approach to data and AI capability building, deep domain development, leadership excellence, and innovation at scale, we continue to cultivate a workforce equipped to deliver high-value outcomes for our clients and accelerate EXL’s long-term growth agenda.</w:t>
      </w:r>
    </w:p>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Employee Retention</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attrition rate for employees who had been with EXL for more than 180 days was 23.6% and 26.1% for the years ended December 31, 2025 and 2024, respectively. As competition in our industry increases, our turnover rate could increase. See Part I, Item 1A, “Risk Factors” under “Risks Related to Our Business––We may fail to attract and retain enough sufficiently trained employees to support our operations or professionals with sufficient leadership capabilities” and “Employee wage increases may prevent us from sustaining our competitive advantage and may reduce our profit margin.”</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Sustainability Strategy</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world we work and live in is powered by innovation. We believe success in such a world will come through supporting the communities in which we operate, and ensuring that we conduct our operations in a sustainable and safe manner that is aligned with, and contributes toward, our business objectives. These initiatives reflect our core values and will make us a stronger, more impactful organization to work for that can deliver exceptional results for our clients, employees, communities and stockholders.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Community Activities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community engagement strategy focuses on four key pillars: education, digital skills development, employee engagement, and community impact. We engage a high percentage of our employees in these activities by permitting them to leverage their expertise to help build market-relevant technical and life skills programs that we deploy in the communities in which we operate. We have programs in India, the Philippines, South Africa, Europe and the United States aimed at STEM learning, skills development and workforce readiness. We seek out community-based, regional, and global partners and emphasize employee volunteering. We actively engage with our stakeholders to ensure that our community engagement activities are responsive to the needs of our communities and to foster long term relationships.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our focus on education and skills development, we also work to advance positive environmental and health outcomes for our communities.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Environmental, Health and Safety</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Environmental, Health and Safety (“EHS”) program focuses on managing occupational health and safety risks, maintaining regulatory compliance, and improving the environmental performance of our delivery centers, in each case in alignment with our business strategy. In 2025, we continued to reduce our carbon footprint, improve energy efficiency, minimize waste, and strengthen water management across our delivery centers.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major delivery centers are certified to ISO 14001:2015 and ISO 45001:2018, supporting consistent environmental management and workplace safety practices. We track key metrics including energy use, greenhouse gas emissions, waste generation, health, safety and well-being performance through our EHS Management System and review our progress annually.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promote responsible sourcing practices through our Supplier Standards of Conduct, which outline environmental and safety expectations from vendors. Where aligned with operational requirements, we integrate EHS considerations into facility planning, procurement, and business operations.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comply with various local rules, regulations and statutes as a result of the diverse and complex nature of our offerings.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third-party administrator insurance services from India and the Philippines. We are licensed or otherwise eligible to provide third-party administrator services throughout the United States, as well as utilization review, claims adjuster and insurance producer services in select states. We require certain categories of our professionals to be individually licensed, as applicable. Our utilization management and case management services that we provide from the Philippines, are accredited by the Utilization Review Accreditation Commission (URAC) and National Committee for Quality Assurance (NCQA), both independent U.S. organizations that work to improve health care quality through the administration of evidence-based standards, measures, programs, and accreditation. Our relevant healthcare systems and endpoints have also been assessed and certified by HITRUST®, an information protection standards organization and certifying body. We obtain additional licenses and accreditations as may be required from time-to-time by our business operations.</w:t>
      </w:r>
    </w:p>
    <w:p>
      <w:pPr>
        <w:pStyle w:val="TextBody"/>
        <w:bidi w:val="0"/>
        <w:spacing w:before="0" w:after="0"/>
        <w:ind w:left="0" w:right="0" w:firstLine="72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also subject to compliance with a variety of other laws, including tax laws in the jurisdictions where we conduct our business. See Part I, Item 1A, “Risk Factors” under “Risks Related to the International Nature of Our Business––Our global operations subject us to numerous legal and regulatory requirements, including, accreditation or licensing standards that govern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benefit from certain corporate tax holidays for our operations located in qualified Philippines Economic Zone Authority units. We are managing our business in accordance with the applicable guidelines issued by the Philippines Fiscal Incentives Review Board to continue availing the tax holidays.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2023, we established an international business headquarters in Dublin, Ireland, and qualify for a reduced tax rate. We monitor our operations to ensure we continue to qualify for the reduced rate.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Philippines and Ireland, we are subject to a minimum tax rate under the Pillar Two Framework prescribed by Organization for Economic Co-operation and Development (“OECD”). The OECD continues to release additional guidance on the Pillar Two Framework and we will continue to evaluate any potential impact on our operations.</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Part I, Item 1A, “Risk Factors” under “Risks Related to the International Nature of Our Business––Our financial condition could be negatively affected if governments in the countries we operate in introduce new unfavorable tax legislation, including legal restrictions for repatriation of our earnings.”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Available Information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Securities and Exchange Commission (the “SEC”) under the Securities Exchange Act of 1934, as amended (the “Exchange Act”). The SEC maintains a website at https://www.sec.gov that contains reports, proxy and information statements and other information regarding issuers that file electronically through the EDGAR System. You may access the information filed by us with the SEC by visiting its website.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maintain a website at https://ir.exlservice.com. Information on our website does not constitute a part of, nor is it incorporated in any way, into this Annual Report on Form 10-K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sustainability efforts, corporate governance information, and other news and announcements that investors might find useful or interesting.</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this Annual Report on Form 10-K, we use the terms “EXL,” “we,” “us,” “our” or the “Company” to refer to ExlService Holdings,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180"/>
        <w:jc w:val="both"/>
        <w:rPr/>
      </w:pPr>
      <w:r>
        <w:rPr>
          <w:rFonts w:ascii="Times New Roman;serif" w:hAnsi="Times New Roman;serif"/>
          <w:b/>
          <w:color w:val="000000"/>
          <w:sz w:val="20"/>
        </w:rPr>
        <w:t>Risks Related to Our Business</w:t>
      </w:r>
      <w:r>
        <w:rPr>
          <w:color w:val="000000"/>
        </w:rPr>
        <w:t xml:space="preserve">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business depends on maintaining and growing client demand for our services and solutions, including by anticipating and incorporating the latest technology into our offerings, and a significant reduction in such demand, a failure to respond to the evolving technological environment or a change in our service or solution delivery could materially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the demand for our services and solutions, which could be negatively affected by several factors that may be outside of our control, including, for example, economic and political volatility or changed market conditions. As a global data and artificial intelligence company, our ability to maintain and grow demand for our services and solutions requires that we continue to develop and implement offerings that keep pace with changes in the industry and anticipate and respond to rapidly evolving technology and our clients’ evolving needs in areas such as advanced AI, including generative AI, agentic AI, digital transformation and solutions, advanced analytics, cloud based solutions, data management, robotics and process automation, and data engineering, among others.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and rapidly evolving technologies, including advanced AI and automation, adapt to industry developments, evolve and expand our business at sufficient speed and scale and successfully drive innovation, our ability to develop and maintain a competitive advantage, our growth strategy and our results of operations could be adversely affected.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Technological developments may materially affect the cost and use of technology by our clients and, in the case of cloud and as-a-service solutions, could affect the nature of how we generate revenue. Some of these technological developments have reduced and replaced some of our historical services and solutions and may continue to do so in the future, particularly with respect to the use of AI technology. This has caused, and may in the future cause, clients to delay or stop using some of our existing services as they evaluate and pivot to newer technologies, including our own data and AI-led solutions and services. Such technological developments and spending delays can negatively impact our results of operations, if our existing services are displaced by such newer technologies and we are unable to similarly pivot to offering services and solutions that incorporate such technologies or if we are unable to introduce new pricing or commercial models that reflect the value of these technological developments or if the pace and level of spending on new technologies are not sufficient to make up for any shortfall. Developments in the industries we serve, which are likely to remain rapid, also could shift demand to new services and solutions. If, as a result of new technologies or developments in the industries we serve, our clients demand new services and solutions, we may be less competitive in these new areas or need to make significant investment to meet that demand. Our growth strategy focuses on responding to these types of developments by driving innovation that will enable us to expand our business into new growth areas.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use of AI technology presents competitive, reputational and legal risks, and our use of AI technology may not be successful.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AI technologies, including cutting-edge technologies like agentic AI and generative AI, are complex and rapidly evolving, and we face significant competition, including from our own clients, who may potentially develop their own internal AI technology, or acquire such technology from third parties, which in each case, can lead to reduced demand for our services and solutions. As these technologies evolve, some services and tasks currently performed by our employees may be replaced by automation and AI technologies.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domestic and international legal and regulatory landscape surrounding AI technologies is rapidly evolving and uncertain including in the areas of intellectual property, cybersecurity, and privacy and data protection. Several jurisdictions where we operate are applying, or considering laws and regulations related to intellectual property, cybersecurity, export controls, privacy, data security and protection to AI and automated decision-making. Broader frameworks such as the EU AI Act, are also coming into force. Compliance with new or changing laws, regulations, industry standards or ethical requirements and expectations relating to AI, the eventual scope and extent of which are currently unknown and which may vary across jurisdictions may impose significant operational costs. Our use of, and/or reliance on, AI, or our clients’ use of AI that does not comply with the use restrictions in our agreements or unauthorized modification thereof, could give rise to legal or regulatory action or increased scrutiny or liability and may damage our reputation or otherwise materially harm our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Client demand may be impacted by the selling cycle and terms of our client contracts, including for our AI-related offerings.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Client demand may be impacted by the selling cycle and terms of our client contracts. Consistent with industry practice, most of our client contracts may be terminated by our clients without cause and do not commit our clients to provide us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specific volume of business. Any failure to meet a client’s expectations or a change in a client’s strategic direction could result in the cancellation or non-renewal of a contract or a decrease in the scope of services and solutions that we are able to provide to such client. Companies in the industries we serve sometimes seek to achieve economies of scale and other synergies by combining with or acquiring other companies. We may lose work from such clients or lose the opportunity to gain additional work due to our clients’ mergers or consolidations. We may not be able to cover our costs or replace the associated revenues from such lost services or solutions, which could impact our results of operations in subsequent periods.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term of our project-based engagements generally does not exceed one year and may not produce ongoing or recurring business for us once the project is completed, and these contracts typically permit a client to terminate the agreement with shorter term notice. Most of our digital operations solutions and services contracts are long term, typically ranging from three to five years, generally require a longer termination notice period and may include an early termination fee to be paid to us, which might not be sufficient to cover our costs or the loss of revenues and profit upon termination of the contract. In addition, the selling cycle for such contracts, which generally ranges from six to eighteen months, and the implementation and initial transformation processes, which could take up to an additional six to twelve months, are subject to many risks and delays over which we have little or no control, including our clients’ decisions to choose alternatives to our services and solutions (such as other providers or in-house offshore resources) and the timing of our clients’ budget cycles and approval processes, or subsequent changes in technology and offerings, could result in changed demand. In particular, the sales cycle for our AI-related services and solutions may be longer and more uncertain than for our other offerings. Clients may require extended proof-of-concept phases, pilot programs, internal governance and compliance reviews, and additional negotiations regarding data usage, privacy, intellectual property ownership, and model performance before deciding to proceed with, expand, or renew AI-related engagements. As a result, we may devote significant time and resources to pursuing AI-related and other opportunities without realizing corresponding revenues on a timely basis, or at all, and any delay, reduction or cancellation of such projects could adversely affect our revenues and results of operations.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fail to attract and retain enough sufficiently trained employees to support our operations or professionals with sufficient leadership capabilities.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heavily on attracting, hiring, and retaining employees skilled in cutting-edge technologies, particularly artificial intelligence (AI), machine learning, data science, and digital transformation. These fields are not only highly competitive but also rapidly evolving, making the recruitment and retention of top talent especially challenging. The shortage of AI and data experts in the global market, which may be further affected by changes in the U.S. immigration laws and policies limiting the availability of H-1B or other visas, exacerbates this issue, impacting our ability to deliver on client commitments and innovate effectively. High turnover among skilled professionals in AI and data science could lead to disruptions in project continuity, increased recruitment costs, and strain our human resources. Additionally, retaining employees with leadership capabilities who can lead strategic data and AI initiatives is critical for achieving long-term organizational goals. Failing to secure such talent could create risks of revenue losses, reduced market competitiveness, and missed opportunities in key geographies.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unable to hire, reskill and upskill our employees in strategically important business areas our ability to effectively lead our current projects and develop new business could be jeopardized, and our business, results of operations and financial condition could be adversely affected.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success also depends substantially on the continued services and performance of the members of our management team and other key employees in leadership positions that possess technical and business capabilities, including industry expertise, and are difficult to replace. Specifically, the loss of the services of our key members of our senior leadership team could impair our ability to continue to manage and expand our business. Although we have entered into employment and non-competition agreements with all of our executive officers, certain terms of those agreements may not be enforceable, particularly in light of recent regulatory scrutiny from the U.S. Federal Trade Commission and others, and in any event these agreements do not ensure the continued service of these executive officers. We do not maintain “key person” insurance covering any member of our management team. The loss of any of our key management personnel, particularly to competitors, could have a material adverse effect on our business, results of operations, financial condition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are unable to accurately estimate the resources and time for a project, adjust our pricing terms or effectively manage our asset utilization levels to meet the changing demands of our clients and potential clients, our business, results of operations, financial condition and cash flows may be adversely affected.</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profitability is, in part, a result of the efficiency with which we utilize our assets, in particular our people and our operations centers, and the price we can charge for our services. Our asset utilization levels are affected by several factors, including our ability to transition employees from completed projects to new assignments, attract, train and retain employees, forecast demand for our services (including potential client terminations or reductions in required resources) and maintain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appropriate headcount in each of our locations, as well as our need to dedicate resources for employee training and development, other typically non-chargeable activities and optimizing our operational infrastructure. If we fail to estimate accurately the resources and time required for a contract, or manage our asset utilization levels, future attrition rates, potential productivity benefits over time,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many of our digital operations solutions and services contracts we commit to long-term and alternative pricing structures, rather than annual or hourly billing rates, with our clients and therefore may bear the risk of cost overruns, completion delays, resource requirements, wage inflation and adverse movements in exchange rates in connection with these contracts. If we make inaccurate assumptions for contracts with such alternative pricing models including pricing for our digital capabilities and complex transformation services or are unable to offer competitive pricing, our profitability may be negatively affected.</w:t>
      </w:r>
    </w:p>
    <w:p>
      <w:pPr>
        <w:pStyle w:val="TextBody"/>
        <w:bidi w:val="0"/>
        <w:spacing w:before="0" w:after="0"/>
        <w:ind w:left="0" w:right="0" w:firstLine="45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Unauthorized disclosure of sensitive or confidential client and employee data, whether through breach of our computer systems or otherwise, could cause us significant reputational damage, expose us to protracted and costly litigation, and cause us to lose clients.</w:t>
      </w:r>
    </w:p>
    <w:p>
      <w:pPr>
        <w:pStyle w:val="TextBody"/>
        <w:bidi w:val="0"/>
        <w:spacing w:before="0" w:after="0"/>
        <w:jc w:val="left"/>
        <w:rPr/>
      </w:pPr>
      <w:r>
        <w:rPr/>
      </w:r>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are typically required to process, and sometimes collect and/or store sensitive data, including data regulated by the U.S. Health Insurance Portability and Accountability Act of 1996, as amended (HIPAA), of our clients’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In the United States, several states have enacted or are considering enacting privacy regulations, including, the California Consumer Privacy Act. In addition, there are privacy and data localization regulations in other jurisdictions, such as the General Data Protection Regulation in the European Union, the International Data Transfer Agreement in the United Kingdom and the Digital Personal Data Protection Act, 2023 in India. These privacy regulations impose privacy and data security compliance obligations and significant penalties for noncompliance. We may also face audits or investigations by one or more domestic or foreign government agencies or our clients pursuant to our contractual obligations relating to our compliance with these regulations. Complying with changing regulatory requirements requires us to incur substantial costs, exposes us to potential regulatory action or litigation, and may require changes to our business practices in certain jurisdictions. In addition, we may not be able to limit our liability to our clients with respect to breaches of our obligation to keep the information we receive from them confidential.</w:t>
      </w:r>
    </w:p>
    <w:p>
      <w:pPr>
        <w:pStyle w:val="TextBody"/>
        <w:bidi w:val="0"/>
        <w:spacing w:before="0" w:after="0"/>
        <w:jc w:val="left"/>
        <w:rPr/>
      </w:pPr>
      <w:r>
        <w:rPr/>
      </w:r>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devote substantial resources to protect our information assets and our clients’ confidential information, any network infrastructure is vulnerable to rapidly evolving cyberattacks, employee error, malfeasance, or a combination of the foregoing. The remote work solutions that we employ in our hybrid working model may also be limited in their ability to replicate the operational oversight and security controls of our office environments and may pose a higher risk of operational and information security failures. Outside parties may attempt to fraudulently induce employees or clients to disclose sensitive information in order to gain access to our data or our clients’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w:t>
      </w:r>
    </w:p>
    <w:p>
      <w:pPr>
        <w:pStyle w:val="TextBody"/>
        <w:bidi w:val="0"/>
        <w:spacing w:before="0" w:after="0"/>
        <w:ind w:left="0" w:right="0" w:firstLine="460"/>
        <w:jc w:val="both"/>
        <w:rPr/>
      </w:pPr>
      <w:r>
        <w:rPr/>
      </w:r>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 xml:space="preserve">If an actual or perceived breach of our security occurs (or a breach of a client’s security that can be attributed to our fault or is perceived to be our fault), the market perception of the effectiveness of our security measures could be harmed and we could lose clients. </w:t>
      </w:r>
    </w:p>
    <w:p>
      <w:pPr>
        <w:pStyle w:val="TextBody"/>
        <w:bidi w:val="0"/>
        <w:spacing w:before="0" w:after="0"/>
        <w:jc w:val="left"/>
        <w:rPr/>
      </w:pPr>
      <w:r>
        <w:rPr/>
      </w:r>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Our clients, suppliers, subcontractors, and other third parties with whom we do business, including in particular cloud service providers and software vendors, generally face similar cybersecurity threats, and we must rely on the safeguards adopted by these third parties. If these third parties do not have adequate safeguards or their safeguards fail, it may result in a security breach of our systems and technology infrastructure, or our solutions, or those of our clients. Security breaches or any negative impact resulting from such incursions into our systems and technology infrastructure and those of our clients, partners and suppliers, may expose us to a risk of loss of sensitive information, lawsuits from our employees, clients or their customers for breaching contractual confidentiality provisions or privacy laws, or investigations and penalties from regulators or criminal prosecution, remediation costs, increased costs for security measures, loss of revenue, damage to our reputation, and potential liability.</w:t>
      </w:r>
    </w:p>
    <w:p>
      <w:pPr>
        <w:pStyle w:val="TextBody"/>
        <w:bidi w:val="0"/>
        <w:spacing w:before="0" w:after="0"/>
        <w:jc w:val="left"/>
        <w:rPr/>
      </w:pPr>
      <w:r>
        <w:rPr/>
      </w:r>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 xml:space="preserve">If a material security breach or incident occurs with respect to a cloud services provider, our clients and potential clients may lose trust in cloud solutions generally, and with respect to security in particular. This could adversely impact our ability to retain existing clients or attract new clients, which, in turn, could have a serious impact on our reputation. Although we have not experienced a material incident to date, there can be no assurance that these measures will prevent or limit the impact of a future incident. We may incur significant costs in protecting against or remediating cyberattacks/other cyber incidents, settling data breach claims or paying associated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growing use of AI in our offerings presents additional cybersecurity and privacy risks and could result in increased legal exposure.</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growing use of AI in our offerings presents additional risks such as cybersecurity vulnerabilities, bias, and reputational or legal exposure. Testing and managing AI systems is complex and costly, requiring processes that meet industry standards and customer expectations. AI technologies also depend on high-quality datasets, models, and other components, many of which we source from third parties. Inappropriate or controversial data practices by us or others or flawed AI algorithms could undermine the decisions, predictions or analysis AI applications produce, or lead to unintentional bias and discrimination, subjecting us to competitive, brand or reputational harm and legal liability. If our clients use AI that is provided by us in a manner that does not comply with the use restrictions in our agreements or if they modify such AI without our authorization, those actions could further subject us to competitive, brand or reputational harm and legal liability.</w:t>
      </w:r>
    </w:p>
    <w:p>
      <w:pPr>
        <w:pStyle w:val="TextBody"/>
        <w:bidi w:val="0"/>
        <w:spacing w:before="0" w:after="0"/>
        <w:ind w:left="0" w:right="0" w:firstLine="450"/>
        <w:jc w:val="both"/>
        <w:rPr/>
      </w:pPr>
      <w:r>
        <w:rPr/>
      </w:r>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Further, the increased prevalence of misuse of AI identities, accesses and privileges and advanced use of social engineering tactics by bad actors, state-sponsored cyber activities, and the risk that these cyberattacks could spread globally, showcases the increasing sophistication of cyber threats and could dramatically expand the global threat landscape and increase the difficulty of threat attribution and mitigation. Further, we rely on certain vendors and partners for software, technology, and data communications, including high-quality datasets, related equipment and maintenance services, as well as third-party components—such as cloud services—that are integral to the delivery of our AI solutions and services. Any performance failure, interruption, or discontinuation by our vendors or partners could delay our ability to perform our obligations, require us to identify replacement providers or internalize such services, and adversely affect our reputation and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third party vendors and partners to deliver services and components for client critical services, and require data use rights from third parties and our clients for many of our services and solutions, which exposes us to a variety of risks that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The services we provide are often critical to our clients’ businesses, and any failure to provide those services could result in a reduction in our revenues or a claim for substantial damages against us, regardless of whether we or a third party vendor or partner is responsible for that failure.</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certain significant vendors and partners for software, technology and data communications, including high-quality datasets, related equipment and its maintenance, and third party components that we use to deliver our services, including cloud services. Our offshore operations centers require us to maintain active voice and data communications among our operations centers, our technology and data hubs and our clients’ offices. Although we maintain our facilities and communications links with business continuity and disaster recovery plans, disruptions could result from, among other things, technical breakdowns, computer glitches and viruses and weather conditions. Any performance failure or discontinuation on the part of our vendors or partners could delay our performance, or require us to find alternatives or perform the services ourselves, any of which could result in a negative impact on our reputation, a loss of revenue or adversely impact our cash flows and profitability. </w:t>
      </w:r>
    </w:p>
    <w:p>
      <w:pPr>
        <w:pStyle w:val="TextBody"/>
        <w:bidi w:val="0"/>
        <w:spacing w:before="0" w:after="0"/>
        <w:ind w:left="0" w:right="0" w:firstLine="460"/>
        <w:jc w:val="both"/>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also may fail to obtain the right to use third-party data or our use of third-party data may be limited in a manner that could impede our development of solutions, including solutions using AI technologies, or our provision of services that rely on such data. If we cannot obtain or comply with third-party data use rights, we may need to stop providing certain of our solutions or services, we may be unable to compete with our peers, or we might incur other financial, legal and/or reputational consequences.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Employee wage increases may prevent us from sustaining our competitive advantage and may reduce our profit margin.</w:t>
      </w:r>
    </w:p>
    <w:p>
      <w:pPr>
        <w:pStyle w:val="TextBody"/>
        <w:bidi w:val="0"/>
        <w:spacing w:before="0" w:after="0"/>
        <w:jc w:val="left"/>
        <w:rPr/>
      </w:pPr>
      <w:r>
        <w:rPr/>
      </w:r>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 xml:space="preserve">Our most significant costs are the salaries and related benefits of our operations staff and other employees. For example, wage costs in India, the Philippines and South Africa have historically been significantly lower than wage costs in the United States, the United Kingdom and Europe for comparably skilled professionals, and having a significant number of our employees in those lower wage costs countries has been one of our competitive advantages. However, because of increased demand for competitive services from such countries and increased competition for skilled employees, wages for comparably skilled employees are increasing at a faster rate than in the United States, the United Kingdom and Europe. This may reduce our competitive advantage. We also may need to increase employee compensation more rapidly than in the past to attract and retain the employees that our business requires. Wages are generally higher for employees performing data and AI-led services than for employees performing digital operations services. As the scale of such services increases, wages as a percentage of revenues may increase. In addition, changes to the labor laws in the countries where we operate may also lead to a substantial increase in our wage costs. For example, the Government of India recently consolidated multiple existing labor legislations into a unified framework comprising four labor codes collectively referred to as the new “Labor Codes”. Certain aspects of the Labor Codes rely on the future issuance of rules and regulations. The issuance of rules and regulations as well as the outcome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clarifications could increase new employment obligations, create operational, compliance and administrative burdens and impact our compensation and benefit expenses prospectively in India. To the extent that we cannot control such costs by adding capacity in lower wage countries or sharing such wage increases with our clients, our margins and cash flows may be impacted.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business could be materially and adversely affected if we do not protect our intellectual property or if our services or solutions are found to infringe on the intellectual property of others.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certain methodologies, practices, tools and technical expertise we utilize in providing our services and solutions. Our intellectual property consists of proprietary and licensed platforms, software, data, datasets, methodologies, models, know-how, names, designs, domains, user interfaces, applications and operating procedures, among other materials. We consider many of our business processes and implementation methodologies to be trade secrets or proprietary know-how and confidential information. We seek to protect our intellectual property through a combination of patent, trademark, copyright and trade secret laws, as well as through confidentiality procedures and contractual provisions. In addition, we monitor infringing or potentially infringing activities by third parties on our IP portfolio through cybersecurity “watchdog” technologies and take action to enforce infringing action when necessary to protect our intellectual property. Clients and business partners typically agree in writing to confidential treatment of our intellectual property and information. Our employees and independent contractors are required to sign work-for-hire and confidentiality covenants as a condition to their employment and engagement, respectively. We also have policies requiring our employees, independent contractors, and associates to respect the intellectual property rights of others, including obtaining appropriate licenses when using, selling or distributing third party materials. However, these measures may not prevent misappropriation or infringement of our intellectual property and a resulting loss of competitive advantage. Additionally, we may not be successful in obtaining or maintaining patents, trademarks or other intellectual property rights protections for which we have applied or may in the future apply.</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may be unable to protect our intellectual property and proprietary technology effectively, which may allow competitors to duplicate our technology and solution offerings and may adversely affect our ability to compete with them. To the extent that we do not protect our intellectual property effectively through contractual provisions, confidentiality procedures, patents, trade secret laws or other means including those set forth above, other parties, including former employees, with knowledge of our intellectual property may leave and seek to exploit our intellectual property for their own or others’ advantage. Infringement by others of our intellectual property, including the costs of enforcing our intellectual property rights, may have a material adverse effect on our business, results of operations, financial condition and cash flows.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In addition, competitors or others may allege that our systems, processes, marketing, data usage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solutions. We may not be successful in defending against such intellectual property claims or in obtaining licenses or an agreement to resolve any intellectual property disputes. Given the complex and competitive technological and business environment in which we operate, and the potential risks and uncertainties of intellectual property-related litigation, any future infringement claim may cause us to alter our business practices, lose revenue, incur license, royalty or technology development expenses, or pay monetary damages or legal fees, which may be significant to us. Any such claim for intellectual property infringement may have a material adverse effect on our business, results of operations, financial condition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earn a substantial portion of our revenues from a limited number of clients that are mainly located in the United States </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have earned and believe that we will continue to earn in the near or foreseeable future a substantial portion of our total revenues from a limited number of large clients that are primarily located in the United States. Any change in demand from, or loss of, any of our large clients for any reason could have a material adverse effect on our reputation, business, results of operations, financial condition and cash flows.</w:t>
      </w:r>
    </w:p>
    <w:p>
      <w:pPr>
        <w:pStyle w:val="TextBody"/>
        <w:bidi w:val="0"/>
        <w:spacing w:before="0" w:after="0"/>
        <w:ind w:left="0" w:right="0" w:firstLine="460"/>
        <w:jc w:val="both"/>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Global macroeconomic and geopolitical conditions affect us, our clients’ businesses and the markets they serve. Volatile, negative and uncertain economic and geopolitical conditions can undermine business confidence in the markets in which we operate, which are increasingly interdependent, and cause our clients to reduce or defer their spending on new initiatives and technologies, and negatively affecting our business.</w:t>
      </w:r>
    </w:p>
    <w:p>
      <w:pPr>
        <w:pStyle w:val="TextBody"/>
        <w:bidi w:val="0"/>
        <w:spacing w:before="0" w:after="0"/>
        <w:ind w:left="0" w:right="0" w:firstLine="460"/>
        <w:jc w:val="both"/>
        <w:rPr/>
      </w:pPr>
      <w:r>
        <w:rPr/>
      </w:r>
    </w:p>
    <w:p>
      <w:pPr>
        <w:pStyle w:val="TextBody"/>
        <w:bidi w:val="0"/>
        <w:spacing w:before="0" w:after="0"/>
        <w:ind w:left="0" w:right="0" w:firstLine="460"/>
        <w:jc w:val="both"/>
        <w:rPr/>
      </w:pPr>
      <w:r>
        <w:rPr/>
      </w:r>
    </w:p>
    <w:p>
      <w:pPr>
        <w:pStyle w:val="TextBody"/>
        <w:bidi w:val="0"/>
        <w:spacing w:before="0" w:after="0"/>
        <w:ind w:left="0" w:right="0" w:firstLine="4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br/>
        <w:t xml:space="preserve">Our inability to manage our rapid infrastructure and personnel growth across countries could adversely affect our business operations, including losing key talent to competitors. </w:t>
      </w:r>
    </w:p>
    <w:p>
      <w:pPr>
        <w:pStyle w:val="TextBody"/>
        <w:bidi w:val="0"/>
        <w:spacing w:before="0" w:after="0"/>
        <w:jc w:val="left"/>
        <w:rPr/>
      </w:pPr>
      <w:r>
        <w:rPr/>
      </w:r>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have operations centers across India, the United States, the Philippines, South Africa, Colombia, Bulgaria, Romania, the United Kingdom, the Czech Republic, Mexico and the Republic of Ireland. Our headcount has increased significantly over the past several years. We continue to look for operations centers at locations outside of our current operating geographies. A significant portion of our services is delivered through a hybrid working model, which has led to contraction of our operations centers. Changes in our delivery model or other changes to our infrastructure facilities or how we are organized, as the needs and size of our business change, limit our ability to forecast the need to hire additional skilled employees as and when they are required to meet the ongoing needs of our clients, and we may not be able to develop and improve our internal systems. We may not be able to maintain our culture and effectively communicate our core values, policies and procedures, strategies and goals, particularly given our world-wide operations, rate of new hires, and significant percentage of remote employees. We continue to introduce reskilling and upskilling programs tailored to AI, data and digital roles to ensure that employees remain agile and capable of executing complex projects. Training initiatives that emphasize on AI awareness, hands-on experimentation, and data-driven problem solving skills, along with specialized tracks focused on AI and data engineering, cloud engineering, and solution architecture, not only improve employee capabilities but also position us as a forward-thinking organization. Without these investments, we risk losing key talent to competitors, jeopardizing our ability to innovate and grow. We also need to manage cultural differences among our employee populations and varying legal and regulatory regimes across jurisdictions, and that may create a risk for employment claims. Our inability to execute our growth strategy, to maintain adequate systems, or manage our talent and expansion effectively could have a material adverse effect on our business, results of operations, financial condition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engage in strategic acquisitions or transactions, which could have a material adverse effect on our business, results of operations, financial condition and cash flows.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 candidates in the future for strategic transactions at acceptable prices, have sufficient capital resources to finance potential acquisitions or be able to consummate any desired transactions. Our failure to identify suitable candidates or close transactions with potential acquisition targets after we have invested significant time and resources could have a material adverse effect on our financial condition and cash flows.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Acquisitions, including completed acquisitions, involve several risks, including diversion of management’s attention, ability to finance the acquisition on attractive terms, failure to retain key personnel or valuable clients, legal liabilities and the need to amortize acquired intangible assets or recognize any impairment on goodwill and intangible assets, any of which could have a material adverse effect on our business, results of operations, financial condition and cash flows. Future acquisitions may also result in the incurrence of indebtedness or the issuance of additional equity securities.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 xml:space="preserve">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 </w:t>
      </w:r>
    </w:p>
    <w:p>
      <w:pPr>
        <w:pStyle w:val="TextBody"/>
        <w:bidi w:val="0"/>
        <w:spacing w:before="0" w:after="0"/>
        <w:ind w:left="0" w:right="0" w:firstLine="460"/>
        <w:jc w:val="both"/>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could also experience financial or other setbacks if transactions encounter unanticipated problems, including related to execution, integration or underperformance, or problems with acquired intellectual property.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business could be negatively affected if we incur financial penalties or legal liability, including with respect to our contractual obligations, in connection with providing our solutions and services.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Failure to consistently meet the service level and performance requirements for our clients, or errors made by our employees in the course of delivering services to our clients, could disrupt the client’s business and result in a reduction in revenues or a claim for damages against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fail to meet our contractual obligations or otherwise breach obligations to our clients or vendors, we could be subject to legal liability. We may enter into non-standard agreements because we perceive an important economic opportunity by doing so or because our personnel did not adequately adhere to our guidelines. In addition, with respect to our client contracts, the contracting practices of our competitors may cause contract terms and conditions that are unfavorable to us to become standard in the marketplace. If we cannot, or do not, meet our contractual obligations to provide solutions and services to clients, and if our exposure is not adequately limited through the enforceable terms of our agreements, we might face significant legal liability and our business could be adversely affected. Similarly, if we cannot, or do not, meet our contractual obligations with vendors, such as licensors, the vendors may have the right to terminate the contract, in which case we may not be able to provide client solutions and services dependent on the products or services provided to us by such contracts.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face competition globally from other providers and from our clients, who may build global capability centers to provide data and AI-led solutions and services and digital operations solutions and services themselves, either in-house or other arrangements.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The market for our services is highly competitive, and we expect competition to intensify and increase in the future as more companies enter the market. We face competition globally from other providers including pure-play AI solutions and platform vendors with niche offerings for very specific industry challenges. Key competitive factors in our markets include process expertise, AI and generative AI solutions, industry knowledge, service quality, compliance rigor, global delivery capabilities, pricing, and sales and client management capabilities. Further, a client may choose to use its own internal resources rather than engage an outside firm to perform the types of services we provide, including by creating in-house global capability centers.</w:t>
      </w:r>
    </w:p>
    <w:p>
      <w:pPr>
        <w:pStyle w:val="TextBody"/>
        <w:bidi w:val="0"/>
        <w:spacing w:before="0" w:after="0"/>
        <w:ind w:left="0" w:right="0" w:firstLine="460"/>
        <w:jc w:val="both"/>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These competitors may include entrants from the leading management consulting firms, IT services, industry-specific digital operations solutions and services providers, analytics/AI services providers or entrants in geographic locations with lower costs than those in which we operate. Within consulting, players who have focused traditionally on advisory are now bringing industry AI solutions to their clients and embedding AI solutions into workflows. Some competitors may have greater resources, a broader range of offerings, greater technological expertise, more recognizable brand names and more established relationships in industries that we serve or may serve. In addition, some of our competitors may enter into strategic relationships or mergers or acquisitions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impact our business, results of operations, financial condition and cash flows.</w:t>
      </w:r>
    </w:p>
    <w:p>
      <w:pPr>
        <w:pStyle w:val="TextBody"/>
        <w:bidi w:val="0"/>
        <w:spacing w:before="0" w:after="0"/>
        <w:ind w:left="0" w:right="0" w:firstLine="4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make estimates and assumptions in connection with the preparation of our consolidated financial statements, and any changes to those estimates and assumptions could adversely affect our financial results.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financial statements have been prepared in accordance with U.S. generally accepted accounting principles (“U.S. GAAP”). The application of U.S. GAAP requires us to make estimates and assumptions about certain items and future events that affect our reported financial condition, and our accompanying disclosure. Our most critical accounting estimates are described in Part II, Item 7, “Management’s Discussion and Analysis of Financial Condition and Results of Operations” under “Critical Accounting Estimates,” including revenue recognition, business combinations and goodwill, stock-based compensation, income taxes, employee benefits and loss contingencies. We base our estimates on historical experience, contractual commitments and on various other assumptions that we believe to be reasonable under the circumstances and at the time they are made. These estimates and assumptions involve the use of judgment and are subject to significant uncertainties, some of which are beyond our control. If our estimates, or the assumptions underlying such estimates, are not correct, actual results may differ materially from our estimates, and we may need to, among other things, adjust revenues or accrue additional charges that could adversely affect our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upgrading our enterprise resource planning (“ERP”) system, and its implementation may impact our internal controls over financial reporting, business and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 the process of upgrading our ERP system, which requires significant capital investment, human resources and complex integration with existing systems and processes. Any design deficiencies, delays, or challenges during the upgrade could result in increased costs, operational inefficiencies, and impair our ability to maintain accurate financial records or produce timely and accurate financial statements. These issues may also impact the effectiveness of our internal controls over financial reporting, which could adversely affect our business processes, results of operations, financial condition, and compliance with regulatory requirements.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exposed to credit risk and fluctuations in the market values of our investment and derivatives portfolios.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maintain cash, cash equivalents and short</w:t>
        <w:noBreakHyphen/>
        <w:t>term investments and use derivative instruments, primarily foreign currency forward contracts. The fair value of these investments and derivatives is affected by changes in interest rates, foreign exchange rates and the credit quality of the financial institutions that issue or hold these instruments.</w:t>
      </w:r>
    </w:p>
    <w:p>
      <w:pPr>
        <w:pStyle w:val="TextBody"/>
        <w:bidi w:val="0"/>
        <w:spacing w:before="0" w:after="0"/>
        <w:ind w:left="0" w:right="0" w:firstLine="460"/>
        <w:jc w:val="both"/>
        <w:rPr/>
      </w:pPr>
      <w:r>
        <w:rPr/>
      </w:r>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Any deterioration in global credit or capital markets, or in the financial conditions of our banking and other counterparties, could result in volatility of our investment earnings and impairments to our investment portfolio, which could negatively impact our financial condition and reported income. In addition, because a significant portion of our operations and cash flows are denominated in currencies such as the Indian rupee, Philippine peso, U.K. pound sterling and South African rand, large movements in these exchange rates relative to the U.S. dollar, or any failure by our counterparties under our foreign exchange forward contracts to perform their obligations could materially adversely affect our earnings.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vulnerable to natural disasters, technical disruptions, pandemics and societally created events that could severely disrupt the normal operations of our business and if our risk management, business continuity and disaster recovery plans are not effective, it may adversely affect our business, results of operations, financial condition and cash flows.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centers and our data and voice communications, particularly in India, the Philippines and South Africa, may be damaged or disrupted as a result of natural disasters such as earthquakes, floods, volcano eruptions, heavy rains, drought, extreme heat, epidemics or pandemics, tsunamis and cyclones, technical disruptions such as electricity or infrastructure breakdowns, including damage to telecommunications cables, computer glitches and electronic viruses or man-made events such as political unrest, terrorist attacks, military confrontations, other acts of violence or war, protests, riots and labor unrest. Such events may lead to the disruption of employees, business operations, information systems and telecommunication services or our supply chain for sustained periods.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risk management, business continuity and disaster recovery plans may not prevent or mitigate the effects of such disruptions, particularly in a catastrophic event. Damage or destruction that interrupts our provision of services could adversely affect our reputation, our relationships with and liability to our clients, our leadership team’s ability to administer and supervise our business or it may cause us to incur substantial additional expenditure to repair or replace damaged equipment or operations centers. While we currently have commercial liability insurance, our insurance coverage may not be sufficient to cover any such liability or other related costs.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financial condition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fully insured for all losses we may incur.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not be fully insured for all losses we may incur. We could be sued directly for claims that could be significant, such as claims related to breaches of privacy or network security, infringement of intellectual property rights, violation of wage and hour laws, or systemic discrimination, and our liability under our contracts may not fully limit or insulate us from those liabilities. We maintain various insurance policies, including coverage for errors or omissions, business interruption, professional liability, cyber security incidents, property damage or loss and breaches of privacy and network security, and directors’ and officers’ liability, in connection with our global operations and delivery centers located in countries such as India, the Philippines, South Africa, the United States and the United Kingdom. However, our insurance coverage is subject to limits, exclusions, deductibles and self</w:t>
        <w:noBreakHyphen/>
        <w:t>insured retentions, and may not cover all types of losses, including certain natural disasters, pandemics or epidemics, acts of terrorism, cybersecurity attacks, regulatory fines or penalties, or reputational harm. In addition, that coverage may not continue to be available on reasonable terms or at all, or in sufficient amounts to cover one or more large claims, and our insurers may disclaim coverage as to any future claim. Insurance is not available for certain types of claims, including patent infringement, violation of wage and hour laws, failure to provide equal pay in the United States, and our indemnification obligations to our clients based on employment law. If we experience a significant uninsured or under</w:t>
        <w:noBreakHyphen/>
        <w:t>insured loss, or if the costs of our insurance programs materially increase, we could be required to bear substantial costs, which could adversely affect our business, financial condition and results of operations.</w:t>
      </w:r>
    </w:p>
    <w:p>
      <w:pPr>
        <w:pStyle w:val="TextBody"/>
        <w:bidi w:val="0"/>
        <w:spacing w:before="0" w:after="0"/>
        <w:ind w:left="0" w:right="0" w:firstLine="45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sustainability initiatives and disclosures may expose us to reputational risks and legal liability.</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brand and reputation are also associated with various corporate sustainability initiatives. Our disclosures on these matters, and any failure or perceived failure to achieve or accurately report on our initiatives, are subject to risks outside of our control and could harm our reputation. In addition, positions we take or do not take on social issues may be unpopular with some of our employees, our existing and potential clients and investors, governments, media or advocacy groups, which may impact our ability to attract or retain employees or the demand for our services. Any of these events could negatively affect our brand and our relationships with key stakeholders.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before="0" w:after="0"/>
        <w:ind w:left="0" w:right="0" w:firstLine="54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experience increased compliance burdens and costs to meet obligations related to new and existing laws and regulations related to sustainability matters, including potential obligations from regulators in the United States, Europe and India. In addition, our selection of voluntary disclosure frameworks and standards, and the interpretation or application of those frameworks and standards, may change from time to time or may not meet the expectations of investors or other stakeholders. We could also be subject to criticism from sustainability detractors or advocates or face adverse reactions from governmental bodies through policies, legislation, regulatory opinions, or related actions.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standards for tracking and reporting on sustainability matters continue to evolve, and our internal processes and controls for gathering, validating, and reporting sustainability data must evolve in parallel, which may impact the scope, accuracy, and comparability of our disclosures and our progress against stated targets, or our ability to achieve future ambitions.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Risks Related to the International Nature of Our Business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the transfer pricing arrangements we have for controlled intercompany transactions among our subsidiaries are determined to be inappropriate, our tax liability may increase.</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The transfer pricing regulations in the countries we operate in require that controlled intercompany transactions be at arm’s-length. Accordingly, we determine and document pricing for controlled intercompany transactions based on an economic analysis as prescribed in the respective regulations. If our transfer pricing assessment is challenged, tax authorities could assess additional tax, interest and penalties, impacting our profitability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financial condition could be negatively affected if governments in the countries we operate in introduce new unfavorable tax legislation, including legal restrictions for repatriation of our earnings.</w:t>
      </w:r>
    </w:p>
    <w:p>
      <w:pPr>
        <w:pStyle w:val="TextBody"/>
        <w:bidi w:val="0"/>
        <w:spacing w:before="0" w:after="0"/>
        <w:jc w:val="left"/>
        <w:rPr/>
      </w:pPr>
      <w:r>
        <w:rPr/>
      </w:r>
    </w:p>
    <w:p>
      <w:pPr>
        <w:pStyle w:val="TextBody"/>
        <w:bidi w:val="0"/>
        <w:spacing w:lineRule="auto" w:line="276"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are subject to taxes in the countries we operate in. Our future tax liabilities could be adversely affected by any new unfavorable tax legislative changes in the countries we operate in. We currently benefit from corporate tax holidays in our qualified Philippines Economic Zone Authority operations centers. Our ability to utilize these tax holidays could be adversely affected by any new unfavorable tax legislative changes. We have established our headquarters for international business in Dublin, Ireland, and qualify for a reduced tax rate. Any change in our qualification for the reduced rate could adversely affect our overall tax liabilities.</w:t>
      </w:r>
    </w:p>
    <w:p>
      <w:pPr>
        <w:pStyle w:val="TextBody"/>
        <w:bidi w:val="0"/>
        <w:spacing w:before="0" w:after="0"/>
        <w:ind w:left="0" w:right="0" w:firstLine="4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operate in the Philippines and Ireland where we will be subject to a minimum tax rate pursuant to the Pillar Two Framework prescribed by Organization for Economic Co-operation and Development (“OECD”). We do not anticipate any significant Pillar Two Framework impacts, but will continue to evaluate any changes and potential impact on our consolidated financial statements.</w:t>
      </w:r>
    </w:p>
    <w:p>
      <w:pPr>
        <w:pStyle w:val="TextBody"/>
        <w:bidi w:val="0"/>
        <w:spacing w:before="0" w:after="0"/>
        <w:ind w:left="0" w:right="0" w:firstLine="460"/>
        <w:jc w:val="both"/>
        <w:rPr/>
      </w:pPr>
      <w:r>
        <w:rPr/>
      </w:r>
    </w:p>
    <w:p>
      <w:pPr>
        <w:pStyle w:val="TextBody"/>
        <w:bidi w:val="0"/>
        <w:spacing w:lineRule="auto" w:line="276"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earn a significant amount of our earnings in countries outside of the United States and we periodically evaluate opportunities to repatriate these earnings to fund our global operations, including acquisitions and debt management. Not all of the undistributed earnings may be available for repatriation due to foreign legal restrictions that require minimum reserves to be maintained in those countries, which may limit our ability to use such earnings across our global operations in the United States or other geographies, where needed. Additionally, as and when we decide to repatriate such earnings, we may have to accrue further taxes associated with such earnings in accordance with local tax laws, rules and regulations in the relevant jurisdictions, which are subject to change from time to time. All of these risks and uncertainties could have a material adverse effect on our business, results of operations, financial condition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Currency exchange rate fluctuations in the various currencies in which we do business, or the failure of our hedging strategies to mitigate such fluctuations, could have a material adverse effect on our results of operations.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We report our operating results in U.S. dollars, but a portion of our revenues and expenses are denominated in currencies other than the U.S. dollar. Accordingly, we must translate such revenues and expenses, as well as corresponding assets and liabilities, into U.S. dollars at exchange rates in effect during or at the end of each reporting period, as applicable. As a result, fluctuations in foreign currency exchange rates among the Indian rupee, the Philippine peso, the U.K pound sterling, the South African rand and other currencies may adversely affect our results of operations. See Part II, Item 7A, “Quantitative and Qualitative Disclosures About Market Risk.” Additionally, because a majority of our employees are based in India, Philippines and South Africa and paid in Indian rupee or Philippine peso or South African rand, while our revenues are primarily earned in U.S. dollars and U.K. pound sterling, our employee costs as a percentage of revenues may increase or decrease significantly if the exchange rates among the Indian rupee, the Philippine peso, the U.K pound sterling, the South African rand and the U.S. dollar fluctuate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6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Although we hedge a substantial portion of our foreign currency exposures, there is no assurance that our hedging strategy will be successful or cost-effective. Any failure by our hedging counterparties to meet their contractual obligations could materially and adversely affect our profitability, business, results of operations, financial condition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Restrictions on visas and work permits may affect our ability to compete for and provide services to clients in the United States and other countries, which could make it more difficult to staff engagements and could increase our costs, which could have an adverse effect on our net income.</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Immigration and work permit laws and regulations in the countries where we have clients are subject to legislative and administrative changes as well as changes in the application of standards and enforcement.</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 xml:space="preserve">The ability of some of our executives and employees based in foreign locations to work with and meet clients abroad depends on their obtaining the necessary visas and work permits. In recent years, immigration authorities, in the United States as well as other countries where our clients are based, have increased the level of scrutiny and otherwise limited the granting of such visas and work permits, which may be affected by changes in legislation and enforcement due to political and other factors which may be difficult to predict. The ability to move our employees around the world as necessary to meet client demands is important to our business. If visa regulation prevents us from effectively deploying talent, including because of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Investors may have difficulty effecting service of process or enforcing judgments obtained in the United States against our foreign subsidiaries or our executive officers.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Our primary operating subsidiaries are organized outside the United States and some of our executive officers may reside outside of the United States. A substantial portion of our assets are located in India and the Philippines. As a result, our investors may be unable to effect service of process upon our affiliates or officers who reside in India and the Philippines outside their jurisdiction of residence. In addition, our investors may be unable to enforce against these persons outside the jurisdiction of their residence judgments obtained in courts of the United States, including judgments predicated solely upon the federal securities laws of the United States.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global operations subject us to numerous legal and regulatory requirements, including, accreditation or licensing standards that govern our business.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services to clients throughout the world, therefore we and our clients (who sometimes impose those requirements on us) are subject to numerous, changing and evolving laws and regulations on matters as diverse as import/export controls, content requirements, trade restrictions, tariffs, taxation, sanctions, government affairs, internal and disclosure control obligations, securities regulation, including anti-competition, anti-money-laundering and anti-corruption laws (including the U.S. Foreign Corrupt Practices Act and the U.K. Bribery Act), data privacy and protection, government compliance, wage-and-hour standards, employment and labor relations, health and safety, environmental and human rights, state laws on third party administration services, utilization review services, telemarketing services or state laws on debt collection in the United States and the Financial Services Act in the United Kingdom as well as similar consumer protection laws in other countries where our clients’ customers are based. The global nature of our operations increases the difficulty of compliance.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United States presidential administration has imposed or threatened significantly increased tariffs on foreign imports into the United States or service taxes on services provided to the U.S. The imposition of these tariffs, taxes or other trading regulations by the U.S. government on foreign countries, or by foreign countries on the U.S., could result in a global trade war which may significantly affect our customers’ businesses and therefore their ability or willingness to engage us for our offerings, which may result in the loss of customers and harm our operating performance, sales and earnings.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are required under various laws to obtain and maintain accreditations, permits and/or licenses for the conduct of our business in all jurisdictions where we have operations, and, in some cases where our clients receive our services to enable them to comply with applicable regulations or accreditations or licensing standards. Compliance with diverse legal requirements is costly, time-consuming and requires significant resources. Violations of these laws or regulations, including failure to maintain our accreditations, licenses or other qualifications, could result in fines, criminal sanctions, prohibitions on doing business or suspension or disqualification from government contracting or contracting with private entities, damage to our reputation and other unintended consequences such as liability for monetary damages, fines and/or criminal prosecution including in the form of successor liability arising from companies in which we invest or acquire, unfavorable publicity,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restrictions on our ability to process information and allegations by our clients that we have not performed our contractual obligations and loss of clients.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service our debt or obtain additional financing on competitive terms.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a credit agreement for our bank debt facility that contains covenants, among other things, requiring maintenance of certain financial ratios and restricting our ability to incur additional indebtedness, create liens, make certain investments and acquisitions, pay dividends, repurchase common shares and make other restricted payments or undertake certain fundamental changes (including, consolidations, liquidations or disposal of certain assets or subsidiaries). The credit agreement provides for a $500 million revolving credit facility, including a letter of credit sub-facility, and a $100 million term loan facility, which is guaranteed by certain subsidiaries. If we breach these covenants and do not cure such breach within the applicable cure periods or obtain a waiver from the lenders, the outstanding indebtedness could be accelerated, which could adversely affect our liquidity and financial condition.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flow from operations provides the primary source of funds for our debt service payments. Given the uncertainty over global economic and political conditions, regulatory, competitive or other factors outside of our control, including but not limited to conflicts between Russia and Ukraine, and the Middle East, there can be no assurance that business activity will be maintained at our expected level in order to generate the anticipated cash flows from operations. If our cash flow from operations declines, we may not be able to service or refinance our current debt or obtain additional financing on favorable terms to us or at all, which could adversely affect our business and financial condition. Our debt portfolio is on floating interest rates and is therefore fully exposed to interest rate fluctuations. Accordingly, any adverse change in interest rates due to market conditions or otherwise could increase our cost of funding substantially.</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stock price continues to be volatile.</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at times experienced or may experience substantial price volatility as a result of, among other reasons, variations between our actual and anticipated financial results, announcements by us and our competitors, terrorist attacks, natural disasters, epidemics or pandemics, or other such events impacting countries where we or our clients have operations, loss of one or more significant clients, announcements of technological developments, projections or speculation about our business or that of our competitors by the media or investment analysts, the effect of any stock split, or uncertainty about current global economic and political conditions. The global stock markets have experienced, and may continue to experience, significant volatility from inflation and high interest rates, which could result in a material adverse effect on our stock price. Furthermore, if we fail to meet expectations for future growth and profitability, the trading price of our common stock may be materially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Delaware law and our fourth amended and restated certificate of incorporation and sixth amended and restated by-laws contain certain anti-takeover provisions that could delay or discourage business combinations and takeover attempts that stockholders may consider favorable.</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Our fourth amended and restated certificate of incorporation and sixth amended and restated by-laws (the “by-laws”) contain provisions that may make it more difficult, expensive or otherwise discourage a tender offer or a change in control or takeover attempt by a third-party that is opposed by our board of directors. These provisions include permitting the board of directors to fill vacancies created by its expansion, requiring the vote of holders of two thirds of our common stock for certain amendments to our organizational documents, provisions barring stockholders from calling special stockholders’ meetings or acting by written consent, and setting forth advance notice procedures for stockholders’ director nominations and other stockholder proposals. These provisions may have the effect of delaying or preventing a change of control or changes in management that stockholders consider favorable. Additionally, because we are incorporated in Delaware, we are subject to Section 203 of the Delaware General Corporation Law (the “DGCL”). Section 203 of the DGCL may prohibit large stockholders, in particular those owning 15% or more of our outstanding voting stock, from merging or combining with us. These provisions of our certificate of incorporation, by-laws and Delaware law could discourage takeover attempts and reduce the price investors are willing to pay for our common stock, which could reduce the market price of our stock.</w:t>
      </w:r>
    </w:p>
    <w:p>
      <w:pPr>
        <w:pStyle w:val="TextBody"/>
        <w:bidi w:val="0"/>
        <w:spacing w:before="0" w:after="0"/>
        <w:ind w:left="0" w:right="0" w:firstLine="460"/>
        <w:jc w:val="both"/>
        <w:rPr/>
      </w:pPr>
      <w:r>
        <w:rPr/>
      </w:r>
    </w:p>
    <w:p>
      <w:pPr>
        <w:pStyle w:val="TextBody"/>
        <w:bidi w:val="0"/>
        <w:spacing w:before="0" w:after="0"/>
        <w:ind w:left="0" w:right="0" w:firstLine="46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and, because we are also a holding company, we may be unable to pay dividends.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relevant factors.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Risks Related to Our Industry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industry may not develop in ways that we currently anticipate due to negative public reaction in the United States and elsewhere to offshore outsourcing, anti-outsourcing executive action, legislation or otherwise.</w:t>
      </w:r>
    </w:p>
    <w:p>
      <w:pPr>
        <w:pStyle w:val="TextBody"/>
        <w:bidi w:val="0"/>
        <w:spacing w:before="0" w:after="0"/>
        <w:jc w:val="left"/>
        <w:rPr/>
      </w:pPr>
      <w:r>
        <w:rPr/>
      </w:r>
    </w:p>
    <w:p>
      <w:pPr>
        <w:pStyle w:val="TextBody"/>
        <w:bidi w:val="0"/>
        <w:spacing w:lineRule="auto" w:line="288" w:before="0" w:after="0"/>
        <w:ind w:left="0" w:right="0" w:firstLine="460"/>
        <w:jc w:val="both"/>
        <w:rPr/>
      </w:pPr>
      <w:r>
        <w:rPr>
          <w:rFonts w:ascii="Times New Roman;serif" w:hAnsi="Times New Roman;serif"/>
          <w:b w:val="false"/>
          <w:color w:val="000000"/>
          <w:sz w:val="20"/>
        </w:rPr>
        <w:t>Many organizations and public figures have publicly expressed concern about a perceived association between offshore outsourcing providers and the loss of jobs in the United States, where the majority of our clients are located, and elsewhere. Current or prospective clients may elect to perform such services themselves or may be discouraged from transferring these services to offshore providers to avoid any negative perception that may be associated with using an offshore provider.</w:t>
      </w:r>
      <w:r>
        <w:rPr>
          <w:color w:val="000000"/>
        </w:rPr>
        <w:t xml:space="preserve"> </w:t>
      </w:r>
      <w:r>
        <w:rPr>
          <w:rFonts w:ascii="Times New Roman;serif" w:hAnsi="Times New Roman;serif"/>
          <w:b w:val="false"/>
          <w:color w:val="000000"/>
          <w:sz w:val="20"/>
        </w:rPr>
        <w:t>Measures aimed at limiting or restricting outsourcing by U.S. companies may be put forward to address these concerns.</w:t>
      </w:r>
      <w:r>
        <w:rPr>
          <w:color w:val="000000"/>
        </w:rPr>
        <w:t xml:space="preserve"> </w:t>
      </w:r>
      <w:r>
        <w:rPr>
          <w:rFonts w:ascii="Times New Roman;serif" w:hAnsi="Times New Roman;serif"/>
          <w:b w:val="false"/>
          <w:color w:val="000000"/>
          <w:sz w:val="20"/>
        </w:rPr>
        <w:t>If any such measure is enacted, our ability to do business with U.S. clients through our non-U.S. affiliates could be negatively impacted.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General and Other Risk Factors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results of operations could be adversely affected by economic and political conditions globally and the effects of these conditions on our clients’ businesses and levels of business activity.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conditions affect our clients’ businesses and their markets, which are increasingly becoming more interdependent. The capital and credit markets have experienced, and may experience, volatility from geopolitical and economic tensions, inflation, changes in legislation or global trade policies, or global health emergencies or pandemics, which may affect our clients, us directly, or our client industries, and could result in changing demand patterns. Our business relies on continued demand and payments from clients for our services. These economic or geopolitical factors can create financial problems for our clients, leading to delayed payments, requests to alter payment terms, or even defaults on their obligations. Additionally, a weak global labor market could reduce demand for our services and make it harder to hire, train, and keep qualified employees, all of which could significantly harm our business and operations.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 disruptions may limit our ability to access financing or increase our cost of financing to meet liquidity needs, and affect the ability of our clients to use credit to purchase our services or to make timely payments to 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New and changing laws, corporate governance and public disclosure requirements add uncertainty to our compliance policies and increase our costs of compliance.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and changing laws, regulations and standards relating to accounting, corporate governance, sustainability and public disclosure, other SEC regulations, rules and regulations of the Consumer Financial Protection Bureau, The Nasdaq Stock Market LLC (or equivalent or other exchange on which our common stock may be listed), the Public Company Accounting Oversight Board, generally accepted accounting principles issued by Financial Accounting Standard Board, and state law can create uncertainty for companies like ours. These laws, regulations and standards may lack specificity and are subject to varying interpretations and evolution. This could result in continuing uncertainty regarding compliance matters and higher costs of compliance as a result of ongoing revisions to such corporate governance standards.</w:t>
      </w:r>
    </w:p>
    <w:p>
      <w:pPr>
        <w:pStyle w:val="TextBody"/>
        <w:bidi w:val="0"/>
        <w:spacing w:before="0" w:after="0"/>
        <w:jc w:val="left"/>
        <w:rPr/>
      </w:pPr>
      <w:r>
        <w:rPr/>
      </w:r>
    </w:p>
    <w:p>
      <w:pPr>
        <w:pStyle w:val="TextBody"/>
        <w:bidi w:val="0"/>
        <w:spacing w:lineRule="auto" w:line="288" w:before="0" w:after="0"/>
        <w:ind w:left="0" w:right="0" w:firstLine="46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federal securities laws require us to maintain internal controls over financial reporting. Effective internal controls are necessary for us to provide reliable and accurate financial information and to effectively prevent fraud. We devote significant financial and managerial resources and time to comply with the internal control over financial reporting requirements and continue to enhance our controls. Internal control over financial reporting has inherent limitations, including human error, sample-based testing, the possibility that controls could be circumvented or become inadequate because of changed conditions, unidentified controls, and fraud, which might not prevent or detect all misstatements or fraud, and could result in adverse consequences to us, including, but not limited to, a loss of investor confidence in the reliability of our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results, which could cause the market price of our stock to decline. While we do not anticipate any material weaknesses in our internal controls framework, we cannot be certain that we will be able to prevent future significant deficiencies or material weaknesses.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 comprehensive cybersecurity and data privacy program to safeguard the security, confidentiality, integrity, availability and protection of the Company’s and our clients’ information. Cybersecurity is also an inherent consideration for our data and AI-led solutions. Specifically, we aim to proactively identify and mitigate data protection and privacy risks through responsible AI practices. We work to continually strengthen our cybersecurity posture and protocols by investing in people, processes and technology intended to protect information throughout the business life cycle and to manage evolving cybersecurity risk. There can be no assurance that these policies and procedures will be effective in safeguarding against every possible cybersecurity or AI threat or that there will be no material incidents in the future.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We describe how cybersecurity threats are likely to materially affect our business, results of operations, and financial conditions in Part I, Item 1A, “Risk Factors” under “Risks Related to Our Business–– Unauthorized disclosure of sensitive or confidential client and employee data, whether through breach of our computer systems or otherwise, could cause us significant reputational damage, expose us to protracted and costly litigation, and cause us to lose clients.”</w:t>
      </w:r>
      <w:r>
        <w:rPr>
          <w:color w:val="000000"/>
        </w:rPr>
        <w:t xml:space="preserve"> </w:t>
      </w:r>
      <w:r>
        <w:rPr>
          <w:rFonts w:ascii="Times New Roman;serif" w:hAnsi="Times New Roman;serif"/>
          <w:b w:val="false"/>
          <w:color w:val="000000"/>
          <w:sz w:val="20"/>
        </w:rPr>
        <w:t>We believe that these risks have not materially affected our business to date, but we can provide no assurance that they will not affect us in the future. Although we maintain cybersecurity insurance to mitigate potential liabilities resulting from specific cybersecurity incidents, there is no guarantee that our insurance coverage limits will comprehensively protect us against any future claims or that such insurance proceeds will be paid to us in a timely manne</w:t>
      </w:r>
      <w:r>
        <w:rPr>
          <w:rFonts w:ascii="Calibri Light;sans-serif" w:hAnsi="Calibri Light;sans-serif"/>
          <w:b w:val="false"/>
          <w:color w:val="000000"/>
          <w:sz w:val="20"/>
        </w:rPr>
        <w:t>r</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Cybersecurity Strategy and Risk Management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strategy is founded on policies, processes and practices that are integrated into our overall risk management system. These policies, processes and practices are aimed at building a cyber-resilient organization by implementing and operationalizing cybersecurity capabilities to identify, protect, detect, respond and recover from cybersecurity threats and incidents and are guided by relevant regulatory and governance bodies, including but not limited to the Cyber Security Framework of the National Institute of Standards and Technology (NIST). We have undertaken measures designed to comply with applicable privacy laws and regulations that are applicable to our services. These security capabilities are designed to mitigate vulnerabilities and the impact of cyber incidents.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is an inherent consideration for our data and AI-led solutions. We aim to conduct periodic assessments to proactively identify and mitigate data protection and privacy risks in AI and manage risks through a layered approach that combines human oversight, technology and security controls. </w:t>
      </w:r>
    </w:p>
    <w:p>
      <w:pPr>
        <w:pStyle w:val="TextBody"/>
        <w:bidi w:val="0"/>
        <w:spacing w:before="0" w:after="0"/>
        <w:ind w:left="0" w:right="0" w:firstLine="440"/>
        <w:jc w:val="both"/>
        <w:rPr/>
      </w:pPr>
      <w:r>
        <w:rPr/>
      </w:r>
    </w:p>
    <w:p>
      <w:pPr>
        <w:pStyle w:val="TextBody"/>
        <w:bidi w:val="0"/>
        <w:spacing w:lineRule="auto" w:line="26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conduct cybersecurity and other risk assessments and compliance audits both internally and through third party auditors that we independently engage or that we engage in connection with our certification to certain international standards, such as the ISO 27001:2013 standard for information security management systems, PCI DSS for handling financial data, the ISO 22301:2012 for business continuity management systems, the ISO 9001:2008 standard for quality management systems, SOC 1 TYPE II and SOC 2 TYPE II, among others. We also regularly assess and deploy technical safeguards and conduct vulnerability assessment and penetration testing of our technology environment independently and through third parties. We use the outcome of these assessments to align our cybersecurity program and technical safeguards with the evolving cybersecurity threat landscape and adjust and augment our security controls environment as required. </w:t>
      </w:r>
    </w:p>
    <w:p>
      <w:pPr>
        <w:pStyle w:val="TextBody"/>
        <w:bidi w:val="0"/>
        <w:spacing w:before="0" w:after="0"/>
        <w:ind w:left="0" w:right="0" w:firstLine="440"/>
        <w:jc w:val="both"/>
        <w:rPr/>
      </w:pPr>
      <w:r>
        <w:rPr/>
      </w:r>
    </w:p>
    <w:p>
      <w:pPr>
        <w:pStyle w:val="TextBody"/>
        <w:bidi w:val="0"/>
        <w:spacing w:lineRule="auto" w:line="28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We have implemented a third-party risk management program to proactively identify and mitigate any potential risks that emerge from our supplier and partner ecosystem. We have processes in place to restrict and provide need-based access to sensitive or confidential data for third parties. Additionally, we conduct periodic evaluations of key suppliers and partners for ongoing monitoring of the risk environment.</w:t>
      </w:r>
    </w:p>
    <w:p>
      <w:pPr>
        <w:pStyle w:val="TextBody"/>
        <w:bidi w:val="0"/>
        <w:spacing w:before="0" w:after="0"/>
        <w:ind w:left="0" w:right="0" w:firstLine="4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Incident Response and Recovery Planning</w:t>
      </w:r>
    </w:p>
    <w:p>
      <w:pPr>
        <w:pStyle w:val="TextBody"/>
        <w:bidi w:val="0"/>
        <w:spacing w:before="0" w:after="0"/>
        <w:ind w:left="0" w:right="0" w:firstLine="440"/>
        <w:jc w:val="both"/>
        <w:rPr/>
      </w:pPr>
      <w:r>
        <w:rPr/>
      </w:r>
    </w:p>
    <w:p>
      <w:pPr>
        <w:pStyle w:val="TextBody"/>
        <w:bidi w:val="0"/>
        <w:spacing w:lineRule="auto" w:line="28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 xml:space="preserve">While processes are in place to minimize the occurrence of a successful cyberattack, we have institutionalized detailed incident response procedures to address a cyber threat that may occur despite these safeguards. The response procedures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designed to identify, analyze, isolate and contain, remediate, and, if applicable, report any such material cyber incidents that occur. We have developed a materiality assessment approach for cyber and a cyber crisis communication methodology for structured and timely notification to internal and external stakeholders. Further, we have empaneled specialized cyber partners to provide advanced investigation capabilities and response management support in case of a real cyber incident. Periodic tabletop and crisis simulation exercises are conducted to reinforce our incident response controls on an ongoing basis.</w:t>
      </w:r>
    </w:p>
    <w:p>
      <w:pPr>
        <w:pStyle w:val="TextBody"/>
        <w:bidi w:val="0"/>
        <w:spacing w:before="0" w:after="0"/>
        <w:ind w:left="0" w:right="0" w:firstLine="4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Training and Awareness</w:t>
      </w:r>
    </w:p>
    <w:p>
      <w:pPr>
        <w:pStyle w:val="TextBody"/>
        <w:bidi w:val="0"/>
        <w:spacing w:before="0" w:after="0"/>
        <w:jc w:val="both"/>
        <w:rPr/>
      </w:pPr>
      <w:r>
        <w:rPr/>
      </w:r>
    </w:p>
    <w:p>
      <w:pPr>
        <w:pStyle w:val="TextBody"/>
        <w:bidi w:val="0"/>
        <w:spacing w:lineRule="auto" w:line="288" w:before="0" w:after="0"/>
        <w:ind w:left="0" w:right="0" w:firstLine="440"/>
        <w:jc w:val="both"/>
        <w:rPr/>
      </w:pPr>
      <w:r>
        <w:rPr>
          <w:rFonts w:ascii="Times New Roman;serif" w:hAnsi="Times New Roman;serif"/>
          <w:b w:val="false"/>
          <w:color w:val="000000"/>
          <w:sz w:val="20"/>
        </w:rPr>
        <w:t>We maintain a comprehensive information and cybersecurity awareness and training program for all employees and contracted resources. This includes a mandatory annual information security training, cyber awareness month, periodic simulations such</w:t>
      </w:r>
      <w:r>
        <w:rPr>
          <w:color w:val="000000"/>
        </w:rPr>
        <w:t xml:space="preserve"> </w:t>
      </w:r>
      <w:r>
        <w:rPr>
          <w:rFonts w:ascii="Times New Roman;serif" w:hAnsi="Times New Roman;serif"/>
          <w:b w:val="false"/>
          <w:color w:val="000000"/>
          <w:sz w:val="20"/>
        </w:rPr>
        <w:t>as red teaming and tabletops, regular communications on relevant topics and policies related to data privacy, phishing, email security best practices, among others. We provide specialized security training for certain roles with access to sensitive data, including human resources or employees who regularly handle personal or sensitive information.</w:t>
      </w:r>
      <w:r>
        <w:rPr>
          <w:color w:val="000000"/>
        </w:rPr>
        <w:t xml:space="preserve"> </w:t>
      </w:r>
    </w:p>
    <w:p>
      <w:pPr>
        <w:pStyle w:val="TextBody"/>
        <w:bidi w:val="0"/>
        <w:spacing w:before="0" w:after="0"/>
        <w:ind w:left="0" w:right="0" w:firstLine="4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Governance (Management Oversight and Engagement with the Board of Directors)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is governed by our cross-functional apex body, the Management Security, Continuity and Privacy Forum (“MSCPF”), comprised of management representatives across all of our business units and enterprise functions such as Legal, Human Resource, Growth and Strategy, Compliance, Technology and Information Security. The MSCPF periodically reviews the strategy, policy, program effectiveness, standards development, cybersecurity risks, incident, and response preparedness.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Audit Committee of our board of directors provides primary oversight and strategic guidance on Cybersecurity. The Audit Committee receives reports from management, typically on a quarterly basis, regarding our security risk management, including cybersecurity-related risks, vulnerabilities, policies, practices, and strategic initiatives. Annually, our board of directors receives a report from management on our cybersecurity posture, our readiness and our capability to reduce the risk of, detect and respond to a cyberattack. Our senior management and board of directors participate in periodic cyber tabletop exercises to further enhance our preparedness in the event of an actual incident.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Cybersecurity program including security operations, governance, risk and compliance, data privacy, and business continuity is led by our Chief Information Security Officer (“CISO”) who has over 25 years of extensive experience in technology and data center architecture, client solutioning, complex program management and a decade in cyber risk management, governance and incident handling. Our CISO is supported by a team of cyber experts, many of whom are certified professionals in areas of security architecture, threat hunting, incident response, application security, business resiliency and data privacy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corporate headquarters are located in New York and we maintain our headquarters for international business in the Republic of Ireland. We have multiple operations centers spread across India, the Philippines, South Africa, Colombia, Bulgaria, Romania, the United Kingdom, the Czech Republic, Mexico and the Republic of Ireland with an aggregate area of approximately 1,994,000 square feet and a current installed capacity of approximately 31,000 workstations, including workstations for training and our employees in enabling functions. We also have multiple operations centers and regional offices in the United States.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and all of our operations centers are leased under long-term leases with varying expiration dates, except for an operations center in Pune, India with an area of 86,361 sq. ft. and containing approximately 1,750 agent workstations, which we own. Substantially all of our owned and leased property is used to service all of our reporting segments.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current facilities are adequate to support our existing operations, however we continue to optimize our existing network of operations centers, including through our hybrid working model, to service our clients and drive efficiencies. We also believe that we will be able to obtain suitable additional facilities on commercially reasonable terms on an “as needed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Commitments and Contingencies to our consolidated financial statements under Part II, Item 8, “Financial Statements and Supplementary Data” for details regarding our tax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common stock trades on the Nasdaq Global Select Market under the symbol “EXLS.”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February 20, 2026, there were 7 holders of record of our outstanding common stock. A substantially greater number of holders of our common stock are “street name” or beneficial holders, whose shares of record are held by banks, brokers, and other financial institutions.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do not anticipate paying any cash dividends in the foreseeable future.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80" w:after="180"/>
        <w:jc w:val="left"/>
        <w:rPr/>
      </w:pPr>
      <w:r>
        <w:rPr>
          <w:rFonts w:ascii="Times New Roman;serif" w:hAnsi="Times New Roman;serif"/>
          <w:b/>
          <w:color w:val="000000"/>
          <w:sz w:val="20"/>
        </w:rPr>
        <w:t>Issuer Purchases of Equity Securities</w:t>
      </w:r>
      <w:r>
        <w:rPr>
          <w:color w:val="000000"/>
        </w:rPr>
        <w:t xml:space="preserve"> </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26, 2024, our board of directors authorized a $500 million (excluding excise tax) common stock repurchase program beginning March 1, 2024 (the “2024 Repurchase Program”).</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our repurchase program, shares may be purchased by us from time to time from the open market and through private transactions, or otherwise, as determined by our management as market conditions warrant. We have structured open market purchases under our repurchase program to comply with Rule 10b-18 under the Exchange Act. Repurchases may be discontinued at any time by management. Repurchased shares are recorded as treasury shares and are held until our board of directors designates that these shares be retired or used for other purposes.</w:t>
      </w:r>
    </w:p>
    <w:p>
      <w:pPr>
        <w:pStyle w:val="TextBody"/>
        <w:bidi w:val="0"/>
        <w:spacing w:before="0" w:after="0"/>
        <w:ind w:left="0" w:right="0" w:firstLine="450"/>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purchases of common stock were as follows:</w:t>
      </w:r>
    </w:p>
    <w:p>
      <w:pPr>
        <w:pStyle w:val="TextBody"/>
        <w:bidi w:val="0"/>
        <w:spacing w:before="0" w:after="0"/>
        <w:ind w:left="0" w:right="0" w:firstLine="495"/>
        <w:jc w:val="both"/>
        <w:rPr/>
      </w:pPr>
      <w:r>
        <w:rPr/>
      </w:r>
    </w:p>
    <w:tbl>
      <w:tblPr>
        <w:tblW w:w="11433" w:type="dxa"/>
        <w:jc w:val="left"/>
        <w:tblInd w:w="0" w:type="dxa"/>
        <w:tblLayout w:type="fixed"/>
        <w:tblCellMar>
          <w:top w:w="28" w:type="dxa"/>
          <w:left w:w="28" w:type="dxa"/>
          <w:bottom w:w="28" w:type="dxa"/>
          <w:right w:w="28" w:type="dxa"/>
        </w:tblCellMar>
      </w:tblPr>
      <w:tblGrid>
        <w:gridCol w:w="424"/>
        <w:gridCol w:w="214"/>
        <w:gridCol w:w="218"/>
        <w:gridCol w:w="109"/>
        <w:gridCol w:w="109"/>
        <w:gridCol w:w="109"/>
        <w:gridCol w:w="468"/>
        <w:gridCol w:w="204"/>
        <w:gridCol w:w="109"/>
        <w:gridCol w:w="109"/>
        <w:gridCol w:w="109"/>
        <w:gridCol w:w="109"/>
        <w:gridCol w:w="196"/>
        <w:gridCol w:w="556"/>
        <w:gridCol w:w="109"/>
        <w:gridCol w:w="109"/>
        <w:gridCol w:w="109"/>
        <w:gridCol w:w="109"/>
        <w:gridCol w:w="497"/>
        <w:gridCol w:w="374"/>
        <w:gridCol w:w="213"/>
        <w:gridCol w:w="109"/>
        <w:gridCol w:w="109"/>
        <w:gridCol w:w="109"/>
        <w:gridCol w:w="196"/>
        <w:gridCol w:w="556"/>
        <w:gridCol w:w="109"/>
        <w:gridCol w:w="109"/>
        <w:gridCol w:w="109"/>
        <w:gridCol w:w="109"/>
        <w:gridCol w:w="451"/>
        <w:gridCol w:w="420"/>
        <w:gridCol w:w="109"/>
        <w:gridCol w:w="109"/>
        <w:gridCol w:w="109"/>
        <w:gridCol w:w="109"/>
        <w:gridCol w:w="196"/>
        <w:gridCol w:w="556"/>
        <w:gridCol w:w="109"/>
        <w:gridCol w:w="109"/>
        <w:gridCol w:w="109"/>
        <w:gridCol w:w="109"/>
        <w:gridCol w:w="611"/>
        <w:gridCol w:w="260"/>
        <w:gridCol w:w="261"/>
        <w:gridCol w:w="109"/>
        <w:gridCol w:w="109"/>
        <w:gridCol w:w="109"/>
        <w:gridCol w:w="196"/>
        <w:gridCol w:w="105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 Purchased from Employees in connection with satisfaction of Withholding Tax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 xml:space="preserve">Shares Privately Purchased, not Part of Publicly Announced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Approximate Dollar Value of Shares That May Yet Be Purchased Under the Plans or Programs</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Number of</w:t>
              <w:br/>
              <w:t>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Number of</w:t>
              <w:br/>
              <w:t>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Number of</w:t>
              <w:br/>
              <w:t>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1, 2025 through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915,871 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915,871 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104,847,587 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November 1, 2025 through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91,552,038 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December 1, 2025 through December 31, 2025</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2,117,487 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69,697,583 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1,779,421 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3,370,158 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We purchased 1,551,970 shares as part of private transaction, from Orogen Echo LLC, for an aggregate purchase price of $63.4 million, under a Stock Purchase Agreement dated December 15, 2025, which is separate from the 2024 Repurchase Program.</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as part of our publicly announced program, we purchased 5,934,710 shares of our common stock for an aggregate purchase consideration of $253.2 million, including commission and excluding excise tax, representing an average purchase price per share of $42.67.</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purchased 229,483 shares from employees in connection with withholding tax payments related to the vesting of restricted stock units for an aggregate purchase consideration of $11.1 million.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weighted average purchase price of $48.32 was the closing price of our shares of our common stock on the Nasdaq Global Select Market on the trading day prior to the vesting date of the restricted stock units.</w:t>
      </w:r>
    </w:p>
    <w:p>
      <w:pPr>
        <w:pStyle w:val="TextBody"/>
        <w:bidi w:val="0"/>
        <w:spacing w:lineRule="auto" w:line="26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Inflation Reduction Act, effective January 1, 2023, we are required to pay a 1% excise tax on the fair market value of each share of common stock repurchased, net of stock issuances.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on our common stock with the cumulative total return of the Nasdaq Composite Index and S&amp;P 500 Information Technology Index, capitalization weighted, for the period beginning December 31, 2020. As of December 31, 2025, we included the S&amp;P 500 Information Technology Index, because we believe it offers a better comparison of the industry performance, and removed the earlier peer group, which comprised two companies: Genpact Limited and WNS (Holdings) Limited, because WNS (Holdings) Limited was delisted on October 17, 2025. As a result of such delisting, providing a comparison of the newly selected index (S&amp;P 500 Information Technology Index) against the prior peer group is not meaningful. The returns assume that $100 was invested on December 31, 2020, and that all dividends were reinvested. The stock performance shown on the graph below is not indicative of future price performance.</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pStyle w:val="TextBody"/>
        <w:bidi w:val="0"/>
        <w:spacing w:before="180" w:after="180"/>
        <w:ind w:left="0" w:right="0" w:firstLine="450"/>
        <w:jc w:val="center"/>
        <w:rPr/>
      </w:pPr>
      <w:r>
        <w:rPr/>
        <w:drawing>
          <wp:inline distT="0" distB="0" distL="0" distR="0">
            <wp:extent cx="6229350" cy="452437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6229350" cy="4524375"/>
                    </a:xfrm>
                    <a:prstGeom prst="rect">
                      <a:avLst/>
                    </a:prstGeom>
                  </pic:spPr>
                </pic:pic>
              </a:graphicData>
            </a:graphic>
          </wp:inline>
        </w:drawing>
      </w:r>
      <w:bookmarkStart w:id="0" w:name="i-1"/>
      <w:bookmarkEnd w:id="0"/>
    </w:p>
    <w:p>
      <w:pPr>
        <w:pStyle w:val="TextBody"/>
        <w:bidi w:val="0"/>
        <w:spacing w:before="18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You should read the following discussion in connection with our consolidated financial statements and the related notes included elsewhere in this Annual Report on Form 10-K. Some of the statements in the following discussion are forward looking statements.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All references to years, unless otherwise noted, refer to our fiscal year, which ends on December 31. For example, a reference to “2025” or “fiscal 2025” means the 12-month period that ended on December 31, 2025. All references to quarters, unless otherwise noted, refer to the quarters of our fiscal year.</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maintain and grow client demand for our services and solutions, including anticipating and incorporating the latest technologies, for instance, artificial intelligence (“AI”), including generative AI, agentic AI into our offerings;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use of AI technology presents competitive, operational, reputational and legal risks, and our use of AI technology may not be successful;</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impact on client demand by the selling cycle and terms of our client contracts, including for our AI-related offerings;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attract and retain enough sufficiently trained employees to support our operations or any changes in the senior management team;</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accurately estimate and/or manage costs;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adjust our pricing terms or effectively manage our asset utilization levels to meet the changing demands of our clients and potential clients;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cyber security incidents, data breaches, additional cybersecurity and privacy risks from growing use of AI, or other unauthorized disclosure of sensitive or confidential client and employee data;</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reliance on third parties to deliver services and infrastructure for client critical services, and on third party data use rights for certain of our offerings;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employee wage increases;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failure to protect our intellectual property;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dependence on a limited number of clients and our ability to withstand the loss of a significant client;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manage rapid infrastructure and personnel growth across countries, including losing key talent to competitors;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successfully consummate or integrate strategic acquisitions including the impact from the impairment of goodwill and other intangible assets,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legal liability arising out of customer and third party contracts;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increasing competition in our industry, including from other providers and from internal resources of our clients;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make accurate estimates and assumptions in connection with the preparation of our consolidated financial statements;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challenges related to upgrading our enterprise resource planning system;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credit risk fluctuations in the market values of our investment and derivatives portfolios;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telecommunications or technology disruptions or breaches, natural or other disasters, medical epidemics or pandemics, or acts of violence or war;</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challenges by applicable tax authorities to transfer pricing determinations or the introduction of new or unfavorable tax legislation, tariffs, including legal restrictions on repatriation of funds held abroad;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exposure to currency exchange rate fluctuations in the various currencies in which we do business including rising inflation, high interest rates and economic recessionary trends on currency exchange rates;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restrictions on immigration and work permits;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regulatory, legislative and judicial developments, including our ability to adhere to regulations or accreditation or licensing standards that govern our business;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service debt or obtain additional financing on competitive terms, or exposure to interest rate fluctuations that are not fully hedged through interest rate swaps;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negative public reaction in the United States or elsewhere to offshore outsourcing.</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particular, you should consider the numerous risks outlined in Part I, Item 1A, “Risk Factors” in this Annual Report on Form 10-K. These and other risks could cause actual results to differ materially from those implied by forward-looking statements in this Annual Report on Form 10-K.</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by us in this Annual Report on Form 10-K, or elsewhere, speak only as of the date on which they were made. New risks and uncertainties may occur from time to time, and it is impossible for us to predict those events or how they may affect us. We have no obligation to update any forward-looking statements in this Annual Report on Form 10-K after the date of this Annual Report on Form 10-K, except as required by federal securities laws.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global data and artificial intelligence (“AI”) company that offers services and solutions to reinvent client business models, drive better outcomes and unlock growth with speed. We harness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One of our key assets is our global delivery network, which includes highly trained industry and process specialists across the United States, the United Kingdom, Latin America, South Africa, Europe and Asia (primarily India and the Philippines). We have operations centers in India, the United States, the Philippines, South Africa, Colombia, Bulgaria, Romania, the United Kingdom, the Czech Republic, Mexico and the Republic of Ireland.</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we implemented operational and structural changes to accelerate the execution of our data and AI strategy and align with how our management reviews financial information and makes operating decisions. The new operating model is comprised of Industry Market Units (“IMUs”) to focus on delivering higher value to clients leveraging our full suite of capabilities; and Strategic Growth Units to focus on rapidly advancing our operational, analytics, data engineering, and AI capabilities specific to our chosen industries. Our IMUs focus on managing customer relationships and delivering the “One EXL” value proposition to clients, maintaining a unified go-to-market approach and be integrally responsible for growth, profitability and client satisfaction.</w:t>
      </w:r>
    </w:p>
    <w:p>
      <w:pPr>
        <w:pStyle w:val="TextBody"/>
        <w:bidi w:val="0"/>
        <w:spacing w:before="0" w:after="0"/>
        <w:ind w:left="0" w:right="0" w:firstLine="495"/>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Accordingly, our new reportable segments, aligned to our IMUs, are as follows:</w:t>
      </w:r>
    </w:p>
    <w:p>
      <w:pPr>
        <w:pStyle w:val="TextBody"/>
        <w:bidi w:val="0"/>
        <w:spacing w:before="0" w:after="0"/>
        <w:ind w:left="0" w:right="0" w:firstLine="495"/>
        <w:jc w:val="both"/>
        <w:rPr/>
      </w:pPr>
      <w:r>
        <w:rPr/>
      </w:r>
    </w:p>
    <w:p>
      <w:pPr>
        <w:pStyle w:val="TextBody"/>
        <w:bidi w:val="0"/>
        <w:spacing w:lineRule="auto" w:line="268" w:before="0" w:after="0"/>
        <w:ind w:left="0" w:right="0" w:firstLine="135"/>
        <w:jc w:val="left"/>
        <w:rPr/>
      </w:pPr>
      <w:r>
        <w:rPr>
          <w:color w:val="000000"/>
        </w:rPr>
        <w:t>•</w:t>
      </w:r>
      <w:r>
        <w:rPr>
          <w:rFonts w:ascii="Times New Roman;serif" w:hAnsi="Times New Roman;serif"/>
          <w:b w:val="false"/>
          <w:color w:val="000000"/>
          <w:sz w:val="20"/>
        </w:rPr>
        <w:t>Insurance,</w:t>
      </w:r>
    </w:p>
    <w:p>
      <w:pPr>
        <w:pStyle w:val="TextBody"/>
        <w:bidi w:val="0"/>
        <w:spacing w:lineRule="auto" w:line="268" w:before="0" w:after="0"/>
        <w:ind w:left="0" w:right="0" w:firstLine="135"/>
        <w:jc w:val="left"/>
        <w:rPr/>
      </w:pPr>
      <w:r>
        <w:rPr>
          <w:color w:val="000000"/>
        </w:rPr>
        <w:t>•</w:t>
      </w:r>
      <w:r>
        <w:rPr>
          <w:rFonts w:ascii="Times New Roman;serif" w:hAnsi="Times New Roman;serif"/>
          <w:b w:val="false"/>
          <w:color w:val="000000"/>
          <w:sz w:val="20"/>
        </w:rPr>
        <w:t>Healthcare and Life Sciences,</w:t>
      </w:r>
    </w:p>
    <w:p>
      <w:pPr>
        <w:pStyle w:val="TextBody"/>
        <w:bidi w:val="0"/>
        <w:spacing w:lineRule="auto" w:line="268" w:before="0" w:after="0"/>
        <w:ind w:left="0" w:right="0" w:firstLine="135"/>
        <w:jc w:val="left"/>
        <w:rPr/>
      </w:pPr>
      <w:r>
        <w:rPr>
          <w:color w:val="000000"/>
        </w:rPr>
        <w:t>•</w:t>
      </w:r>
      <w:r>
        <w:rPr>
          <w:rFonts w:ascii="Times New Roman;serif" w:hAnsi="Times New Roman;serif"/>
          <w:b w:val="false"/>
          <w:color w:val="000000"/>
          <w:sz w:val="20"/>
        </w:rPr>
        <w:t>Banking, Capital Markets and Diversified Industries,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68" w:before="0" w:after="0"/>
        <w:ind w:left="0" w:right="0" w:firstLine="135"/>
        <w:jc w:val="left"/>
        <w:rPr/>
      </w:pPr>
      <w:r>
        <w:rPr>
          <w:color w:val="000000"/>
        </w:rPr>
        <w:t>•</w:t>
      </w:r>
      <w:r>
        <w:rPr>
          <w:rFonts w:ascii="Times New Roman;serif" w:hAnsi="Times New Roman;serif"/>
          <w:b w:val="false"/>
          <w:color w:val="000000"/>
          <w:sz w:val="20"/>
        </w:rPr>
        <w:t>International Growth Markets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changes in our new reportable segments reflect 1) the integration of our former Analytics reportable segment as a core capability within each of our IMUs, ensuring alignment with the specialized needs of our clients across IMUs, 2) the reorganization of our former Emerging Business reportable segment into a Banking, Capital Markets and Diversified Industries reportable segment, excluding Life Sciences, which is now a part of the new Healthcare and Life Sciences reportable segment, and 3) the formation of International Growth Markets as a separate IMU to represent all our services and solutions offerings to clients in the United Kingdom, Europe, Middle East, Asia-Pacific and South Africa geographies across all industry verticals. The International Growth Markets IMU is helping strategically expand our footprint in markets outside of North America and drive focus on offerings and expansion in those markets in new and existing clients.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revenues by service type are now presented as data and AI-led solutions and services and digital operations solutions and services. Revenues attributable to geographical regions are now presented as North America (including the United States, Canada and Mexico), the United Kingdom and Europe, and Rest of World.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recast our segment disclosures for all prior periods presented to conform to the way we internally manage and monitor segment level performance of our business.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data and AI-led solutions and services and digital operations solutions and services to our clients. We market and sell our solutions and services to existing and prospective clients through our sales and client management teams, which are aligned by our IMUs. Our sales and client management teams operate primarily from the United States, India, the United Kingdom, Ireland and Australia.</w:t>
      </w:r>
    </w:p>
    <w:p>
      <w:pPr>
        <w:pStyle w:val="TextBody"/>
        <w:bidi w:val="0"/>
        <w:spacing w:lineRule="auto" w:line="288" w:before="180" w:after="180"/>
        <w:ind w:left="0" w:right="0" w:firstLine="450"/>
        <w:jc w:val="both"/>
        <w:rPr/>
      </w:pPr>
      <w:r>
        <w:rPr>
          <w:rFonts w:ascii="Times New Roman;serif" w:hAnsi="Times New Roman;serif"/>
          <w:b/>
          <w:color w:val="000000"/>
          <w:sz w:val="20"/>
        </w:rPr>
        <w:t>Data and AI-led:</w:t>
      </w:r>
      <w:r>
        <w:rPr>
          <w:color w:val="000000"/>
        </w:rPr>
        <w:t xml:space="preserve"> </w:t>
      </w:r>
      <w:r>
        <w:rPr>
          <w:rFonts w:ascii="Times New Roman;serif" w:hAnsi="Times New Roman;serif"/>
          <w:b w:val="false"/>
          <w:color w:val="000000"/>
          <w:sz w:val="20"/>
        </w:rPr>
        <w:t>Our data and AI-led revenue comes from AI-powered solutions and services in which we embed data and AI into client workflows, leveraging our depth of domain knowledge, analytics, data management and digital engineering expertise. Our digital and AI capabilities that drive data and technology-led transformation for our clients include generative AI, reinforcement learning, hyper automation, cloud data management, conversational AI, robotics, enterprise architecture development, integration platform as a service and AI for operations.</w:t>
      </w:r>
    </w:p>
    <w:p>
      <w:pPr>
        <w:pStyle w:val="TextBody"/>
        <w:bidi w:val="0"/>
        <w:spacing w:lineRule="auto" w:line="288" w:before="0" w:after="0"/>
        <w:ind w:left="0" w:right="0" w:firstLine="450"/>
        <w:jc w:val="both"/>
        <w:rPr/>
      </w:pPr>
      <w:r>
        <w:rPr>
          <w:rFonts w:ascii="Times New Roman;serif" w:hAnsi="Times New Roman;serif"/>
          <w:b/>
          <w:color w:val="000000"/>
          <w:sz w:val="20"/>
        </w:rPr>
        <w:t>Digital operations:</w:t>
      </w:r>
      <w:r>
        <w:rPr>
          <w:color w:val="000000"/>
        </w:rPr>
        <w:t xml:space="preserve"> </w:t>
      </w:r>
      <w:r>
        <w:rPr>
          <w:rFonts w:ascii="Times New Roman;serif" w:hAnsi="Times New Roman;serif"/>
          <w:b w:val="false"/>
          <w:color w:val="000000"/>
          <w:sz w:val="20"/>
        </w:rPr>
        <w:t>Our digital operations revenue comes from our technology-enabled managed services that blend our deep domain expertise with industry-specific solutions and services that help clients run business functions with enhanced productivity, greater speed and improved accuracy. We apply deep industry expertise and tailored technology—whether our proprietary technology or client technology—to solve complex challenges and drive measurable outcomes. These digital operations deployments form the foundation for future client transformation opportunities to infuse AI into client workflows and unlock even greater value.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reportable segments, aligned to our IMUs, which provide data and AI-led solutions and services and digital operations solutions and services, are described below:</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 xml:space="preserve">Insurance: </w:t>
      </w:r>
      <w:r>
        <w:rPr>
          <w:rFonts w:ascii="Times New Roman;serif" w:hAnsi="Times New Roman;serif"/>
          <w:b w:val="false"/>
          <w:color w:val="000000"/>
          <w:sz w:val="20"/>
        </w:rPr>
        <w:t>We serve insurance brokers, reinsurers, and insurtech companies and provide services to insurers in the areas of property and casualty, life, disability, annuity, and retirement services.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offerings include claims management, premium and benefit administration, agency management, account reconciliation, actuarial and risk analytics, policy research, digital marketing, new business acquisition, underwriting support, policy servicing, premium audit, surveys, billing and collection, commercial and residential survey, finance and accounting, and customer service using digital technology, AI, including agentic AI, generative AI, machine learning (“ML”) and advanced automation. We also combine our cloud-first digital insurance software solutions and industry expertise with agentic AI, generative AI, machine learning, advanced analytics, and platforms. This includes our Insurance Large Language Model (“LLM”), a specialized generative AI platform for claims, underwriting and subrogation, developed leveraging our deep experience and proprietary data in the insurance industry. Additionally, we provide third-party administration for life and annuity insurance through our LifePRO® and Life Digital Suite SaaS platforms and also offer subrogation services to property and casualty insurers using our Subrosource® BPaaS platform.</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Healthcare and Life Sciences:</w:t>
      </w:r>
      <w:r>
        <w:rPr>
          <w:color w:val="000000"/>
        </w:rPr>
        <w:t xml:space="preserve"> </w:t>
      </w:r>
      <w:r>
        <w:rPr>
          <w:rFonts w:ascii="Times New Roman;serif" w:hAnsi="Times New Roman;serif"/>
          <w:b w:val="false"/>
          <w:color w:val="000000"/>
          <w:sz w:val="20"/>
        </w:rPr>
        <w:t xml:space="preserve">We serve U.S.-based healthcare payers, providers, pharmacy benefit managers (“PBMs”), and life sciences organizations by combining deep healthcare and life sciences domain expertise with data, analytics and AI-led insights and technology-enabled services that transform how care is delivered, managed and paid.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care management, utilization management, disease management, payment integrity, revenue optimization and customer engagement, commercial analytics and regulatory support services to improve healthcare outcomes, enhanced patient and provider experience, optimized healthcare spending and streamline healthcare administration processes by simplifying complex workflows.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healthcare payers, we offer payment integrity services, pre and post-pay auditing services, payment analytics, subrogation and claims recovery, care management and patient navigation solutions. For healthcare providers, we offer revenue cycle management, digital transformation, data-driven analytics and contact center solutions. For PBMs, we provide digital transformation, data and analytics and call center modernization. Our life sciences offerings combine domain expertise, data engineering, AI-driven insight generation, and digital operations to deliver outcomes across commercial, clinical, regulatory, and patient support functions. We leverage AI, analytics, and cloud-based solutions to enhance value-based care, optimize claims, and ensure regulatory compliance.</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Banking, Capital Markets, and Diversified Industries:</w:t>
      </w:r>
      <w:r>
        <w:rPr>
          <w:color w:val="000000"/>
        </w:rPr>
        <w:t xml:space="preserve"> </w:t>
      </w:r>
      <w:r>
        <w:rPr>
          <w:rFonts w:ascii="Times New Roman;serif" w:hAnsi="Times New Roman;serif"/>
          <w:b w:val="false"/>
          <w:color w:val="000000"/>
          <w:sz w:val="20"/>
        </w:rPr>
        <w:t xml:space="preserve">Our Banking and Capital Markets and Diversified Industries group delivers comprehensive solutions across retail and commercial banking, credit card and payment services, fintech, wealth and retirement services, capital markets, utilities, retail and consumer packaged goods, communications, media and entertainment, travel and leisure, transportation and logistics, infrastructure and other business services industries.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By integrating deep domain expertise with AI-driven decision-making, we enable financial institutions to innovate, enhance operational agility, and adapt to evolving market demands. We provide risk management solutions, marketing and customer analytics solutions to our clients, along with our integrated operations services that encompass the full range of banking operations, including digital lending solutions that improve underwriting and compliance, omni-channel marketing, digital onboarding, know your customer (“KYC”)/anti-money laundering (“AML”) compliance, collections, fraud prevention, and customer servicing, among others. Our industry-leading AI and automation-driven service offerings drive operational efficiency and foster innovation across the financial services and other industries.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enterprise services and solutions include domain-specific operations, integrated finance and accounting services, customer experience management, back-office operations, and revenue enhancement, such as pricing and billing, enabling our clients to deliver enhanced operational efficiency, and high-quality customer experiences. For example, in the retail and consumer packaged goods sectors, we enable advanced supply chain performance through AI-driven analytics services supporting smarter merchandising, dynamic pricing, and accurate demand forecasting and for our clients in the utilities sector, we offer AI-enabled operations and solutions related to end-to-end customer life cycle management, including onboarding and terminations, engineering field operations, billing, and debt management.</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International Growth Markets:</w:t>
      </w:r>
      <w:r>
        <w:rPr>
          <w:color w:val="000000"/>
        </w:rPr>
        <w:t xml:space="preserve"> </w:t>
      </w:r>
      <w:r>
        <w:rPr>
          <w:rFonts w:ascii="Times New Roman;serif" w:hAnsi="Times New Roman;serif"/>
          <w:b w:val="false"/>
          <w:color w:val="000000"/>
          <w:sz w:val="20"/>
        </w:rPr>
        <w:t>Our International Growth Markets (“IGM”) IMU is focused on strengthening our global footprint outside of North America. We ensure customized delivery while leveraging EXL’s global capabilities in data, AI, and digital operations to drive differentiated business outcomes for our clients in growth markets. This provides us with opportunities to leverage our investments, experience, and expertise from the North America market to expand our global client base, drive further growth, and bring us closer to our clients and partners across the world. IGM consists of dedicated teams servicing clients and localizing our global capabilities in insurance, life sciences, banking and capital markets, energy and infrastructure, retail, consumer goods, and travel industries in growth markets. Across all regions in which we operate, we combine deep domain experience with our data and AI expertise to help clients innovate, enhance operational agility, adapt to changing market demands, and drive better business transformation.</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Pricing:</w:t>
      </w:r>
      <w:r>
        <w:rPr>
          <w:color w:val="000000"/>
        </w:rPr>
        <w:t xml:space="preserve"> </w:t>
      </w:r>
      <w:r>
        <w:rPr>
          <w:rFonts w:ascii="Times New Roman;serif" w:hAnsi="Times New Roman;serif"/>
          <w:b w:val="false"/>
          <w:color w:val="000000"/>
          <w:sz w:val="20"/>
        </w:rPr>
        <w:t>We charge for our services using various pricing models like time-and-material pricing, full-time-equivalent pricing, transaction-based pricing, outcome-based pricing, subscription-based pricing and other alternative or emerging pricing models. Outcome-based pricing arrangements are an example of a non-linear pricing model where our revenues from platforms and solutions and the services we provide are compensated based on our clients’ usage or savings rather than the efforts we deploy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fiscal 2025, we generated revenues of $2,087.7 million compared to revenues of $1,838.4 million for fiscal 2024, an increase of $249.3 million, or 13.6%.</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serve clients mainly in the North America, and the United Kingdom &amp; Europe, with these two regions generating 82.7% and 14.7%, respectively, of our total revenues for fiscal 2025 and 82.3% and 14.8%, respectively, of our total revenues for fiscal 2024.</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fiscal 2025 and fiscal 2024, our total revenues from our top ten clients accounted for 34.0% and 33.2% of our total revenues, respectively. Although we continue to develop relationships with new clients to diversify our client base, we believe that the loss of any of our top ten clients could have a material adverse effect on our financial performance.</w:t>
      </w:r>
    </w:p>
    <w:p>
      <w:pPr>
        <w:pStyle w:val="TextBody"/>
        <w:bidi w:val="0"/>
        <w:spacing w:lineRule="auto" w:line="268" w:before="180" w:after="180"/>
        <w:jc w:val="both"/>
        <w:rPr>
          <w:rFonts w:ascii="Times New Roman;serif" w:hAnsi="Times New Roman;serif"/>
          <w:b/>
          <w:color w:val="000000"/>
          <w:sz w:val="20"/>
        </w:rPr>
      </w:pPr>
      <w:r>
        <w:rPr>
          <w:rFonts w:ascii="Times New Roman;serif" w:hAnsi="Times New Roman;serif"/>
          <w:b/>
          <w:color w:val="000000"/>
          <w:sz w:val="20"/>
        </w:rPr>
        <w:t>Cost of Revenues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cost of revenues primarily consists of:</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employee costs, which include salary, bonus and other compensation expenses; retirement benefits, recruitment and training costs; employee health and life insurance; transport; rewards and recognition for certain employees; and non-cash stock-based compensation expense; outsourced/subcontractors costs;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costs relating to our facilities and communications network, which include telecommunication and IT costs; facilities and customer management support; operational expenses for our operations centers; lease cost;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other costs which primarily include travel and costs relating to our direct marketing business.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most significant components of our cost of revenues are salaries and benefits (including stock-based compensation), retirement benefits, recruitment, training, transport, meals, rewards and recognition and employee health and life insurance. Salary levels,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stock-based compensation expense related to the grant of our equity awards to employees directly involved in providing services to our clients.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our cost of revenues to continue to increase as we continue to add professionals in our operations centers globally to service additional business and as wages continue to increase globally. In particular, we expect recruitment and training costs to continue to increase as we hire additional staff to service new clients and train existing staff to provide them with evolving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We also expect that we will continue to incur additional costs to monitor and improve operational efficiency of our hybrid working model, invest in information technology solutions, including adaption to evolving modes of seeking such solutions through cloud-based hosting arrangements and security measures to safeguard against information security risks. See Part I, Item 1A, “Risk Factors” under “Risks Related to Our Business––Employee wage increases may prevent us from sustaining our competitive advantage and may reduce our profit margin.” However, a significant portion of our client contracts include inflation-based adjustments to our billing rates year over year which partially offset such increase in cost of revenues.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experience a higher cost of revenues as a percentage of revenues during the initial 12 to 18 months in our long-term contracts due to upfront investments in infrastructure, resource hiring and training during migration. The cost of revenues as a percentage of revenues improves as we scale up, achieve operational efficiencies and complete the migration.</w:t>
      </w:r>
    </w:p>
    <w:p>
      <w:pPr>
        <w:pStyle w:val="TextBody"/>
        <w:bidi w:val="0"/>
        <w:spacing w:before="180" w:after="180"/>
        <w:ind w:left="0" w:right="0" w:firstLine="450"/>
        <w:jc w:val="both"/>
        <w:rPr/>
      </w:pPr>
      <w:r>
        <w:rPr/>
      </w:r>
    </w:p>
    <w:p>
      <w:pPr>
        <w:pStyle w:val="TextBody"/>
        <w:bidi w:val="0"/>
        <w:spacing w:before="180" w:after="180"/>
        <w:ind w:left="0" w:right="0" w:firstLine="450"/>
        <w:jc w:val="both"/>
        <w:rPr/>
      </w:pPr>
      <w:r>
        <w:rPr/>
      </w:r>
    </w:p>
    <w:p>
      <w:pPr>
        <w:pStyle w:val="TextBody"/>
        <w:bidi w:val="0"/>
        <w:spacing w:before="18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("SG&amp;A")</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(“G&amp;A”) comprise of expenses relating to salaries and benefits (including stock-based compensation), retirement benefits as well as costs related to recruitment, training and retention of senior management and other support personnel in enabling functions, telecommunications, utilities, travel and other miscellaneous administrative costs. G&amp;A expenses also include acquisition-related costs, legal and professional fees (which represent the costs of third party legal, tax, accounting, immigration and other advisors), litigation claims, cost of technology solutions sought through evolving modes of cloud-based hosting arrangements, investment in product development, AI and other digital technologies, bad debt allowance and stock-based compensation expenses related to grant of our equity awards to members of our board of directors. We expect our G&amp;A costs to increase as we continue to strengthen our support and enabling functions and invest in leadership development, performance management and training programs.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primarily consist of salaries and benefits (including stock-based compensation), retirement benefits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pertains to depreciation of our property and equipment, including network equipment, cabling, computers, office furniture and equipment, motor vehicles and leasehold improvements and amortization of intangible assets acquired in business combinations. As part of our ongoing evaluation of our business needs, we continually optimize our operations centers and expect depreciation to decrease on assets related to operations centers, such as office furniture and equipment and leasehold improvements. As our business continues to expand, we expect additional investments in digital technologies and equipment, including laptops, desktop computers, servers and other infrastructure, and increased reliance on hybrid working model, we expect increases in depreciation on assets-related to such investments. Property and equipment, if evaluated as being used differently than as originally intended are assessed for revision of their useful life, thereby revising their future depreciation to reflect the actual use of such property and equipment over the remaining shortened life. We expect amortization of intangible assets to increase further as we pursue strategic relationships and acquisitions.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Foreign Exchange Gain, Net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U.S. dollars.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revenues are primarily denominated in the U.S. dollar, however, a portion of our revenues are earned in the U.K. pound sterling representing 10.6% and 10.7% of our total revenues in fiscal 2025 and fiscal 2024, respectively. We also incur a significant portion of our expenses in the Indian rupee, the Philippine peso, the South African rand and the U.K. pound sterling, representing 31.1%, 8.4%, 3.3% and 3.1%, respectively, of our total expenses in fiscal 2025, compared to 29.7%, 8.2%, 3.5% and 2.8%, respectively, of our total expenses in fiscal 2024. The exchange rates among these currencies and the U.S. dollar have changed over the years and may fluctuate substantially in the future as well. The results of our operations could be substantially impacted as these currencies appreciate or depreciate against the U.S. dollar. See Part I, Item 1A, “Risk Factors” under “Risks Related to the International Nature of Our Business––Currency exchange rate fluctuations in the various currencies in which we do business, or the failure of our hedging strategies to mitigate such fluctuations, could have a material adverse effect on our results of operations,” as well as Note 2 - Summary of Significant Accounting Policies and Note 17 - Derivatives and Hedge Accounting to our consolidated financial statements under Part II, Item 8, “Financial Statements and Supplementary Data” and Part II, Item 7A, “Quantitative and Qualitative Disclosures About Market Risk-Components of Market Risk-Foreign Currency Risk.”</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primarily consists of interest on our borrowings under our revolving credit facility, term loan facility, finance leases and notional interest implicit in the purchase of property and equipment.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Other Income/(Expense), Net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income/(expense), net primarily consists of gain/(loss) on sale and mark-to-market, dividend income and interest income on our short-term and long-term investments, cash equivalents, as applicable. Other income/(expense), net also consists of changes in fair value of contingent consideration related to business combinations, interest on refunds received from income tax authorities in India on completion of tax assessments, profit or loss on disposal of long-lived assets and components of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periodic benefit cost such as interest cost, expected return on plan assets, amortization of actuarial gain/(loss) and prior period service costs.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taxes in the countries we operate in. Our future tax liabilities could be adversely affected by any new unfavorable tax legislative and other changes in such countries. We continuously monitor such changes to assess and quantify the potential impacts on our consolidated financial statements.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periodically evaluate opportunities to distribute cash among our group entities to fund our operations in the United States and other countries, and as and when we decide to distribute, we may have to accrue additional taxes in accordance with local tax laws, rules and regulations in the relevant foreign jurisdictions.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on the basis of an assessment of whether it is more likely than not that a deferred tax asset will be realized.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benefit from corporate tax holidays in our qualified Philippines Economic Zone Authority operations centers in the Philippines. Our ability to utilize these tax holidays could be adversely affected by any new unfavorable tax legislative changes. We continuously monitor such changes to assess and quantify any potential impacts on our consolidated financial statements.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October 2021, the Organization for Economic Co-operation and Development (“OECD”) introduced the Pillar Two Framework imposing a global minimum tax rate of 15%. We have determined that the impact of the Pillar Two Framework did not have material impact on our consolidated financial statements.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new tax legislation known as the One Big Beautiful Bill Act (“OBBBA”), which effectively extends certain provisions of the 2017 Tax Cuts and Jobs Act, including adjustments to several provisions that were scheduled to sunset, phase out, or phase in. As a result of our election to expense research or experimental expenditures incurred in the United States and the related transition provisions, our U.S. cash taxes for 2025 will decrease, while there will be no significant impact on our effective tax rate.</w:t>
      </w: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the consolidated financial statements included in this Annual Report on Form 10-K, which have been prepared in accordance with U.S. generally accepted accounting principles (“U.S. GAAP”). A summary of our significant accounting policies is included in Note 2 - Summary of Significant Accounting Policies to our consolidated financial statements under Part II, Item 8, “Financial Statements and Supplementary Data.”</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the following accounting estimates to be the most critical to an understanding of our consolidated financial statements, as their application places the most significant demands on management’s judgment regarding matters that are inherently uncertain at the time an estimate is made. These accounting policies, estimates and the associated risks are set out below. Future events may not develop exactly as forecasted and estimates routinely require adjustment.</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Type of Contracts Requiring Judgment</w:t>
      </w:r>
    </w:p>
    <w:p>
      <w:pPr>
        <w:pStyle w:val="TextBody"/>
        <w:bidi w:val="0"/>
        <w:spacing w:lineRule="auto" w:line="268" w:before="180" w:after="180"/>
        <w:ind w:left="0" w:right="0" w:firstLine="450"/>
        <w:jc w:val="both"/>
        <w:rPr/>
      </w:pPr>
      <w:r>
        <w:rPr>
          <w:rFonts w:ascii="Times New Roman;serif" w:hAnsi="Times New Roman;serif"/>
          <w:b w:val="false"/>
          <w:color w:val="000000"/>
          <w:sz w:val="20"/>
        </w:rPr>
        <w:t xml:space="preserve">Revenues from payment integrity services having contingent fee arrangements are recognized by us at the point in time when a performance obligation is satisfied, which is when we identify an overpayment claim. In such contracts, our consideration is contingent upon the actual collections made by our customers and net of any subsequent retraction claims. Based on guidance on “variable consideration” in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Topic 606”), we use our historical experience and projections to determine the expected recoveries from our customers and recognize revenue based upon such expected recoveries. We believe that the expected value method is most appropriate for determining the variable consideration since we have a large number of contracts with similar nature of transactions/services. Any adjustment required due to change in estimates are recorded in the period in which such change is identified. The estimated amount of revenue to be collected from our customers are presented as contract assets within “Other Current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fixed-price contracts are recognized considering costs incurred to date relative to total estimated costs at completion to measure progress towards satisfying the performance obligations. The use of this method requires significant judgment to estimate the stage of completion and/or cost required to complete the contracted scope of work, including assumptions and estimates relative to the length of time to complete the project and the nature and complexity of the work to be performed and resources engaged. We regularly monitor these estimates throughout the execution of the project and record changes in the period in which a change in an estimate is determined. </w:t>
      </w:r>
    </w:p>
    <w:p>
      <w:pPr>
        <w:pStyle w:val="TextBody"/>
        <w:bidi w:val="0"/>
        <w:spacing w:lineRule="auto" w:line="268" w:before="180" w:after="180"/>
        <w:jc w:val="both"/>
        <w:rPr>
          <w:rFonts w:ascii="Times New Roman;serif" w:hAnsi="Times New Roman;serif"/>
          <w:b/>
          <w:i/>
          <w:color w:val="000000"/>
          <w:sz w:val="20"/>
        </w:rPr>
      </w:pPr>
      <w:r>
        <w:rPr>
          <w:rFonts w:ascii="Times New Roman;serif" w:hAnsi="Times New Roman;serif"/>
          <w:b/>
          <w:i/>
          <w:color w:val="000000"/>
          <w:sz w:val="20"/>
        </w:rPr>
        <w:t>Allowance for Expected Credit Losses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 accounts receivable net of allowances for expected credit losses. Allowances for credit losses are established through the evaluation of aging of accounts receivables, prior collection experience, current market conditions, forecasts about future economic conditions, customers’ financial condition and the amount of accounts receivable in dispute to estimate the collectability of these accounts receivable. Accounts receivable balances are written-off against the allowance for expected credit losses after all means of collection have been exhausted and the potential for recovery is considered remote.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Business Combinations and Goodwill</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We account for all business combinations using the acquisition method of accounting as prescribed by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guidance requires the use of significant estimates and assumptions in determining the fair value of identifiable assets acquired and liabilities assumed, including intangible assets and contingent consideration, and allocation of purchase price over such assets and liabilities on the acquisition date. The significant estimates and assumptions include, but are not limited to, the timing and amount of future revenue and cash flows based on, among other things, discount rate reflecting the risk inherent in future cash flows, customer attrition rates and the long-term growth rate applied within the discounted cash flow model. This requires a high degree of our judgment and the need to involve fair value specialists to evaluate the reasonableness of our valuation methodology and the selection of inputs to the valuation.</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perform a quantitative assessment of goodwill impairment if, based on the qualitative factors assessed during the fourth quarter, we determine that it is more likely than not that the fair value of a reporting unit is less than its carrying amount. The significant estimates and assumptions include, the timing and amount of future revenue and cash flows, discount rate reflecting the risk inherent in future cash flows and the long-term growth rate applied within the discounted cash flow model.</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we implemented operational and structural changes, which resulted in the realignment of our reporting segments. Refer to Note 3- Segment Information and Note 10- Goodwill and Other Intangible Assets to our consolidated financial statements for further details.</w:t>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Goodwill has been re-allocated to reporting units based on the relative fair value approach. We tested goodwill for impairment prior to the segment realignment and immediately thereafter, for events and conditions identified in accordance with the guidance in ASC Topic 350, </w:t>
      </w:r>
      <w:r>
        <w:rPr>
          <w:rFonts w:ascii="Times New Roman;serif" w:hAnsi="Times New Roman;serif"/>
          <w:b w:val="false"/>
          <w:i/>
          <w:color w:val="000000"/>
          <w:sz w:val="20"/>
        </w:rPr>
        <w:t>Intangibles- Goodwill and Other</w:t>
      </w:r>
      <w:r>
        <w:rPr>
          <w:rFonts w:ascii="Times New Roman;serif" w:hAnsi="Times New Roman;serif"/>
          <w:b w:val="false"/>
          <w:color w:val="000000"/>
          <w:sz w:val="20"/>
        </w:rPr>
        <w:t>. The fair value of our reporting units was calculated using a discounted cash flow model using estimated future cash flows. The results of our evaluation demonstrated that the fair value of each reporting unit exceeded its book value as of the date of the segment realignment.</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fair value recognition provisions of ASC Topic 718, Compensation-Stock Compensation, cost is measured at the grant date based on the fair value of the award and is amortized on a straight-line basis over the requisite service periods of the awards, which is generally the vesting period.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Determining the fair value of stock-based awards at the grant date requires significant judgment, including estimating the expected term over which the stock awards will be outstanding before they are exercised and the expected volatility of our stock.</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grant performance-based restricted stock units (“PRSUs”) to executive officers and other specified employees. Generally, we grant PRSUs that cliff vest based on an aggregated revenue target (“PUs”) for a three-year period, while grants based on market conditions (“MUs”) are contingent on meeting or exceeding the total shareholder return relative to a group of peer companies, and are measured over a three-year performance period.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each PU is determined based on the market price of one share of our common stock on the day prior to the date of grant. The grant date fair value for the MUs is determined using a Monte Carlo simulation model. The Monte Carlo simulation model simulates a range of possible future stock prices and estimates the probabilities of the potential payouts. The Monte Carlo simulation model also involves the use of additional key assumptions, including dividend yield and risk-free interest rate. We periodically assess the reasonableness of our assumptions and update our estimates as required. If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results differ significantly from our estimates, stock-based compensation expense and our results of operations could be materially affected.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associated with our 2022 Employee Stock Purchase Plan is measured at fair-value using a Black-Scholes option-pricing model at commencement of each offering period and recognized over that offering period.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account for income tax using the asset and liability method.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tax benefits from uncertain tax positions only if we believe that it is more likely than not that the tax position will be sustained on examination by the taxing authorities based on the technical merits of the position. We recognize interest and penalties related to uncertain tax positions as a component of the provision for income taxes. We have established adequate reserves to cover all uncertain tax positions.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Employee Benefits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 significantly from our estimates, current service costs for defined benefit plans and our results of operations could be materially impacted.</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Effective November 21, 2025, the Government of India has consolidated multiple existing labor legislations into a unified framework comprising four labor codes collectively referred to as the new “Labor Codes”. The Labor Codes, among other things introduce changes, including a uniform definition of wages. These legislative changes have resulted in an increase in the projected benefit obligation, which has been recognized as prior service cost in other comprehensive income. Additionally, the Government of India is in the process of issuing rules and regulations and clarifying certain aspects of the Labor Codes. The issuance of rules and regulations, as well as the outcome of these clarifications, could impact our compensation and benefit expenses in India.</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Loss contingencies are recorded as liabilities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Significant judgment is required in the determination of both probability and whether an exposure is reasonably estimable. Our judgments are subjective and based on the information available from the status of the legal or regulatory proceedings, the merits of our defenses and consultation with in-house and outside legal counsel. As additional information becomes available, we reassess any potential liability related to any pending litigation and may revise our estimates. Such revisions in estimates of any potential liabilities could have a material impact on our results of operations, financial position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6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discussion of our results of operations for fiscal 2023, including a year-to-year comparison between fiscal 2024 and 2023, refer to Part II, Item 7, “Management’s Discussion and Analysis of Financial Condition and Results of Operations” in our Annual Report on Form 10-K for fiscal 2024, filed with the SEC on February 25, 2025.</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w:t>
      </w:r>
    </w:p>
    <w:tbl>
      <w:tblPr>
        <w:tblW w:w="10205" w:type="dxa"/>
        <w:jc w:val="left"/>
        <w:tblInd w:w="0" w:type="dxa"/>
        <w:tblLayout w:type="fixed"/>
        <w:tblCellMar>
          <w:top w:w="28" w:type="dxa"/>
          <w:left w:w="28" w:type="dxa"/>
          <w:bottom w:w="28" w:type="dxa"/>
          <w:right w:w="28" w:type="dxa"/>
        </w:tblCellMar>
      </w:tblPr>
      <w:tblGrid>
        <w:gridCol w:w="839"/>
        <w:gridCol w:w="531"/>
        <w:gridCol w:w="534"/>
        <w:gridCol w:w="196"/>
        <w:gridCol w:w="691"/>
        <w:gridCol w:w="109"/>
        <w:gridCol w:w="109"/>
        <w:gridCol w:w="109"/>
        <w:gridCol w:w="109"/>
        <w:gridCol w:w="376"/>
        <w:gridCol w:w="245"/>
        <w:gridCol w:w="644"/>
        <w:gridCol w:w="109"/>
        <w:gridCol w:w="109"/>
        <w:gridCol w:w="109"/>
        <w:gridCol w:w="196"/>
        <w:gridCol w:w="691"/>
        <w:gridCol w:w="109"/>
        <w:gridCol w:w="109"/>
        <w:gridCol w:w="109"/>
        <w:gridCol w:w="109"/>
        <w:gridCol w:w="379"/>
        <w:gridCol w:w="237"/>
        <w:gridCol w:w="659"/>
        <w:gridCol w:w="109"/>
        <w:gridCol w:w="109"/>
        <w:gridCol w:w="109"/>
        <w:gridCol w:w="208"/>
        <w:gridCol w:w="591"/>
        <w:gridCol w:w="115"/>
        <w:gridCol w:w="109"/>
        <w:gridCol w:w="109"/>
        <w:gridCol w:w="109"/>
        <w:gridCol w:w="308"/>
        <w:gridCol w:w="258"/>
        <w:gridCol w:w="654"/>
      </w:tblGrid>
      <w:tr>
        <w:trPr/>
        <w:tc>
          <w:tcPr>
            <w:tcW w:w="83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revenues </w:t>
            </w:r>
            <w:r>
              <w:rPr>
                <w:rFonts w:ascii="Times New Roman;serif" w:hAnsi="Times New Roman;serif"/>
                <w:b w:val="false"/>
                <w:color w:val="000000"/>
                <w:sz w:val="12"/>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Gross profit </w:t>
            </w:r>
            <w:r>
              <w:rPr>
                <w:rFonts w:ascii="Times New Roman;serif" w:hAnsi="Times New Roman;serif"/>
                <w:b/>
                <w:color w:val="000000"/>
                <w:sz w:val="12"/>
              </w:rPr>
              <w:t>(1)</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w:t>
            </w:r>
            <w:r>
              <w:rPr>
                <w:color w:val="000000"/>
              </w:rPr>
              <w:t>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w:t>
            </w:r>
            <w:r>
              <w:rPr>
                <w:color w:val="000000"/>
              </w:rPr>
              <w:t>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w:t>
            </w:r>
            <w:r>
              <w:rPr>
                <w:color w:val="000000"/>
              </w:rPr>
              <w:t>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w:t>
            </w:r>
            <w:r>
              <w:rPr>
                <w:color w:val="000000"/>
              </w:rPr>
              <w:t>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w:t>
            </w:r>
            <w:r>
              <w:rPr>
                <w:color w:val="000000"/>
              </w:rPr>
              <w:t>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 expense and earnings from equity affiliates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w:t>
            </w:r>
            <w:r>
              <w:rPr>
                <w:color w:val="000000"/>
              </w:rPr>
              <w:t>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20.5</w:t>
            </w:r>
            <w:r>
              <w:rPr>
                <w:color w:val="000000"/>
              </w:rPr>
              <w:t>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earnings from equity affiliates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w:t>
            </w:r>
            <w:r>
              <w:rPr>
                <w:color w:val="000000"/>
              </w:rPr>
              <w:t>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w:t>
            </w:r>
            <w:r>
              <w:rPr>
                <w:color w:val="000000"/>
              </w:rPr>
              <w:t>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from equity-method investment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w:t>
            </w:r>
            <w:r>
              <w:rPr>
                <w:color w:val="000000"/>
              </w:rPr>
              <w:t> </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w:t>
            </w:r>
            <w:r>
              <w:rPr>
                <w:color w:val="000000"/>
              </w:rPr>
              <w:t> </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52.7</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w:t>
            </w:r>
            <w:r>
              <w:rPr>
                <w:color w:val="000000"/>
              </w:rPr>
              <w:t> </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80" w:after="180"/>
        <w:ind w:left="0" w:right="0" w:firstLine="495"/>
        <w:jc w:val="both"/>
        <w:rPr>
          <w:rFonts w:ascii="Times New Roman;serif" w:hAnsi="Times New Roman;serif"/>
          <w:b w:val="false"/>
          <w:i/>
          <w:color w:val="000000"/>
          <w:sz w:val="18"/>
        </w:rPr>
      </w:pPr>
      <w:r>
        <w:rPr>
          <w:rFonts w:ascii="Times New Roman;serif" w:hAnsi="Times New Roman;serif"/>
          <w:b w:val="false"/>
          <w:i/>
          <w:color w:val="000000"/>
          <w:sz w:val="18"/>
        </w:rPr>
        <w:t>(1) Exclusive of depreciation and amortization expense.</w:t>
      </w:r>
    </w:p>
    <w:p>
      <w:pPr>
        <w:pStyle w:val="TextBody"/>
        <w:bidi w:val="0"/>
        <w:spacing w:lineRule="auto" w:line="288" w:before="180" w:after="180"/>
        <w:jc w:val="left"/>
        <w:rPr>
          <w:rFonts w:ascii="Times New Roman;serif" w:hAnsi="Times New Roman;serif"/>
          <w:b w:val="false"/>
          <w:i/>
          <w:color w:val="000000"/>
          <w:sz w:val="18"/>
        </w:rPr>
      </w:pPr>
      <w:r>
        <w:rPr>
          <w:rFonts w:ascii="Times New Roman;serif" w:hAnsi="Times New Roman;serif"/>
          <w:b w:val="false"/>
          <w:i/>
          <w:color w:val="000000"/>
          <w:sz w:val="18"/>
        </w:rPr>
        <w:t>Due to rounding, the numbers presented in the tables included in this Part II, Item 7, “Management’s Discussion and Analysis of Financial Condition and Results of Operations” may not add up precisely to the totals provided.</w:t>
      </w:r>
    </w:p>
    <w:p>
      <w:pPr>
        <w:pStyle w:val="TextBody"/>
        <w:bidi w:val="0"/>
        <w:spacing w:before="180" w:after="18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Fiscal 2025 Compared to Fiscal 2024</w:t>
      </w:r>
    </w:p>
    <w:p>
      <w:pPr>
        <w:pStyle w:val="TextBody"/>
        <w:bidi w:val="0"/>
        <w:spacing w:lineRule="auto" w:line="288" w:before="180" w:after="180"/>
        <w:ind w:left="0" w:right="0" w:firstLine="450"/>
        <w:jc w:val="left"/>
        <w:rPr/>
      </w:pPr>
      <w:r>
        <w:rPr>
          <w:rFonts w:ascii="Times New Roman;serif" w:hAnsi="Times New Roman;serif"/>
          <w:b/>
          <w:i/>
          <w:color w:val="000000"/>
          <w:sz w:val="20"/>
        </w:rPr>
        <w:t xml:space="preserve">Revenues, net: </w:t>
      </w:r>
      <w:r>
        <w:rPr>
          <w:rFonts w:ascii="Times New Roman;serif" w:hAnsi="Times New Roman;serif"/>
          <w:b w:val="false"/>
          <w:color w:val="000000"/>
          <w:sz w:val="20"/>
        </w:rPr>
        <w:t>The following table summarizes our revenues by reportable segments:</w:t>
      </w:r>
    </w:p>
    <w:tbl>
      <w:tblPr>
        <w:tblW w:w="10205" w:type="dxa"/>
        <w:jc w:val="left"/>
        <w:tblInd w:w="0" w:type="dxa"/>
        <w:tblLayout w:type="fixed"/>
        <w:tblCellMar>
          <w:top w:w="28" w:type="dxa"/>
          <w:left w:w="28" w:type="dxa"/>
          <w:bottom w:w="28" w:type="dxa"/>
          <w:right w:w="28" w:type="dxa"/>
        </w:tblCellMar>
      </w:tblPr>
      <w:tblGrid>
        <w:gridCol w:w="869"/>
        <w:gridCol w:w="656"/>
        <w:gridCol w:w="662"/>
        <w:gridCol w:w="211"/>
        <w:gridCol w:w="766"/>
        <w:gridCol w:w="109"/>
        <w:gridCol w:w="109"/>
        <w:gridCol w:w="109"/>
        <w:gridCol w:w="109"/>
        <w:gridCol w:w="211"/>
        <w:gridCol w:w="766"/>
        <w:gridCol w:w="109"/>
        <w:gridCol w:w="109"/>
        <w:gridCol w:w="109"/>
        <w:gridCol w:w="109"/>
        <w:gridCol w:w="227"/>
        <w:gridCol w:w="664"/>
        <w:gridCol w:w="117"/>
        <w:gridCol w:w="109"/>
        <w:gridCol w:w="109"/>
        <w:gridCol w:w="109"/>
        <w:gridCol w:w="255"/>
        <w:gridCol w:w="256"/>
        <w:gridCol w:w="508"/>
        <w:gridCol w:w="109"/>
        <w:gridCol w:w="109"/>
        <w:gridCol w:w="109"/>
        <w:gridCol w:w="307"/>
        <w:gridCol w:w="309"/>
        <w:gridCol w:w="378"/>
        <w:gridCol w:w="151"/>
        <w:gridCol w:w="151"/>
        <w:gridCol w:w="151"/>
        <w:gridCol w:w="307"/>
        <w:gridCol w:w="309"/>
        <w:gridCol w:w="448"/>
      </w:tblGrid>
      <w:tr>
        <w:trPr/>
        <w:tc>
          <w:tcPr>
            <w:tcW w:w="86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Revenues for Fiscal</w:t>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Banking, Capital Markets and Diversified Industries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Growth Markets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for fiscal 2025 were up by $249.3 million, or 13.6%, compared to fiscal 2024, driven by the expansion of business from our existing clients across all reportable segments by 10.6% and revenue from new client wins, including revenue from our August 2024 acquisition of Incandescent Technologies, Inc. (“ITI Data”) by 3.0% during fiscal 2025.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Insurance by 8.3% was driven by the expansion of business from our existing clients by 7.5% and new clients by 0.8% during fiscal 2025, compared to fiscal 2024.</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Healthcare and Life Sciences by 23.7% was driven by the expansion of business from our existing clients by 22.4% and new clients, including revenue from ITI Data, by 1.3% during fiscal 2025, compared to fiscal 2024.</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Banking, Capital Markets and Diversified Industries by 13.0% was driven by the expansion of business from our existing clients by 5.6% and new clients, including revenue from ITI Data, by 7.4% during fiscal 2025, compared to fiscal 2024.</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in International Growth Markets by 11.6% was driven by the expansion of business from our existing clients by 8.0% and new clients, including revenue from ITI Data, by 3.9%, partially offset by a foreign exchange loss, net of hedging by 0.3% during fiscal 2025, compared to fiscal 2024.</w:t>
      </w:r>
    </w:p>
    <w:p>
      <w:pPr>
        <w:pStyle w:val="TextBody"/>
        <w:bidi w:val="0"/>
        <w:spacing w:lineRule="auto" w:line="288" w:before="0" w:after="0"/>
        <w:ind w:left="0" w:right="0" w:firstLine="495"/>
        <w:jc w:val="left"/>
        <w:rPr/>
      </w:pPr>
      <w:r>
        <w:rPr>
          <w:rFonts w:ascii="Times New Roman;serif" w:hAnsi="Times New Roman;serif"/>
          <w:b/>
          <w:i/>
          <w:color w:val="000000"/>
          <w:sz w:val="20"/>
        </w:rPr>
        <w:t xml:space="preserve">Cost of Revenues and Gross Margin: </w:t>
      </w:r>
      <w:r>
        <w:rPr>
          <w:rFonts w:ascii="Times New Roman;serif" w:hAnsi="Times New Roman;serif"/>
          <w:b w:val="false"/>
          <w:color w:val="000000"/>
          <w:sz w:val="20"/>
        </w:rPr>
        <w:t>The following table sets forth cost of revenues and gross margin of our reportable segments:</w:t>
      </w:r>
    </w:p>
    <w:tbl>
      <w:tblPr>
        <w:tblW w:w="10205" w:type="dxa"/>
        <w:jc w:val="left"/>
        <w:tblInd w:w="0" w:type="dxa"/>
        <w:tblLayout w:type="fixed"/>
        <w:tblCellMar>
          <w:top w:w="28" w:type="dxa"/>
          <w:left w:w="28" w:type="dxa"/>
          <w:bottom w:w="28" w:type="dxa"/>
          <w:right w:w="28" w:type="dxa"/>
        </w:tblCellMar>
      </w:tblPr>
      <w:tblGrid>
        <w:gridCol w:w="661"/>
        <w:gridCol w:w="442"/>
        <w:gridCol w:w="446"/>
        <w:gridCol w:w="211"/>
        <w:gridCol w:w="766"/>
        <w:gridCol w:w="109"/>
        <w:gridCol w:w="109"/>
        <w:gridCol w:w="109"/>
        <w:gridCol w:w="109"/>
        <w:gridCol w:w="211"/>
        <w:gridCol w:w="766"/>
        <w:gridCol w:w="109"/>
        <w:gridCol w:w="109"/>
        <w:gridCol w:w="109"/>
        <w:gridCol w:w="109"/>
        <w:gridCol w:w="217"/>
        <w:gridCol w:w="634"/>
        <w:gridCol w:w="112"/>
        <w:gridCol w:w="109"/>
        <w:gridCol w:w="109"/>
        <w:gridCol w:w="109"/>
        <w:gridCol w:w="255"/>
        <w:gridCol w:w="256"/>
        <w:gridCol w:w="508"/>
        <w:gridCol w:w="109"/>
        <w:gridCol w:w="109"/>
        <w:gridCol w:w="109"/>
        <w:gridCol w:w="255"/>
        <w:gridCol w:w="256"/>
        <w:gridCol w:w="271"/>
        <w:gridCol w:w="109"/>
        <w:gridCol w:w="109"/>
        <w:gridCol w:w="109"/>
        <w:gridCol w:w="255"/>
        <w:gridCol w:w="256"/>
        <w:gridCol w:w="271"/>
        <w:gridCol w:w="109"/>
        <w:gridCol w:w="109"/>
        <w:gridCol w:w="109"/>
        <w:gridCol w:w="203"/>
        <w:gridCol w:w="203"/>
        <w:gridCol w:w="570"/>
      </w:tblGrid>
      <w:tr>
        <w:trPr/>
        <w:tc>
          <w:tcPr>
            <w:tcW w:w="6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Banking, Capital Markets and Diversified Industries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Growth Markets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revenues for fiscal 2025 increased by $139.2 million, or 12.1%, compared to fiscal 2024. The increase in cost of revenues was primarily due to increases in employee-related costs of $152.9 million on account of higher headcount and wage inflation, higher facilities, technology and other operating costs of $18.9 million, partially offset by lower mail and data expenses in our direct marketing business of $16.7 million and a foreign exchange gain, net of hedging of $15.9 million. Our gross margin for fiscal 2025 was 38.4%, compared to 37.6% for fiscal 2024, an increase of 80 basis points (“bps”) primarily driven by higher revenues and operational efficiencies, partially offset by increases in employee-related costs during fiscal 2025, compared to fiscal 2024.</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revenues in Insurance by $28.9 million for fiscal 2025 was primarily due to increases in employee-related costs of $48.4 million on account of higher headcount and wage inflation, higher technology and facilities costs of $5.0 million, partially offset by lower mail and data expenses in our direct marketing business of $16.7 million, other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68" w:before="180" w:after="180"/>
        <w:jc w:val="both"/>
        <w:rPr>
          <w:rFonts w:ascii="Times New Roman;serif" w:hAnsi="Times New Roman;serif"/>
          <w:b w:val="false"/>
          <w:color w:val="000000"/>
          <w:sz w:val="20"/>
        </w:rPr>
      </w:pPr>
      <w:r>
        <w:rPr>
          <w:rFonts w:ascii="Times New Roman;serif" w:hAnsi="Times New Roman;serif"/>
          <w:b w:val="false"/>
          <w:color w:val="000000"/>
          <w:sz w:val="20"/>
        </w:rPr>
        <w:t>costs of $2.3 million and a foreign exchange gain, net of hedging of $5.5 million. Gross margin in Insurance increased by 80 bps, primarily due to higher revenues and operational efficiencies during fiscal 2025, compared to fiscal 2024.</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Healthcare and Life Sciences by $57.0 million for fiscal 2025 was primarily due to increases in employee-related costs of $53.4 million on account of higher headcount and wage inflation, including incremental costs related to the acquisition of ITI Data, higher facilities costs of $2.0 million, higher technology costs of $1.6 million and other operating costs of $3.7 million, partially offset by a foreign exchange gain, net of hedging of $3.7 million. Gross margin in Healthcare and Life Sciences remained flat during fiscal 2025, compared to fiscal 2024.</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Banking, Capital Markets and Diversified Industries by $30.2 million for fiscal 2025 was primarily due to increases in employee-related costs of $28.9 million on account of higher headcount and wage inflation, including incremental costs related to the acquisition of ITI Data, higher technology costs of $2.2 million, higher facilities and other operating costs of $2.8 million, partially offset by a foreign exchange gain, net of hedging of $3.7 million. Gross margin in Banking, Capital Markets and Diversified Industries increased by 100 bps, primarily due to higher revenues and operational efficiencies during fiscal 2025, compared to fiscal 2024.</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revenues in International Growth Markets by $23.1 million for fiscal 2025 was primarily due to increases in employee-related costs of $22.2 million on account of higher headcount and wage inflation, including incremental costs related to the acquisition of ITI Data, higher technology and other operating costs of $3.9 million, partially offset by a foreign exchange gain, net of hedging of $3.0 million. Gross margin in International Growth Markets increased by 40 bps, primarily due to higher revenues and operational efficiencies during fiscal 2025, compared to fiscal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i/>
          <w:color w:val="000000"/>
          <w:sz w:val="20"/>
        </w:rPr>
        <w:t xml:space="preserve">Selling, General and Administrative (“SG&amp;A”) Expenses. </w:t>
      </w:r>
      <w:r>
        <w:rPr>
          <w:rFonts w:ascii="Times New Roman;serif" w:hAnsi="Times New Roman;serif"/>
          <w:b w:val="false"/>
          <w:color w:val="000000"/>
          <w:sz w:val="20"/>
        </w:rPr>
        <w:t>SG&amp;A expenses as a percentage of net revenues increased by 0.2% to 20.5% during fiscal 2025, compared to fiscal 2024.</w:t>
      </w:r>
    </w:p>
    <w:p>
      <w:pPr>
        <w:pStyle w:val="TextBody"/>
        <w:bidi w:val="0"/>
        <w:spacing w:lineRule="auto" w:line="268" w:before="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SG&amp;A expenses by $56.0 million during fiscal 2025, compared to fiscal 2024 was primarily due to increases in employee-related costs of $52.9 million on account of higher headcount and wage inflation, including incremental costs related to the acquisition of ITI Data, increase in investments in digital and generative AI capabilities of $2.8 million, higher sales and marketing and other operating costs of $3.4 million. This increase in SG&amp;A was partially offset by one-time restructuring and litigation settlement costs of $3.1 million incurred during fiscal 2024, compared to fiscal 2025.</w:t>
      </w:r>
    </w:p>
    <w:p>
      <w:pPr>
        <w:pStyle w:val="TextBody"/>
        <w:bidi w:val="0"/>
        <w:spacing w:lineRule="auto" w:line="268" w:before="180" w:after="180"/>
        <w:ind w:left="0" w:right="0" w:firstLine="450"/>
        <w:jc w:val="both"/>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Depreciation and amortization expenses as a percentage of net revenues decreased by 0.2% during fiscal 2025, compared to 2024.</w:t>
      </w:r>
    </w:p>
    <w:p>
      <w:pPr>
        <w:pStyle w:val="TextBody"/>
        <w:bidi w:val="0"/>
        <w:spacing w:lineRule="auto" w:line="261"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depreciation and amortization expense by 7.0% during fiscal 2025, compared to fiscal 2024 was primarily due to investments in infrastructure, technology assets and digital capabilities, partially offset by intangibles amortization expense.</w:t>
      </w:r>
    </w:p>
    <w:p>
      <w:pPr>
        <w:pStyle w:val="TextBody"/>
        <w:bidi w:val="0"/>
        <w:spacing w:lineRule="auto" w:line="288" w:before="180" w:after="180"/>
        <w:ind w:left="0" w:right="0" w:firstLine="450"/>
        <w:jc w:val="both"/>
        <w:rPr/>
      </w:pPr>
      <w:r>
        <w:rPr>
          <w:rFonts w:ascii="Times New Roman;serif" w:hAnsi="Times New Roman;serif"/>
          <w:b/>
          <w:i/>
          <w:color w:val="000000"/>
          <w:sz w:val="20"/>
        </w:rPr>
        <w:t>Income from Operations.</w:t>
      </w:r>
      <w:r>
        <w:rPr>
          <w:color w:val="000000"/>
        </w:rPr>
        <w:t xml:space="preserve"> </w:t>
      </w:r>
      <w:r>
        <w:rPr>
          <w:rFonts w:ascii="Times New Roman;serif" w:hAnsi="Times New Roman;serif"/>
          <w:b w:val="false"/>
          <w:color w:val="000000"/>
          <w:sz w:val="20"/>
        </w:rPr>
        <w:t>The increase in income from operations by 19.0% during fiscal 2025, compared to fiscal 2024 was primarily due to higher revenues and gross margins, partially offset by higher SG&amp;A expenses.</w:t>
      </w:r>
    </w:p>
    <w:p>
      <w:pPr>
        <w:pStyle w:val="TextBody"/>
        <w:bidi w:val="0"/>
        <w:spacing w:lineRule="auto" w:line="288" w:before="180" w:after="180"/>
        <w:ind w:left="0" w:right="0" w:firstLine="450"/>
        <w:jc w:val="both"/>
        <w:rPr/>
      </w:pPr>
      <w:r>
        <w:rPr>
          <w:rFonts w:ascii="Times New Roman;serif" w:hAnsi="Times New Roman;serif"/>
          <w:b/>
          <w:i/>
          <w:color w:val="000000"/>
          <w:sz w:val="20"/>
        </w:rPr>
        <w:t>Foreign Exchange Gain, net.</w:t>
      </w:r>
      <w:r>
        <w:rPr>
          <w:color w:val="000000"/>
        </w:rPr>
        <w:t xml:space="preserve"> </w:t>
      </w:r>
      <w:r>
        <w:rPr>
          <w:rFonts w:ascii="Times New Roman;serif" w:hAnsi="Times New Roman;serif"/>
          <w:b w:val="false"/>
          <w:color w:val="000000"/>
          <w:sz w:val="20"/>
        </w:rPr>
        <w:t>We recorded a foreign exchange gain, net of $2.8 million for fiscal 2025, compared to a foreign exchange gain, net of $0.9 million for fiscal 2024. Foreign exchange gains and losses are primarily attributable to the movement of the U.S. dollar against the Indian rupee, the Philippine peso, the U.K. pound sterling and the South African rand during fiscal 2025, compared to fiscal 2024.</w:t>
      </w:r>
    </w:p>
    <w:p>
      <w:pPr>
        <w:pStyle w:val="TextBody"/>
        <w:bidi w:val="0"/>
        <w:spacing w:lineRule="auto" w:line="288" w:before="180" w:after="180"/>
        <w:ind w:left="0" w:right="0" w:firstLine="450"/>
        <w:jc w:val="both"/>
        <w:rPr/>
      </w:pPr>
      <w:r>
        <w:rPr>
          <w:rFonts w:ascii="Times New Roman;serif" w:hAnsi="Times New Roman;serif"/>
          <w:b/>
          <w:i/>
          <w:color w:val="000000"/>
          <w:sz w:val="20"/>
        </w:rPr>
        <w:t>Interest expense</w:t>
      </w:r>
      <w:r>
        <w:rPr>
          <w:rFonts w:ascii="Times New Roman;serif" w:hAnsi="Times New Roman;serif"/>
          <w:b w:val="false"/>
          <w:color w:val="000000"/>
          <w:sz w:val="20"/>
        </w:rPr>
        <w:t>. The decrease in interest expense by $1.7 million during fiscal 2025, compared to fiscal 2024 was primarily due to a lower average effective interest rate during fiscal 2025, compared to fiscal 2024.</w:t>
      </w:r>
    </w:p>
    <w:p>
      <w:pPr>
        <w:pStyle w:val="TextBody"/>
        <w:bidi w:val="0"/>
        <w:spacing w:lineRule="auto" w:line="268"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9738" w:type="dxa"/>
        <w:jc w:val="left"/>
        <w:tblInd w:w="0" w:type="dxa"/>
        <w:tblLayout w:type="fixed"/>
        <w:tblCellMar>
          <w:top w:w="28" w:type="dxa"/>
          <w:left w:w="28" w:type="dxa"/>
          <w:bottom w:w="28" w:type="dxa"/>
          <w:right w:w="28" w:type="dxa"/>
        </w:tblCellMar>
      </w:tblPr>
      <w:tblGrid>
        <w:gridCol w:w="1756"/>
        <w:gridCol w:w="1543"/>
        <w:gridCol w:w="1546"/>
        <w:gridCol w:w="211"/>
        <w:gridCol w:w="511"/>
        <w:gridCol w:w="109"/>
        <w:gridCol w:w="109"/>
        <w:gridCol w:w="109"/>
        <w:gridCol w:w="109"/>
        <w:gridCol w:w="211"/>
        <w:gridCol w:w="511"/>
        <w:gridCol w:w="109"/>
        <w:gridCol w:w="109"/>
        <w:gridCol w:w="109"/>
        <w:gridCol w:w="109"/>
        <w:gridCol w:w="308"/>
        <w:gridCol w:w="703"/>
        <w:gridCol w:w="159"/>
        <w:gridCol w:w="109"/>
        <w:gridCol w:w="109"/>
        <w:gridCol w:w="109"/>
        <w:gridCol w:w="255"/>
        <w:gridCol w:w="256"/>
        <w:gridCol w:w="569"/>
      </w:tblGrid>
      <w:tr>
        <w:trPr/>
        <w:tc>
          <w:tcPr>
            <w:tcW w:w="175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and fair value mark-to-market on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of contingent consideration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8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76" w:before="180" w:after="18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(1) Not Meaningful</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marginally by $0.1 million during fiscal 2025, compared to fiscal 2024 due to changes in the fair value of contingent consideration related to our August 2024 acquisition of ITI Data of $2.3 million and reversal of contingent consideration liability of $0.6 million related to our June 2022 acquisition of Inbound Media Group, LLC during fiscal 2024, partially offset by higher yield on our investments and other income of $1.9 million, and reversal of certain contingent liabilities of $0.9 million that were no longer required in fiscal 2025.</w:t>
      </w:r>
    </w:p>
    <w:p>
      <w:pPr>
        <w:pStyle w:val="TextBody"/>
        <w:bidi w:val="0"/>
        <w:spacing w:lineRule="auto" w:line="288" w:before="180" w:after="180"/>
        <w:ind w:left="0" w:right="0" w:firstLine="450"/>
        <w:jc w:val="both"/>
        <w:rPr/>
      </w:pPr>
      <w:r>
        <w:rPr>
          <w:rFonts w:ascii="Times New Roman;serif" w:hAnsi="Times New Roman;serif"/>
          <w:b/>
          <w:i/>
          <w:color w:val="000000"/>
          <w:sz w:val="20"/>
        </w:rPr>
        <w:t>Income Tax Expense</w:t>
      </w:r>
      <w:r>
        <w:rPr>
          <w:rFonts w:ascii="Times New Roman;serif" w:hAnsi="Times New Roman;serif"/>
          <w:b w:val="false"/>
          <w:color w:val="000000"/>
          <w:sz w:val="20"/>
        </w:rPr>
        <w:t>. The effective tax rate decreased from 24.1% for fiscal 2024 to 20.3% for fiscal 2025. We recorded income tax expense of $63.7 million and $62.9 million for fiscal 2025 and fiscal 2024, respectively. The increase in income tax expense was primarily as a result of higher profit and an increase in non-deductible expenses, partially offset by higher excess tax benefits and foreign derived intangible income deduction during fiscal 2025, compared to fiscal 2024.</w:t>
      </w:r>
    </w:p>
    <w:p>
      <w:pPr>
        <w:pStyle w:val="TextBody"/>
        <w:bidi w:val="0"/>
        <w:spacing w:lineRule="auto" w:line="288" w:before="180" w:after="180"/>
        <w:ind w:left="0" w:right="0" w:firstLine="450"/>
        <w:jc w:val="both"/>
        <w:rPr/>
      </w:pPr>
      <w:r>
        <w:rPr>
          <w:rFonts w:ascii="Times New Roman;serif" w:hAnsi="Times New Roman;serif"/>
          <w:b/>
          <w:i/>
          <w:color w:val="000000"/>
          <w:sz w:val="20"/>
        </w:rPr>
        <w:t>Net Income</w:t>
      </w:r>
      <w:r>
        <w:rPr>
          <w:rFonts w:ascii="Times New Roman;serif" w:hAnsi="Times New Roman;serif"/>
          <w:b w:val="false"/>
          <w:color w:val="000000"/>
          <w:sz w:val="20"/>
        </w:rPr>
        <w:t>. The increase in net income by 26.6% during fiscal 2025, compared to fiscal 2024 was attributable to the aforementioned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ind w:left="0" w:right="0" w:firstLine="495"/>
        <w:jc w:val="both"/>
        <w:rPr>
          <w:rFonts w:ascii="Times New Roman;serif" w:hAnsi="Times New Roman;serif"/>
          <w:b/>
          <w:i/>
          <w:color w:val="000000"/>
          <w:sz w:val="20"/>
        </w:rPr>
      </w:pPr>
      <w:r>
        <w:rPr>
          <w:rFonts w:ascii="Times New Roman;serif" w:hAnsi="Times New Roman;serif"/>
          <w:b/>
          <w:i/>
          <w:color w:val="000000"/>
          <w:sz w:val="20"/>
        </w:rPr>
        <w:t>Liquidity and Capital Resources</w:t>
      </w:r>
    </w:p>
    <w:tbl>
      <w:tblPr>
        <w:tblW w:w="9851" w:type="dxa"/>
        <w:jc w:val="left"/>
        <w:tblInd w:w="0" w:type="dxa"/>
        <w:tblLayout w:type="fixed"/>
        <w:tblCellMar>
          <w:top w:w="28" w:type="dxa"/>
          <w:left w:w="28" w:type="dxa"/>
          <w:bottom w:w="28" w:type="dxa"/>
          <w:right w:w="28" w:type="dxa"/>
        </w:tblCellMar>
      </w:tblPr>
      <w:tblGrid>
        <w:gridCol w:w="1526"/>
        <w:gridCol w:w="1340"/>
        <w:gridCol w:w="1348"/>
        <w:gridCol w:w="211"/>
        <w:gridCol w:w="616"/>
        <w:gridCol w:w="109"/>
        <w:gridCol w:w="109"/>
        <w:gridCol w:w="109"/>
        <w:gridCol w:w="109"/>
        <w:gridCol w:w="211"/>
        <w:gridCol w:w="616"/>
        <w:gridCol w:w="109"/>
        <w:gridCol w:w="109"/>
        <w:gridCol w:w="109"/>
        <w:gridCol w:w="109"/>
        <w:gridCol w:w="297"/>
        <w:gridCol w:w="720"/>
        <w:gridCol w:w="153"/>
        <w:gridCol w:w="109"/>
        <w:gridCol w:w="109"/>
        <w:gridCol w:w="109"/>
        <w:gridCol w:w="345"/>
        <w:gridCol w:w="345"/>
        <w:gridCol w:w="924"/>
      </w:tblGrid>
      <w:tr>
        <w:trPr/>
        <w:tc>
          <w:tcPr>
            <w:tcW w:w="152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had $328.4 million and $340.6 million, respectively, in cash, cash equivalents and short-term investments, of which $285.8 million and $296.0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As and when we decide to distribute, we may have to accrue additional taxes in accordance with local tax laws, rules and regulations in the relevant foreign jurisdictions. During 2025, some of our foreign subsidiaries repatriated $90.8 million (net of $5.6 million withholding taxes) to the United States. </w:t>
      </w:r>
    </w:p>
    <w:p>
      <w:pPr>
        <w:pStyle w:val="TextBody"/>
        <w:bidi w:val="0"/>
        <w:spacing w:lineRule="auto" w:line="288" w:before="18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$350.7 million for fiscal 2025, compared to $268.5 million for fiscal 2024, reflecting higher cash earnings and lower working capital needs. The major drivers contributing to the increase of $82.2 million year-over-year included the following:</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 in cash earnings, including adjustments for non-cash and other items contributed higher cash flow of $66.8 million for fiscal 2025, compared to fiscal 2024. These adjustments include fair value changes in investments, unrealized foreign currency exchange (gain)/loss, net, stock-based employee compensation, depreciation and amortization of long-lived assets and intangibles acquired in business combinations, among others.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Changes in accounts receivable, including advance billings, contributed lower cash flow of $51.8 million in fiscal 2025, compared to the fiscal 2024. Our days sales outstanding were 60 days as of December 31, 2025, compared to 62 days as of December 31, 2024.</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Payment of contingent consideration related to our December 2021 acquisition of Clairvoyant AI, Inc. (“Clairvoyant”) contributed to a higher cash payout of $11.0 million during fiscal 2024, whereas no such payment occurred during fiscal 2025.</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Changes in other assets, accounts payables including other liabilities contributed to lower cash payout of $56.2 million for fiscal 2025, compared to fiscal 2024.</w:t>
      </w:r>
    </w:p>
    <w:p>
      <w:pPr>
        <w:pStyle w:val="TextBody"/>
        <w:bidi w:val="0"/>
        <w:spacing w:lineRule="auto" w:line="268" w:before="0" w:after="0"/>
        <w:ind w:left="0" w:right="0" w:firstLine="450"/>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Net cash used for investing activities were $49.2 million for fiscal 2025, compared to $119.1 million for fiscal 2024. The decrease of $69.9 million was primarily due to higher proceeds from redemption of investments of $52.3 million during fiscal 2025, as compared to fiscal 2024 and net cash used for business acquisition of $24.3 million during fiscal 2024 whereas no such payment occurred during fiscal 2025. This was partially offset by higher cash paid for capital expenditures, including investments in infrastructure, technology assets and digital capabilities of $6.2 million during fiscal 2025, compared to fiscal 2024.</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Net cash used for financing activities were $312.8 million for fiscal 2025, compared to $119.1 million for fiscal 2024. The increase of $193.7 million was primarily due to higher purchases of treasury stock of $120.6 million under our share repurchase programs and privately repurchased shares during fiscal 2025, compared to fiscal 2024 and lower net proceeds from borrowings of $78.1 million during fiscal 2025, compared to fiscal 2024. This was partially offset by payment of contingent consideration related to our December 2021 acquisition of Clairvoyant of $4.0 million during fiscal 2024 whereas no such payment occurred during fiscal 2025.</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use cash from operating activities to maintain and expand our business by making investments, primarily related to building new digital capabilities, including AI, and purchase telecommunications equipment and computer hardware and software in connection with managing client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incurred $52.6 million of capital expenditure during fiscal 2025. We expect to incur total capital expenditures of between $50 million to $55 million in fiscal 2026, primarily to meet our growth requirements, including additions to our facilities and infrastructure, as well as investments in technology applications, product development and other, digital technologies.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consolidated financial statements under Part II, Item 8, “Financial Statements and Supplementary Data” for further information.</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like acquisition of complementary businesses, capital expenditures and continued stock repurchases, including accelerated stock repurchases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we may need to obtain additional financing.</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20 - Employee Benefit Plans, Note 21 - Leases, Note 22 - Income Taxes and Note 25 - Commitments and Contingencies to our consolidated financial statements under Part II, Item 8, “Financial Statements and Supplementary Data” for further information on material cash requirements from known contractual and other obligations.</w:t>
      </w:r>
    </w:p>
    <w:p>
      <w:pPr>
        <w:pStyle w:val="TextBody"/>
        <w:bidi w:val="0"/>
        <w:spacing w:before="0" w:after="0"/>
        <w:ind w:left="0" w:right="0" w:firstLine="54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provide standby letters of credit to third parties primarily for facility leases. As of December 31, 2025 and 2024, we had outstanding letters of credit of $1.6 million and $0.8 million, respectively,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Financing Arrangements</w:t>
      </w:r>
    </w:p>
    <w:p>
      <w:pPr>
        <w:pStyle w:val="TextBody"/>
        <w:bidi w:val="0"/>
        <w:spacing w:lineRule="auto" w:line="417"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debt position:</w:t>
      </w:r>
    </w:p>
    <w:tbl>
      <w:tblPr>
        <w:tblW w:w="10205" w:type="dxa"/>
        <w:jc w:val="left"/>
        <w:tblInd w:w="0" w:type="dxa"/>
        <w:tblLayout w:type="fixed"/>
        <w:tblCellMar>
          <w:top w:w="28" w:type="dxa"/>
          <w:left w:w="28" w:type="dxa"/>
          <w:bottom w:w="28" w:type="dxa"/>
          <w:right w:w="28" w:type="dxa"/>
        </w:tblCellMar>
      </w:tblPr>
      <w:tblGrid>
        <w:gridCol w:w="741"/>
        <w:gridCol w:w="601"/>
        <w:gridCol w:w="605"/>
        <w:gridCol w:w="283"/>
        <w:gridCol w:w="849"/>
        <w:gridCol w:w="146"/>
        <w:gridCol w:w="109"/>
        <w:gridCol w:w="109"/>
        <w:gridCol w:w="109"/>
        <w:gridCol w:w="263"/>
        <w:gridCol w:w="657"/>
        <w:gridCol w:w="135"/>
        <w:gridCol w:w="109"/>
        <w:gridCol w:w="109"/>
        <w:gridCol w:w="109"/>
        <w:gridCol w:w="211"/>
        <w:gridCol w:w="631"/>
        <w:gridCol w:w="109"/>
        <w:gridCol w:w="109"/>
        <w:gridCol w:w="109"/>
        <w:gridCol w:w="109"/>
        <w:gridCol w:w="283"/>
        <w:gridCol w:w="849"/>
        <w:gridCol w:w="146"/>
        <w:gridCol w:w="109"/>
        <w:gridCol w:w="109"/>
        <w:gridCol w:w="109"/>
        <w:gridCol w:w="263"/>
        <w:gridCol w:w="657"/>
        <w:gridCol w:w="135"/>
        <w:gridCol w:w="109"/>
        <w:gridCol w:w="109"/>
        <w:gridCol w:w="109"/>
        <w:gridCol w:w="211"/>
        <w:gridCol w:w="631"/>
        <w:gridCol w:w="164"/>
      </w:tblGrid>
      <w:tr>
        <w:trPr/>
        <w:tc>
          <w:tcPr>
            <w:tcW w:w="7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current portion of long-term borrowings</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Total long-term borrowings</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205.0</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190.0</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93.6</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283.6</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borrowings</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205.0</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93.7</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190.0</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288.5</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held a $300.0 million revolving credit facility pursuant to our credit agreement (the “Credit Agreement”), dated as of November 21, 2017, with certain lenders and Citibank N.A. as Administrative Agent. The Credit agreement was amended and restated in April 2022 followed by the First Amendment to Amended and Restated Credit Agreement in August 2024 (the “2024 Credit Agreement”). Among other things, the 2024 Credit Agreement increased revolving credit commitments to $500.0 million and provided a new term loan facility of $100.0 million with an annual repayment amount of 5%. The increased revolving credit facility and the new term loan facility both mature on April 18,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2024 Credit Agreement, obligations are guaranteed by our wholly-owned material domestic subsidiaries and secured by substantially all of our and our material domestic subsidiaries’ assets. The agreement includes a letter of credit sub-facility, permits voluntary prepayments without premium or penalty, and allows borrowings to be used for working capital, general corporate purposes, and permitted acquisitions.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2024 Credit Agreement contains customary affirmative and negative covenants, including, but not limited to, restrictions on the ability to incur indebtedness, create liens, make certain investments, make certain dividends and distributions, enter into, or undertake, certain liquidations, mergers, consolidations or acquisitions and dispose of certain assets or subsidiaries. In addition, the 2024 Credit Agreement contains a covenant to not permit the interest coverage ratio or the total net leverage ratio for the four consecutive quarter period ending on the last day of each fiscal quarter, to be less than 3.0 to 1.0 or more than 3.5 to 1.0, respectively. We were in compliance with the financial covenants under the 2024 Credit Agreement.</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2024 Credit Agreement, obligations bear interest at a rate equal to either the specified prime rate (alternate base rate) or the adjusted secured overnight financing rate (SOFR), in each case plus an applicable margin tied to our total net leverage ratio. The applicable margin on the revolving credit facility ranges from 0% to 0.75% per annum on loans pegged to the specified prime rate and 0.88% to 1.75% per annum on loans pegged to the adjusted SOFR, while the margin on the term loan facility ranges from 0.13% to 1.00% per annum on loans pegged to the specified prime rate, and 1.13% to 2.00% per annum on loans pegged to the adjusted SOFR. The revolving credit commitments under the 2024 Credit Agreement are subject to a commitment fee which is also tied to our total net leverage ratio, and ranges from 0.13% to 0.28% per annum on the average daily amount by which the aggregate revolving commitments exceed the sum of outstanding revolving loans and letter of credit obligations.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 interest rates of the revolving credit facility and the term loan facility are as follows:</w:t>
      </w:r>
    </w:p>
    <w:tbl>
      <w:tblPr>
        <w:tblW w:w="4370" w:type="dxa"/>
        <w:jc w:val="left"/>
        <w:tblInd w:w="0" w:type="dxa"/>
        <w:tblLayout w:type="fixed"/>
        <w:tblCellMar>
          <w:top w:w="28" w:type="dxa"/>
          <w:left w:w="28" w:type="dxa"/>
          <w:bottom w:w="28" w:type="dxa"/>
          <w:right w:w="28" w:type="dxa"/>
        </w:tblCellMar>
      </w:tblPr>
      <w:tblGrid>
        <w:gridCol w:w="771"/>
        <w:gridCol w:w="677"/>
        <w:gridCol w:w="681"/>
        <w:gridCol w:w="203"/>
        <w:gridCol w:w="203"/>
        <w:gridCol w:w="424"/>
        <w:gridCol w:w="170"/>
        <w:gridCol w:w="170"/>
        <w:gridCol w:w="170"/>
        <w:gridCol w:w="203"/>
        <w:gridCol w:w="203"/>
        <w:gridCol w:w="495"/>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80" w:after="180"/>
        <w:ind w:left="0" w:right="0" w:firstLine="450"/>
        <w:jc w:val="both"/>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description of recent accounting pronouncements, see Note 2 - Summary of Significant Accounting Policies - Recent Accounting Pronouncements to our consolidated financial statements under Part II, 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arises from our expenses and revenue generating activities in foreign currencies, and changes in interest rates.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objective of market risk management is to avoid excessive exposure to our earnings and equity of such market driven losses. We manage market risk through our treasury operations using financial instruments. Our senior management and our board of directors approve our treasury operations’ objectives and policies. The responsibilities of our treasury operations include management of cash resources, including borrowing strategies, implementing hedging strategies for foreign currency exposures, and ensuring compliance with market risk limits and policies.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Components of Market Risk</w:t>
      </w:r>
    </w:p>
    <w:p>
      <w:pPr>
        <w:pStyle w:val="TextBody"/>
        <w:bidi w:val="0"/>
        <w:spacing w:lineRule="auto" w:line="288" w:before="180" w:after="180"/>
        <w:ind w:left="0" w:right="0" w:firstLine="495"/>
        <w:jc w:val="both"/>
        <w:rPr/>
      </w:pPr>
      <w:r>
        <w:rPr>
          <w:rFonts w:ascii="Times New Roman;serif" w:hAnsi="Times New Roman;serif"/>
          <w:b/>
          <w:i/>
          <w:color w:val="000000"/>
          <w:sz w:val="20"/>
        </w:rPr>
        <w:t>Foreign Currency Risk.</w:t>
      </w:r>
      <w:r>
        <w:rPr>
          <w:color w:val="000000"/>
        </w:rPr>
        <w:t xml:space="preserve"> </w:t>
      </w:r>
      <w:r>
        <w:rPr>
          <w:rFonts w:ascii="Times New Roman;serif" w:hAnsi="Times New Roman;serif"/>
          <w:b w:val="false"/>
          <w:color w:val="000000"/>
          <w:sz w:val="20"/>
        </w:rPr>
        <w:t>We are exposed to foreign currency exchange rate risk. Our revenues are primarily denominated in the U.S. dollar representing 84.7% of our total revenues and the U.K. pound sterling representing 10.6% of our total revenues for fiscal 2025. A significant portion of our expenses are incurred in the Indian rupee, the Philippine peso, the South African rand and the U.K. pound sterling, representing 31.1%, 8.4%, 3.3% and 3.1%, respectively, of our total expenses for fiscal 2025. We also incur expenses in the U.S. dollar and currencies of other countries where we have operations. The exchange rates among the Indian rupee, the Philippine peso, the South African rand, the U.K. pound sterling and the U.S. dollar have fluctuated within the fiscal 2025, over the recent years and may fluctuate in the future.</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Based upon our level of operations for fiscal 2025 and excluding any hedging arrangements that we had in place during that period, a 10% appreciation/depreciation in the Indian rupee, the Philippine peso, the South African rand and the U.K. pound sterling against the U.S. dollar would have increased/decreased our revenues by approximately $8.0 million, $0.2 million, $1.8 million and $14.4 million, respectively and increased/decreased our expenses incurred by approximately $55.2 million, $14.8 million, $5.9 million and $5.4 million, respectively for fiscal 2025.</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order to mitigate our exposure to foreign currency fluctuation risks and minimize the earnings and cash flow volatility associated with forecasted transactions denominated in certain foreign currencies, we enter into foreign currency forward contracts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 principal foreign currencies that are hedged are the Indian rupee, the Philippine peso and the South African rand.</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impact related to these foreign currency forward contracts on earnings and/or cash flows is immaterial as the impact of the maturing cash flow hedges in respective periods are intended to primarily offset the foreign currency impact on the related revenue and expenses. Further, some of our client contracts include protection against foreign currency exchange rate fluctuations which minimizes the impact of volatility in the exchange rates on our operating results.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we had outstanding cash flow hedges with notional amounts of $1,134.8 million and $984.3 million, respectively, with the maximum outstanding term of approximately 42 months and 45 months, respectively. The mark-to-market loss, net upon fair valuation of outstanding cash flow hedges as of December 31, 2025 and 2024 was $19.3 million and $9.2 million, respectively, and is included in “Accumulated other comprehensive income/(loss)” on our consolidated balance sheets. For fiscal 2025 and 2024, we recognized $5.0 million and $0.6 million, respectively, as foreign exchange loss from maturing cash flow hedges, which was largely offset by the foreign exchange translation gain on the related expenses.</w:t>
      </w:r>
    </w:p>
    <w:p>
      <w:pPr>
        <w:pStyle w:val="TextBody"/>
        <w:bidi w:val="0"/>
        <w:spacing w:lineRule="auto" w:line="288" w:before="180" w:after="180"/>
        <w:ind w:left="0" w:right="0" w:firstLine="495"/>
        <w:jc w:val="both"/>
        <w:rPr/>
      </w:pPr>
      <w:r>
        <w:rPr>
          <w:rFonts w:ascii="Times New Roman;serif" w:hAnsi="Times New Roman;serif"/>
          <w:b w:val="false"/>
          <w:color w:val="000000"/>
          <w:sz w:val="20"/>
        </w:rPr>
        <w:t>We also enter into foreign currency forward contracts from time to time to hedge our intercompany balances and other monetary assets and liabilities denominated in currencies other than functional currencies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 xml:space="preserve">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Changes in the fair value of these financial instruments are recognized in our consolidated statements of income and are included in “Foreign exchange gain, net.” These financial instruments mitigate balance sheet risk due to foreign currency exchange rate movements as gains and losses on the settlement of these financial instruments are intended to offset the revaluation gains and losses on the foreign currency denominated monetary assets and monetary liabilities being hedged. Foreign currency forward contracts with notional amounts of the U.S. dollar (USD) 215.2 million, the U.K. pound sterling (GBP) 36.0 million, the Euro (EUR) 7.7 million, and the Australian dollar (AUD) 4.9 million were outstanding as of December 31, 2025 compared to USD 168.9 million, GBP 21.0 million, EUR 9.0 million and AUD 4.8 million outstanding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pPr>
      <w:r>
        <w:rPr>
          <w:rFonts w:ascii="Times New Roman;serif" w:hAnsi="Times New Roman;serif"/>
          <w:b w:val="false"/>
          <w:color w:val="000000"/>
          <w:sz w:val="20"/>
        </w:rPr>
        <w:t>of December 31, 2024.</w:t>
      </w:r>
      <w:r>
        <w:rPr>
          <w:color w:val="000000"/>
        </w:rPr>
        <w:t xml:space="preserve"> </w:t>
      </w:r>
      <w:r>
        <w:rPr>
          <w:rFonts w:ascii="Times New Roman;serif" w:hAnsi="Times New Roman;serif"/>
          <w:b w:val="false"/>
          <w:color w:val="000000"/>
          <w:sz w:val="20"/>
        </w:rPr>
        <w:t>The changes in the fair values of these financial instruments as of December 31, 2025 and 2024 were included in the “Foreign exchange gain, net” in our consolidated statements of income. See Note 17- Derivatives and Hedge Accounting to our consolidated financial statements under Part II, Item 8, “Financial Statements and Supplementary Data” for further information. As of December 31, 2025 and 2024, the outstanding derivative instruments had maturities of a maximum of 30 days and 31 days, respectively.</w:t>
      </w:r>
    </w:p>
    <w:p>
      <w:pPr>
        <w:pStyle w:val="TextBody"/>
        <w:bidi w:val="0"/>
        <w:spacing w:lineRule="auto" w:line="268" w:before="180" w:after="180"/>
        <w:ind w:left="0" w:right="0" w:firstLine="495"/>
        <w:jc w:val="both"/>
        <w:rPr/>
      </w:pPr>
      <w:r>
        <w:rPr>
          <w:rFonts w:ascii="Times New Roman;serif" w:hAnsi="Times New Roman;serif"/>
          <w:b/>
          <w:i/>
          <w:color w:val="000000"/>
          <w:sz w:val="20"/>
        </w:rPr>
        <w:t>Interest Rate Risk.</w:t>
      </w:r>
      <w:r>
        <w:rPr>
          <w:color w:val="000000"/>
        </w:rPr>
        <w:t xml:space="preserve"> </w:t>
      </w:r>
      <w:r>
        <w:rPr>
          <w:rFonts w:ascii="Times New Roman;serif" w:hAnsi="Times New Roman;serif"/>
          <w:b w:val="false"/>
          <w:color w:val="000000"/>
          <w:sz w:val="20"/>
        </w:rPr>
        <w:t>We are also exposed to interest rate risk arising from our indebtedness. In order to mitigate our exposure to fluctuations in interest rates and minimize the earnings and cash flow volatility associated with floating rate indebtedness, we may enter into interest rate swaps to hedge cash flow risks on our revolving credit facility having floating interest rate obligations. The swap transaction involves the exchange of fixed for floating interest payments. However, in circumstances where we believe additional fixed-rate debt would be beneficial, we may choose to terminate a previously executed swap, or swap certain floating interest payments to fixed.</w:t>
      </w:r>
    </w:p>
    <w:p>
      <w:pPr>
        <w:pStyle w:val="TextBody"/>
        <w:bidi w:val="0"/>
        <w:spacing w:lineRule="auto" w:line="256"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described in Part II, Item 7, “Management’s Discussion and Analysis of Financial Condition and Results of Operations,” the 2024 Credit Agreement, provides for revolving credit commitments of $500.0 million and a term loan facility of $100.0 million, with an annual repayment of 5%. The revolving credit facility and the term loan facility both mature on April 18, 2027.</w:t>
      </w:r>
    </w:p>
    <w:p>
      <w:pPr>
        <w:pStyle w:val="TextBody"/>
        <w:bidi w:val="0"/>
        <w:spacing w:lineRule="auto" w:line="256"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2024 Credit Agreement bears interest at a rate equal to specified prime rate (alternate base rate) or adjusted SOFR, plus, in each case, an applicable margin. The applicable margin on the revolving credit facility is tied to our total net leverage ratio and ranges from 0% to 0.75% per annum on loans pegged to the specified prime rate, and 0.88% to 1.75% per annum on loans pegged to the adjusted SOFR. The applicable margin on the term loan facility is also tied to our total net leverage ratio and ranges from 0.13% to 1.00% per annum on loans pegged to the specified prime rate, and 1.13% to 2.00% per annum on loans pegged to the adjusted SOFR. The revolving credit commitments under the 2024 Credit Agreement are subject to a commitment fee which is also tied to our total net leverage ratio, and ranges from 0.13% to 0.28% per annum on the average daily amount by which the aggregate revolving commitments exceed the sum of outstanding revolving loans and letter of credit obligations. A 100 basis point increase or decrease in interest rates would have impacted our interest expense for fiscal 2025 by approximately $3.1 million.</w:t>
      </w:r>
    </w:p>
    <w:p>
      <w:pPr>
        <w:pStyle w:val="TextBody"/>
        <w:bidi w:val="0"/>
        <w:spacing w:lineRule="auto" w:line="256"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had cash, cash equivalents and short-term investments totaling $328.4 million and $340.6 million as of December 31, 2025 and 2024, respectively. These amounts were invested principally in a short-term investment portfolio primarily comprised of highly-rated debt mutual funds, money market funds and time deposits. We do not make such investments for trading or speculative purposes. The cash and cash equivalents are held for potential acquisitions of complementary businesses or assets, capital expenditures, working capital requirements and general corporate purposes. We believe that we have no material exposure to changes in the fair value of our investment portfolio as a result of changes in interest rates. The interest income from these funds is subject to fluctuations due to changes in interest rates. Decline in interest rates would reduce our future investment income. A 100 basis point increase or decrease in short term rates would have impacted our interest and dividend income for fiscal 2025 by approximately $1.7 million.</w:t>
      </w:r>
    </w:p>
    <w:p>
      <w:pPr>
        <w:pStyle w:val="TextBody"/>
        <w:bidi w:val="0"/>
        <w:spacing w:lineRule="auto" w:line="288" w:before="180" w:after="180"/>
        <w:ind w:left="0" w:right="0" w:firstLine="495"/>
        <w:jc w:val="both"/>
        <w:rPr/>
      </w:pPr>
      <w:r>
        <w:rPr>
          <w:rFonts w:ascii="Times New Roman;serif" w:hAnsi="Times New Roman;serif"/>
          <w:b/>
          <w:i/>
          <w:color w:val="000000"/>
          <w:sz w:val="20"/>
        </w:rPr>
        <w:t>Credit Risk.</w:t>
      </w:r>
      <w:r>
        <w:rPr>
          <w:color w:val="000000"/>
        </w:rPr>
        <w:t xml:space="preserve"> </w:t>
      </w:r>
      <w:r>
        <w:rPr>
          <w:rFonts w:ascii="Times New Roman;serif" w:hAnsi="Times New Roman;serif"/>
          <w:b w:val="false"/>
          <w:color w:val="000000"/>
          <w:sz w:val="20"/>
        </w:rPr>
        <w:t>As of December 31, 2025 and 2024, we have accounts receivable, net $343.1 million and $304.3 million, respectively. We believe that our credit policies reflect normal industry terms and business risk. We do not anticipate non-performance by the counterparties and, accordingly, do not require collateral. Credit losses and write-offs of accounts receivable balances historically have not been material. No single client owed more than 10% of our accounts receivable, net as on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financial statements required to be filed pursuant to this Item 8 are appended to this Annual Report on Form 10-K. A list of the financial statements filed herewith can be found at Part IV, Item 15, “Exhibits and Financial Statement Schedules.”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 with Accountants on Accounting and Financial Disclosure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to allow timely decisions regarding required disclosure. In connection with the preparation of this Annual Report on Form 10-K, our management carried out an evaluation, under the supervision and with the participation of the CEO and CFO, of the effectiveness and operation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as of December 31, 2025. Based upon that evaluation, our CEO and CFO have concluded that our disclosure controls and procedures, as of December 31, 2025, were effective.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Management’s Responsibility for Financial Statements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Deloitte &amp; Touche LLP, an independent registered public accounting firm, has been retained to audit our consolidated financial statements and the effectiveness of our internal control over financial reporting. Its accompanying reports are based on audits conducted in accordance with the standards of the Public Company Accounting Oversight Board.</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our internal auditors and with management to review accounting, auditing, internal control and financial reporting matters.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pertain to the maintenance of records that, in reasonable detail, accurately and fairly reflect our transactions and dispositions of our assets;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U.S. GAAP;</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provide reasonable assurance that receipts and expenditures are being made only in accordance with the authorization of our management and our board of directors;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our assets that could have a material effect on the consolidated financial statements.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180"/>
        <w:ind w:left="0" w:right="0" w:firstLine="495"/>
        <w:jc w:val="both"/>
        <w:rPr/>
      </w:pPr>
      <w:r>
        <w:rPr>
          <w:rFonts w:ascii="Times New Roman;serif" w:hAnsi="Times New Roman;serif"/>
          <w:b w:val="false"/>
          <w:color w:val="000000"/>
          <w:sz w:val="20"/>
        </w:rPr>
        <w:t>Our management, under the supervision and with the participation of the CEO and CFO, assessed the effectiveness of our internal control over financial reporting as of December 31, 2025. In making this assessment, management used the criteria described in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2025. See Deloitte &amp; Touche LLP’s accompanying attestation report on their audit of our internal controls over financial reporting.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there were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2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Code of Ethics.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http://ir.exlservice.com/corporate-governance. We intend to satisfy the disclosure requirement under Item 5.05 of Form 8-K regarding an amendment to, or waiver from, a provision of our code of conduct and ethics by posting such information on our website at the address and the location specified above.</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additional information required by this Item 10 will be set forth in the definitive proxy statement for our 2025 Annual Meeting of Stockholders (the “Proxy Statement”), including under the headings “Our board of directors,” “Our executive officers” and “Corporate governance — Committees — Audit Committee,” “— Committees — Nominating and Governance Committee” and, to the extent included, “— Delinquent Section 16(a) Reports,” and is incorporated herein by reference. We intend to file the Proxy Statement with the SEC within 120 days after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the information responsive to this Item appearing in our Proxy Statement, including under the headings “Executive Compensation — Compensation Discussion and Analysis,” “— Compensation and Talent Management Committee Report,” “— Summary Compensation Table for Fiscal Year 2025,” “— Grants of Plan-Based Awards Table for Fiscal Year 2025,” “Outstanding Equity Awards at Fiscal 2025 Year-End,” “Option Exercises and Stock Vested During Fiscal Year 2025,” “— Pension Benefits for Fiscal Year 2025,” “— Potential Payments upon Termination or Change in Control at Fiscal 2025 Year-End,” “— Director Compensation for Fiscal Year 2025,” “— Risk and Compensation Policies” and “Corporate Governance — Compensation and Talent Management Committee Interlocks and Insider Participation.”</w:t>
      </w:r>
    </w:p>
    <w:p>
      <w:pPr>
        <w:pStyle w:val="TextBody"/>
        <w:bidi w:val="0"/>
        <w:spacing w:before="12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68" w:before="180" w:after="180"/>
        <w:ind w:left="0" w:right="0" w:firstLine="495"/>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December 31, 2025 with respect to the shares of our common stock that may be issued under our existing equity compensation plans. For a description of our equity compensation plans, see Note 23 - Stock-Based Compensation to our consolidated financial statements under Part II, 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1068"/>
        <w:gridCol w:w="937"/>
        <w:gridCol w:w="942"/>
        <w:gridCol w:w="712"/>
        <w:gridCol w:w="712"/>
        <w:gridCol w:w="713"/>
        <w:gridCol w:w="109"/>
        <w:gridCol w:w="109"/>
        <w:gridCol w:w="109"/>
        <w:gridCol w:w="422"/>
        <w:gridCol w:w="1234"/>
        <w:gridCol w:w="219"/>
        <w:gridCol w:w="109"/>
        <w:gridCol w:w="109"/>
        <w:gridCol w:w="109"/>
        <w:gridCol w:w="758"/>
        <w:gridCol w:w="758"/>
        <w:gridCol w:w="1076"/>
      </w:tblGrid>
      <w:tr>
        <w:trPr/>
        <w:tc>
          <w:tcPr>
            <w:tcW w:w="10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21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Securities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 be Issued Upon</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Exercise/Vesting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w:t>
            </w:r>
          </w:p>
          <w:p>
            <w:pPr>
              <w:pStyle w:val="TableContents"/>
              <w:bidi w:val="0"/>
              <w:spacing w:lineRule="auto" w:line="240" w:before="0" w:after="0"/>
              <w:jc w:val="center"/>
              <w:rPr/>
            </w:pPr>
            <w:r>
              <w:rPr>
                <w:rFonts w:ascii="Times New Roman;serif" w:hAnsi="Times New Roman;serif"/>
                <w:b/>
                <w:color w:val="000000"/>
                <w:sz w:val="18"/>
              </w:rPr>
              <w:t xml:space="preserve">Options, Warrants and Rights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Exercise</w:t>
              <w:br/>
              <w:t>Price of</w:t>
              <w:br/>
              <w:t>Outstanding</w:t>
              <w:br/>
              <w:t>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Securities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Remaining Available for Future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Issuance Under Equity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Compensation Plans (Excluding Securities</w:t>
            </w:r>
          </w:p>
          <w:p>
            <w:pPr>
              <w:pStyle w:val="TableContents"/>
              <w:bidi w:val="0"/>
              <w:spacing w:lineRule="auto" w:line="240" w:before="0" w:after="0"/>
              <w:jc w:val="center"/>
              <w:rPr/>
            </w:pPr>
            <w:r>
              <w:rPr>
                <w:rFonts w:ascii="Times New Roman;serif" w:hAnsi="Times New Roman;serif"/>
                <w:b/>
                <w:color w:val="000000"/>
                <w:sz w:val="18"/>
              </w:rPr>
              <w:t xml:space="preserve">Reflected in Column 1) </w:t>
            </w:r>
            <w:r>
              <w:rPr>
                <w:rFonts w:ascii="Times New Roman;serif" w:hAnsi="Times New Roman;serif"/>
                <w:b/>
                <w:color w:val="000000"/>
                <w:sz w:val="12"/>
              </w:rPr>
              <w:t>(2)</w:t>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7,167,716 </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9,369,596 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7,167,716 </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9,369,596 </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both"/>
        <w:rPr>
          <w:rFonts w:ascii="Times New Roman;serif" w:hAnsi="Times New Roman;serif"/>
          <w:b w:val="false"/>
          <w:i/>
          <w:color w:val="000000"/>
          <w:sz w:val="18"/>
        </w:rPr>
      </w:pPr>
      <w:r>
        <w:rPr>
          <w:rFonts w:ascii="Times New Roman;serif" w:hAnsi="Times New Roman;serif"/>
          <w:b w:val="false"/>
          <w:i/>
          <w:color w:val="000000"/>
          <w:sz w:val="18"/>
        </w:rPr>
        <w:t xml:space="preserve">(1) This includes outstanding options and unvested restricted stock units, which include time-based restricted stock units and performance-based restricted stock units. This also includes vested time-based restricted stock units, performance-based restricted stock units and employee stock purchase plan units for which the underlying common stock was not issued as of December 31, 2025. </w:t>
      </w:r>
    </w:p>
    <w:p>
      <w:pPr>
        <w:pStyle w:val="TextBody"/>
        <w:bidi w:val="0"/>
        <w:spacing w:lineRule="auto" w:line="288" w:before="80" w:after="180"/>
        <w:ind w:left="0" w:right="0" w:firstLine="540"/>
        <w:jc w:val="both"/>
        <w:rPr>
          <w:rFonts w:ascii="Times New Roman;serif" w:hAnsi="Times New Roman;serif"/>
          <w:b w:val="false"/>
          <w:i/>
          <w:color w:val="000000"/>
          <w:sz w:val="18"/>
        </w:rPr>
      </w:pPr>
      <w:r>
        <w:rPr>
          <w:rFonts w:ascii="Times New Roman;serif" w:hAnsi="Times New Roman;serif"/>
          <w:b w:val="false"/>
          <w:i/>
          <w:color w:val="000000"/>
          <w:sz w:val="18"/>
        </w:rPr>
        <w:t>(2) This includes 5,919,466 and 3,450,130 securities, under the 2025 Omnibus Incentive Plan (assuming performance at target for outstanding performance-based restricted stock units) and 2022 Employee Stock Purchase Plan, respectively.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the information responsive to this Item appearing in our Proxy Statement, including under the heading “Principal Stockholders.”</w:t>
      </w:r>
    </w:p>
    <w:p>
      <w:pPr>
        <w:pStyle w:val="TextBody"/>
        <w:bidi w:val="0"/>
        <w:spacing w:before="180" w:after="18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incorporate by reference the information responsive to this Item appearing in our Proxy Statement, including under the headings “Certain Relationships and Related Person Transactions” and “Corporate Governance — Director Independence.”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the information responsive to this Item appearing in our Proxy Statement, including under the heading “Ratification of the Appointment of Independent Registered Public Accounting Firm — Audit and Non-Audit Fees.”</w:t>
      </w:r>
    </w:p>
    <w:p>
      <w:pPr>
        <w:pStyle w:val="TextBody"/>
        <w:bidi w:val="0"/>
        <w:spacing w:before="12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8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(a)1.    Consolidated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required to be filed in the Annual Report on Form 10-K are listed on page F-1 hereof. The required financial statements appear on pages F-5 through F-58 hereof.</w:t>
      </w:r>
    </w:p>
    <w:p>
      <w:pPr>
        <w:pStyle w:val="TextBody"/>
        <w:bidi w:val="0"/>
        <w:spacing w:lineRule="auto" w:line="288" w:before="18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2.Financial Statement Schedules.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Financial statement schedules have been omitted since they are either not required, not material or the information is otherwise included in our consolidated financial statements or the notes to our consolidated financial statements.</w:t>
      </w:r>
    </w:p>
    <w:p>
      <w:pPr>
        <w:pStyle w:val="TextBody"/>
        <w:bidi w:val="0"/>
        <w:spacing w:lineRule="auto" w:line="288" w:before="18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3.Exhibits.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Exhibits filed as part of this Annual Report on Form 10-K are listed on the Exhibit Index immediately preceding such Exhibits, which Exhibit Index is incorporated in this Annual Report on Form 10-K by reference.</w:t>
      </w:r>
    </w:p>
    <w:p>
      <w:pPr>
        <w:pStyle w:val="TextBody"/>
        <w:bidi w:val="0"/>
        <w:spacing w:lineRule="auto" w:line="288" w:before="18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(b)Exhibits. See Item 15(a)(3) above.</w:t>
      </w:r>
    </w:p>
    <w:p>
      <w:pPr>
        <w:pStyle w:val="TextBody"/>
        <w:bidi w:val="0"/>
        <w:spacing w:lineRule="auto" w:line="288" w:before="18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(c)Financial Statement Schedules. See Item 15(a)(2) above.</w:t>
      </w:r>
    </w:p>
    <w:p>
      <w:pPr>
        <w:pStyle w:val="TextBody"/>
        <w:bidi w:val="0"/>
        <w:spacing w:before="180" w:after="18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Annual Report on Form 10-K to be signed on its behalf by the undersigned hereunto duly authorized.</w:t>
      </w:r>
    </w:p>
    <w:tbl>
      <w:tblPr>
        <w:tblW w:w="9422" w:type="dxa"/>
        <w:jc w:val="left"/>
        <w:tblInd w:w="0" w:type="dxa"/>
        <w:tblLayout w:type="fixed"/>
        <w:tblCellMar>
          <w:top w:w="28" w:type="dxa"/>
          <w:left w:w="28" w:type="dxa"/>
          <w:bottom w:w="28" w:type="dxa"/>
          <w:right w:w="28" w:type="dxa"/>
        </w:tblCellMar>
      </w:tblPr>
      <w:tblGrid>
        <w:gridCol w:w="754"/>
        <w:gridCol w:w="664"/>
        <w:gridCol w:w="667"/>
        <w:gridCol w:w="313"/>
        <w:gridCol w:w="313"/>
        <w:gridCol w:w="313"/>
        <w:gridCol w:w="313"/>
        <w:gridCol w:w="313"/>
        <w:gridCol w:w="313"/>
        <w:gridCol w:w="1571"/>
        <w:gridCol w:w="1571"/>
        <w:gridCol w:w="231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73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EXLSERVICE HOLDINGS,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MAURIZIO NICOLELLI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MAURIZIO NICOLELLI</w:t>
              <w:br/>
              <w:t>Chief Financial Officer</w:t>
              <w:br/>
              <w:t>(Duly Authorized Signatory, Principal Financial and Accounting Officer)</w:t>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Annual Report on Form 10-K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54"/>
        <w:gridCol w:w="747"/>
        <w:gridCol w:w="755"/>
        <w:gridCol w:w="109"/>
        <w:gridCol w:w="109"/>
        <w:gridCol w:w="109"/>
        <w:gridCol w:w="1849"/>
        <w:gridCol w:w="1847"/>
        <w:gridCol w:w="1871"/>
        <w:gridCol w:w="109"/>
        <w:gridCol w:w="109"/>
        <w:gridCol w:w="109"/>
        <w:gridCol w:w="474"/>
        <w:gridCol w:w="474"/>
        <w:gridCol w:w="680"/>
      </w:tblGrid>
      <w:tr>
        <w:trPr/>
        <w:tc>
          <w:tcPr>
            <w:tcW w:w="8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    ROHIT KAPOOR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 (Principal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Rohit Kapoor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    MAURIZIO NICOLELLI</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Maurizio Nicolelli</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    VIKRAM S. PANDIT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Vikram S. Pandit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    THOMAS BARTLETT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Thomas Bartlett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    ANDREAS FIBIG</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Andreas Fibig</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 PATRICK GERAGHTY</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Patrick Geraghty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    KRISTY PIPES</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Kristy Pipes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    NITIN SAHNEY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Nitin Sahney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    SARAH K. WILLIAMSON</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Sarah K. Williamson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8"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exhibits are being filed as part of this report or incorporated by reference as indicated therein:</w:t>
      </w:r>
    </w:p>
    <w:tbl>
      <w:tblPr>
        <w:tblW w:w="10205" w:type="dxa"/>
        <w:jc w:val="left"/>
        <w:tblInd w:w="0" w:type="dxa"/>
        <w:tblLayout w:type="fixed"/>
        <w:tblCellMar>
          <w:top w:w="28" w:type="dxa"/>
          <w:left w:w="28" w:type="dxa"/>
          <w:bottom w:w="28" w:type="dxa"/>
          <w:right w:w="28" w:type="dxa"/>
        </w:tblCellMar>
      </w:tblPr>
      <w:tblGrid>
        <w:gridCol w:w="222"/>
        <w:gridCol w:w="195"/>
        <w:gridCol w:w="202"/>
        <w:gridCol w:w="109"/>
        <w:gridCol w:w="109"/>
        <w:gridCol w:w="109"/>
        <w:gridCol w:w="2866"/>
        <w:gridCol w:w="2644"/>
        <w:gridCol w:w="3749"/>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Fourth Amended and Restated Certificate of Incorporation of the Company (incorporated by reference to Exhibit 3.1 of the Company’s Current Report on Form 8-K (File No. 1-33089) filed on June 25, 2024).</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Sixth Amended and Restated By-laws of the Company (incorporated by reference to Exhibit 3.2 of the Company’s Current Report on Form 8-K (File No. 1-33089) filed on June 21, 2023).</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Registration Rights Agreement (incorporated by reference to Exhibit 4.1 of the Company’s Current Report on Form 8-K (File No. 1-33089) filed on October 25, 2006).</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Description of Common Stock (incorporated by reference to Exhibit 4.2 to the Company’s Annual Report on Form 10-K (File No. 1-33089) filed on February 25, 2025).</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Form of ExlService Holdings, Inc. Employment Agreement (applicable to Executive Officers) (incorporated by reference to Exhibit 10.4 to the Company’s Quarterly Report on Form 10-Q (File No. 1-33089) filed on April 27, 2023).</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Second Amended and Restated Employment and Non-Competition Agreement, dated August 3, 2020, between the Company and Rohit Kapoor (incorporated by reference to Exhibit 10.1 to the Company’s Quarterly Report on Form 10-Q (File No. 1-33089) filed on October 29, 2020).</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Amendment to Second Amended and Restated Employment and Non-Competition Agreement, dated August 12, 2022, between the Company and Rohit Kapoor (incorporated by reference to Exhibit 10.1 to the Company’s Quarterly Report on Form 10-Q (File No. 1-33089) filed on October 27, 2022).</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Amendment No. 2 to Second Amended and Restated Employment and Non-Competition Agreement, effective February 16, 2023, between the Company and Rohit Kapoor (incorporated by reference to Exhibit 10.1 to the Company’s Quarterly Report on Form 10-Q (File No. 1-33089) filed on April 27, 2023).</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Employment Agreement, effective as of February 3, 2020, between ExlService Holdings, Inc. and Maurizio Nicolelli (incorporated by reference to Exhibit 10.4 to the Company’s Annual Report on Form 10-K (File No. 1-33089) filed on February 25, 2021).</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Employment Agreement, effective as of April 18, 2022, between exl Service (India) Private Limited and Vikas Bhalla (incorporated by reference to Exhibit 10.5 to the Company’s Quarterly Report on Form 10-Q (File No. 1-33089) filed on April 27, 2023).</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ExlService Holdings, Inc. 2015 Amendment and Restatement of the 2006 Omnibus Award Plan (incorporated by reference to Exhibit 10.1 to the Company’s Current Report on Form 8-K (File No. 1-33089) filed on June 25, 2015).</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Form of Restricted Stock Unit Agreement (U.S.) under the ExlService Holdings, Inc. 2015 Amendment and Restatement of the 2006 Omnibus Award Plan (incorporated by reference to Exhibit 10.1 to the Company’s Quarterly Report on Form 10-Q (File No. 1-33089) filed on October 27, 2016).</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Form of Restricted Stock Unit Agreement (U.S.) under the ExlService Holdings, Inc. 2015 Amendment and Restatement of the 2006 Omnibus Award Plan “(incorporated by reference to Exhibit 10.40 to the Company’s Annual Report on Form 10-K (File No. 1-33089) filed on March 15, 2017).</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ExlService Holdings, Inc. 2018 Omnibus Incentive Plan (incorporated by reference to Exhibit 10.1 to the Company’s Current Report on Form 8-K (File No. 1-33089) filed on June 20, 2018).</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Form of Restricted Stock Unit Agreement (applicable to U.S. Executive Officers) under the 2018 Omnibus Incentive Plan (incorporated by reference to Exhibit 10.2 to the Company’s Quarterly Report on Form 10-Q (File No. 1-33089) filed on April 27, 2023).</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Form of Restricted Stock Unit Agreement (applicable to International Executive Officers) under the 2018 Omnibus Incentive Plan (incorporated by reference to Exhibit 10.3 to the Company’s Quarterly Report on Form 10-Q (File No. 1-33089) filed on April 27, 2023).</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Form of Restricted Stock Unit Agreement (Directors) under the 2018 Omnibus Incentive Plan (incorporated by reference to Exhibit 10.4 to the Company’s Quarterly Report on Form 10-Q (File No. 1-33089) filed on April 29, 2021).</w:t>
              </w:r>
            </w:hyperlink>
          </w:p>
        </w:tc>
      </w:tr>
      <w:tr>
        <w:trPr/>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Form of Option Agreement (applicable to U.S. Executive Officers) under the 2018 Omnibus Incentive Plan (incorporated by reference to Exhibit 10.1 to the Company’s Quarterly Report on Form 10-Q (File No. 1-33089) filed on July 27,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tbl>
      <w:tblPr>
        <w:tblW w:w="10205" w:type="dxa"/>
        <w:jc w:val="left"/>
        <w:tblInd w:w="0" w:type="dxa"/>
        <w:tblLayout w:type="fixed"/>
        <w:tblCellMar>
          <w:top w:w="28" w:type="dxa"/>
          <w:left w:w="28" w:type="dxa"/>
          <w:bottom w:w="28" w:type="dxa"/>
          <w:right w:w="28" w:type="dxa"/>
        </w:tblCellMar>
      </w:tblPr>
      <w:tblGrid>
        <w:gridCol w:w="240"/>
        <w:gridCol w:w="211"/>
        <w:gridCol w:w="213"/>
        <w:gridCol w:w="109"/>
        <w:gridCol w:w="109"/>
        <w:gridCol w:w="109"/>
        <w:gridCol w:w="2789"/>
        <w:gridCol w:w="2660"/>
        <w:gridCol w:w="3765"/>
      </w:tblGrid>
      <w:tr>
        <w:trPr/>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Form of Option Agreement (applicable to International Executive Officers) under the 2018 Omnibus Incentive Plan (incorporated by reference to Exhibit 10.2 to the Company’s Quarterly Report on Form 10-Q (File No. 1-33089) filed on July 27, 2023).</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ExlService Holdings, Inc. 2025 Omnibus Incentive Plan, effective June 17, 2025 (incorporated by reference to Exhibit 10.1 to the Company’s Current Report on Form 8-K (File No. 1-33089) filed on June 17, 2025).</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1017x12312025x10k.htm">
              <w:r>
                <w:rPr>
                  <w:rStyle w:val="InternetLink"/>
                  <w:rFonts w:ascii="Times New Roman;serif" w:hAnsi="Times New Roman;serif"/>
                  <w:b w:val="false"/>
                  <w:color w:val="0000FF"/>
                  <w:sz w:val="20"/>
                  <w:u w:val="single"/>
                </w:rPr>
                <w:t>Form of Restricted Stock Unit (applicable to CEO) under the 2025 Omnibus Incentive Plan.</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1018x12312025x10xk.htm">
              <w:r>
                <w:rPr>
                  <w:rStyle w:val="InternetLink"/>
                  <w:rFonts w:ascii="Times New Roman;serif" w:hAnsi="Times New Roman;serif"/>
                  <w:b w:val="false"/>
                  <w:color w:val="0000FF"/>
                  <w:sz w:val="20"/>
                  <w:u w:val="single"/>
                </w:rPr>
                <w:t>Form of Restricted Stock Unit (applicable to U.S. Executive Officers) under the 2025 Omnibus Incentive Plan.</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1019x12312025x10xk.htm">
              <w:r>
                <w:rPr>
                  <w:rStyle w:val="InternetLink"/>
                  <w:rFonts w:ascii="Times New Roman;serif" w:hAnsi="Times New Roman;serif"/>
                  <w:b w:val="false"/>
                  <w:color w:val="0000FF"/>
                  <w:sz w:val="20"/>
                  <w:u w:val="single"/>
                </w:rPr>
                <w:t>Form of Restricted Stock Unit (applicable to International Executive Officers) under the 2025 Omnibus Incentive Plan.</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1020x12312025x10k.htm">
              <w:r>
                <w:rPr>
                  <w:rStyle w:val="InternetLink"/>
                  <w:rFonts w:ascii="Times New Roman;serif" w:hAnsi="Times New Roman;serif"/>
                  <w:b w:val="false"/>
                  <w:color w:val="0000FF"/>
                  <w:sz w:val="20"/>
                  <w:u w:val="single"/>
                </w:rPr>
                <w:t>Form of Restricted Stock Unit (applicable to Directors) under the 2025 Omnibus Incentive Plan.</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ExlService Holdings, Inc. 2022 Employee Stock Purchase Plan (incorporated by reference to Exhibit 10.1 to the Company’s Current Report on Form 8-K (File No. 1-33089) filed on June 22, 2022).</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Amendment and Restatement Agreement, dated April 18, 2022, by and among the Company and the other loan parties thereto, the lenders party thereto, and Citibank, N.A., as administrative agent (incorporated by reference to Exhibit 10.1 to the Company’s Current Report on Form 8-K (File No. 1-33089) filed on April 20, 2022).</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First Amendment to Amended and Restated Credit Agreement, dated August 9, 2024, by and among the Company and the other loan parties party thereto, the lenders party thereto, and Citibank, N.A., as administrative agent (incorporated by reference to Exhibit 10.1 to the Company’s Current Report on Form 8-K (File No. 1-33089) filed on August 15, 2024)</w:t>
              </w:r>
            </w:hyperlink>
            <w:r>
              <w:rPr>
                <w:rFonts w:ascii="Times New Roman;serif" w:hAnsi="Times New Roman;serif"/>
                <w:b w:val="false"/>
                <w:color w:val="000000"/>
                <w:sz w:val="20"/>
              </w:rPr>
              <w:t>.</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Master Confirmation – Variable Tenor Accelerated Stock Repurchase, dated as of March 15, 2024, between ExlService Holdings, Inc. and Citibank, N.A. (incorporated by reference to Exhibit 10.1 to the Company’s Current Report on Form 8-K (File No. 1-33089) filed on March 18, 2024).</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ExlService Holdings, Inc. Securities Trading Policy (incorporated by reference to Exhibit 19.1 to the Company’s Annual Report on Form 10-K (File No. 1-33089) filed on February 25, 2025).</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211x12312025x10xk.htm">
              <w:r>
                <w:rPr>
                  <w:rStyle w:val="InternetLink"/>
                  <w:rFonts w:ascii="Times New Roman;serif" w:hAnsi="Times New Roman;serif"/>
                  <w:b w:val="false"/>
                  <w:color w:val="0000FF"/>
                  <w:sz w:val="20"/>
                  <w:u w:val="single"/>
                </w:rPr>
                <w:t>Subsidiaries of the Company</w:t>
              </w:r>
            </w:hyperlink>
            <w:r>
              <w:rPr>
                <w:rFonts w:ascii="Times New Roman;serif" w:hAnsi="Times New Roman;serif"/>
                <w:b w:val="false"/>
                <w:color w:val="000000"/>
                <w:sz w:val="20"/>
              </w:rPr>
              <w:t>.</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ex231x12x31x2025x10xk.htm">
              <w:r>
                <w:rPr>
                  <w:rStyle w:val="InternetLink"/>
                  <w:rFonts w:ascii="Times New Roman;serif" w:hAnsi="Times New Roman;serif"/>
                  <w:b w:val="false"/>
                  <w:color w:val="0000FF"/>
                  <w:sz w:val="20"/>
                  <w:u w:val="single"/>
                </w:rPr>
                <w:t>Consent of Deloitte &amp; Touche LLP, Independent Registered Public Accounting Firm.</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11x12312025x10k.htm">
              <w:r>
                <w:rPr>
                  <w:rStyle w:val="InternetLink"/>
                  <w:rFonts w:ascii="Times New Roman;serif" w:hAnsi="Times New Roman;serif"/>
                  <w:b w:val="false"/>
                  <w:color w:val="0000FF"/>
                  <w:sz w:val="20"/>
                  <w:u w:val="single"/>
                </w:rPr>
                <w:t>Certification of the Chief Executive Officer of ExlService Holdings, pursuant to Rule 13a-14(a) of the Exchange Act, as adopted pursuant to Section 302 of the Sarbanes-Oxley Act of 2002.</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12x12312025x10k.htm">
              <w:r>
                <w:rPr>
                  <w:rStyle w:val="InternetLink"/>
                  <w:rFonts w:ascii="Times New Roman;serif" w:hAnsi="Times New Roman;serif"/>
                  <w:b w:val="false"/>
                  <w:color w:val="0000FF"/>
                  <w:sz w:val="20"/>
                  <w:u w:val="single"/>
                </w:rPr>
                <w:t>Certification of the Chief Financial Officer of ExlService Holdings, pursuant to Rule 13a-14(a) of the Exchange Act, as adopted pursuant to Section 302 of the Sarbanes-Oxley Act of 2002.</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21x12312025x10k.htm">
              <w:r>
                <w:rPr>
                  <w:rStyle w:val="InternetLink"/>
                  <w:rFonts w:ascii="Times New Roman;serif" w:hAnsi="Times New Roman;serif"/>
                  <w:b w:val="false"/>
                  <w:color w:val="0000FF"/>
                  <w:sz w:val="20"/>
                  <w:u w:val="single"/>
                </w:rPr>
                <w:t>Certification of the Chief Executive Officer pursuant to Rule 13a-14(b) of the Exchange Act and 18 U.S.C. Section 1350, as adopted pursuant to Section 906 of the Sarbanes-Oxley Act of 2002.</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22x12312025x10k.htm">
              <w:r>
                <w:rPr>
                  <w:rStyle w:val="InternetLink"/>
                  <w:rFonts w:ascii="Times New Roman;serif" w:hAnsi="Times New Roman;serif"/>
                  <w:b w:val="false"/>
                  <w:color w:val="0000FF"/>
                  <w:sz w:val="20"/>
                  <w:u w:val="single"/>
                </w:rPr>
                <w:t>Certification of the Chief Financial Officer pursuant to Rule 13a-14(b) of the Exchange Act and 18 U.S.C. Section 1350, as adopted pursuant to Section 906 of the Sarbanes-Oxley Act of 2002.</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ExlService Holdings, Inc. Clawback Policy (incorporated by reference to Exhibit 97 to the Company’s Annual Report on Form 10-K (File No. 1-33089) filed on February 29, 2024.</w:t>
              </w:r>
            </w:hyperlink>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Extension Presentation Linkbase*</w:t>
            </w:r>
          </w:p>
        </w:tc>
      </w:tr>
      <w:tr>
        <w:trPr/>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ind w:left="0" w:right="0" w:hanging="90"/>
        <w:jc w:val="both"/>
        <w:rPr>
          <w:rFonts w:ascii="Times New Roman;serif" w:hAnsi="Times New Roman;serif"/>
          <w:b w:val="false"/>
          <w:color w:val="000000"/>
          <w:sz w:val="20"/>
        </w:rPr>
      </w:pPr>
      <w:r>
        <w:rPr>
          <w:rFonts w:ascii="Times New Roman;serif" w:hAnsi="Times New Roman;serif"/>
          <w:b w:val="false"/>
          <w:color w:val="000000"/>
          <w:sz w:val="20"/>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pStyle w:val="TextBody"/>
        <w:bidi w:val="0"/>
        <w:spacing w:lineRule="auto" w:line="288" w:before="0" w:after="0"/>
        <w:ind w:left="0" w:right="0" w:hanging="90"/>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required to be filed as an Exhibit.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376" w:type="dxa"/>
        <w:jc w:val="left"/>
        <w:tblInd w:w="0" w:type="dxa"/>
        <w:tblLayout w:type="fixed"/>
        <w:tblCellMar>
          <w:top w:w="28" w:type="dxa"/>
          <w:left w:w="28" w:type="dxa"/>
          <w:bottom w:w="28" w:type="dxa"/>
          <w:right w:w="28" w:type="dxa"/>
        </w:tblCellMar>
      </w:tblPr>
      <w:tblGrid>
        <w:gridCol w:w="3198"/>
        <w:gridCol w:w="2811"/>
        <w:gridCol w:w="2826"/>
        <w:gridCol w:w="158"/>
        <w:gridCol w:w="158"/>
        <w:gridCol w:w="225"/>
      </w:tblGrid>
      <w:tr>
        <w:trPr/>
        <w:tc>
          <w:tcPr>
            <w:tcW w:w="3198"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03">
              <w:r>
                <w:rPr>
                  <w:rStyle w:val="InternetLink"/>
                  <w:rFonts w:ascii="Times New Roman;serif" w:hAnsi="Times New Roman;serif"/>
                  <w:b w:val="false"/>
                  <w:color w:val="0000FF"/>
                  <w:sz w:val="20"/>
                  <w:u w:val="single"/>
                </w:rPr>
                <w:t>Reports of Independent Registered Public Accounting Firm</w:t>
              </w:r>
            </w:hyperlink>
            <w:r>
              <w:rPr>
                <w:color w:val="000000"/>
              </w:rPr>
              <w:t xml:space="preserve"> </w:t>
            </w:r>
            <w:r>
              <w:rPr>
                <w:rFonts w:ascii="Times New Roman;serif" w:hAnsi="Times New Roman;serif"/>
                <w:b w:val="false"/>
                <w:color w:val="000000"/>
                <w:sz w:val="20"/>
              </w:rPr>
              <w:t>(PCAOB ID No. 34)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661DE8"/>
                <w:sz w:val="20"/>
                <w:u w:val="single"/>
              </w:rPr>
              <w:t>F-</w:t>
            </w:r>
            <w:hyperlink w:anchor="i550a3f0a95d247d680ff7135b4c006ae_103">
              <w:r>
                <w:rPr>
                  <w:rStyle w:val="InternetLink"/>
                  <w:rFonts w:ascii="Times New Roman;serif" w:hAnsi="Times New Roman;serif"/>
                  <w:b w:val="false"/>
                  <w:color w:val="000080"/>
                  <w:sz w:val="20"/>
                  <w:u w:val="single"/>
                </w:rPr>
                <w:t>2</w:t>
              </w:r>
            </w:hyperlink>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06">
              <w:r>
                <w:rPr>
                  <w:rStyle w:val="InternetLink"/>
                  <w:rFonts w:ascii="Times New Roman;serif" w:hAnsi="Times New Roman;serif"/>
                  <w:b w:val="false"/>
                  <w:color w:val="0000FF"/>
                  <w:sz w:val="20"/>
                  <w:u w:val="single"/>
                </w:rPr>
                <w:t>Consolidated Balance Sheets as of December 31, 2025 and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661DE8"/>
                <w:sz w:val="20"/>
                <w:u w:val="single"/>
              </w:rPr>
              <w:t>F-</w:t>
            </w:r>
            <w:hyperlink w:anchor="i550a3f0a95d247d680ff7135b4c006ae_106">
              <w:r>
                <w:rPr>
                  <w:rStyle w:val="InternetLink"/>
                  <w:rFonts w:ascii="Times New Roman;serif" w:hAnsi="Times New Roman;serif"/>
                  <w:b w:val="false"/>
                  <w:color w:val="000080"/>
                  <w:sz w:val="20"/>
                  <w:u w:val="single"/>
                </w:rPr>
                <w:t>5</w:t>
              </w:r>
            </w:hyperlink>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09">
              <w:r>
                <w:rPr>
                  <w:rStyle w:val="InternetLink"/>
                  <w:rFonts w:ascii="Times New Roman;serif" w:hAnsi="Times New Roman;serif"/>
                  <w:b w:val="false"/>
                  <w:color w:val="0000FF"/>
                  <w:sz w:val="20"/>
                  <w:u w:val="single"/>
                </w:rPr>
                <w:t>Consolidated Statements of Income for the years ended December 31, 2025, 2024 and 2023</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661DE8"/>
                <w:sz w:val="20"/>
                <w:u w:val="single"/>
              </w:rPr>
              <w:t>F-</w:t>
            </w:r>
            <w:hyperlink w:anchor="i550a3f0a95d247d680ff7135b4c006ae_109">
              <w:r>
                <w:rPr>
                  <w:rStyle w:val="InternetLink"/>
                  <w:rFonts w:ascii="Times New Roman;serif" w:hAnsi="Times New Roman;serif"/>
                  <w:b w:val="false"/>
                  <w:color w:val="000080"/>
                  <w:sz w:val="20"/>
                  <w:u w:val="single"/>
                </w:rPr>
                <w:t>6</w:t>
              </w:r>
            </w:hyperlink>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12">
              <w:r>
                <w:rPr>
                  <w:rStyle w:val="InternetLink"/>
                  <w:rFonts w:ascii="Times New Roman;serif" w:hAnsi="Times New Roman;serif"/>
                  <w:b w:val="false"/>
                  <w:color w:val="0000FF"/>
                  <w:sz w:val="20"/>
                  <w:u w:val="single"/>
                </w:rPr>
                <w:t>Consolidated Statements of Comprehensive Income for the years ended December 31, 2025, 2024 and 2023</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661DE8"/>
                <w:sz w:val="20"/>
                <w:u w:val="single"/>
              </w:rPr>
              <w:t>F-</w:t>
            </w:r>
            <w:hyperlink w:anchor="i550a3f0a95d247d680ff7135b4c006ae_112">
              <w:r>
                <w:rPr>
                  <w:rStyle w:val="InternetLink"/>
                  <w:rFonts w:ascii="Times New Roman;serif" w:hAnsi="Times New Roman;serif"/>
                  <w:b w:val="false"/>
                  <w:color w:val="000080"/>
                  <w:sz w:val="20"/>
                  <w:u w:val="single"/>
                </w:rPr>
                <w:t>7</w:t>
              </w:r>
            </w:hyperlink>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15">
              <w:r>
                <w:rPr>
                  <w:rStyle w:val="InternetLink"/>
                  <w:rFonts w:ascii="Times New Roman;serif" w:hAnsi="Times New Roman;serif"/>
                  <w:b w:val="false"/>
                  <w:color w:val="0000FF"/>
                  <w:sz w:val="20"/>
                  <w:u w:val="single"/>
                </w:rPr>
                <w:t>Consolidated Statements of Stockholders' Equity for the years ended December 31, 2025, 2024 and 2023</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661DE8"/>
                <w:sz w:val="20"/>
                <w:u w:val="single"/>
              </w:rPr>
              <w:t>F-</w:t>
            </w:r>
            <w:hyperlink w:anchor="i550a3f0a95d247d680ff7135b4c006ae_115">
              <w:r>
                <w:rPr>
                  <w:rStyle w:val="InternetLink"/>
                  <w:rFonts w:ascii="Times New Roman;serif" w:hAnsi="Times New Roman;serif"/>
                  <w:b w:val="false"/>
                  <w:color w:val="000080"/>
                  <w:sz w:val="20"/>
                  <w:u w:val="single"/>
                </w:rPr>
                <w:t>8</w:t>
              </w:r>
            </w:hyperlink>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18">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661DE8"/>
                <w:sz w:val="20"/>
                <w:u w:val="single"/>
              </w:rPr>
              <w:t>F-</w:t>
            </w:r>
            <w:hyperlink w:anchor="i550a3f0a95d247d680ff7135b4c006ae_118">
              <w:r>
                <w:rPr>
                  <w:rStyle w:val="InternetLink"/>
                  <w:rFonts w:ascii="Times New Roman;serif" w:hAnsi="Times New Roman;serif"/>
                  <w:b w:val="false"/>
                  <w:color w:val="000080"/>
                  <w:sz w:val="20"/>
                  <w:u w:val="single"/>
                </w:rPr>
                <w:t>9</w:t>
              </w:r>
            </w:hyperlink>
          </w:p>
        </w:tc>
      </w:tr>
      <w:tr>
        <w:trPr/>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0a3f0a95d247d680ff7135b4c006ae_121">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661DE8"/>
                <w:sz w:val="20"/>
                <w:u w:val="single"/>
              </w:rPr>
              <w:t>F-</w:t>
            </w:r>
            <w:hyperlink w:anchor="i550a3f0a95d247d680ff7135b4c006ae_121">
              <w:r>
                <w:rPr>
                  <w:rStyle w:val="InternetLink"/>
                  <w:rFonts w:ascii="Times New Roman;serif" w:hAnsi="Times New Roman;serif"/>
                  <w:b w:val="false"/>
                  <w:color w:val="000080"/>
                  <w:sz w:val="20"/>
                  <w:u w:val="single"/>
                </w:rPr>
                <w:t>10</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80" w:after="180"/>
        <w:jc w:val="left"/>
        <w:rPr/>
      </w:pPr>
      <w:r>
        <w:rPr/>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ExlService Holdings, Inc.</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ExlService Holdings, Inc. (the “Company”) as of December 31, 2025 and 2024, the related consolidated statements of income, comprehensive income,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68" w:before="180" w:after="180"/>
        <w:ind w:left="0" w:right="0" w:firstLine="450"/>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24, 2026, expressed an unqualified opinion on the Company's internal control over financial reporting.</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Revenues - Refer to Notes 2 and 4 to the financial statements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Critical Audit Matter Description</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Revenues from payment integrity services having contingent fee arrangements are recognized by the Company at the point in time when a performance obligation is satisfied, which is when it identifies an overpayment claim. In such contracts, the Company’s consideration is contingent upon the actual collections made by its customers and net of any subsequent retraction claims. Based on guidance on variable consideration in Accounting Standards Codification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(“ASC Topic 606”), the Company uses its historical experience and projections to determine the expected amount of revenue to be recognized based on the expected consideration to be received from its customers. Any adjustment required due to change in estimates are recorded in the period in which such change is identified.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revenue recognized under contracts for the Company’s payment integrity services as a critical audit matter because of the judgments necessary for management to determine the transaction price, represented by the amount of expected recoveries from its customers. This required extensive audit effort and a high degree of auditor judgment when performing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audit procedures to audit management’s estimates of transaction price used to recognize revenue and evaluating the results of those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How the Critical Audit Matter Was Addressed in the Audit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testing the transaction price of the Company’s contracts to provide payment integrity services included the following, among others:</w:t>
      </w:r>
    </w:p>
    <w:p>
      <w:pPr>
        <w:pStyle w:val="TextBody"/>
        <w:bidi w:val="0"/>
        <w:spacing w:lineRule="auto" w:line="288" w:before="180" w:after="180"/>
        <w:ind w:left="0" w:right="0" w:hanging="270"/>
        <w:jc w:val="both"/>
        <w:rPr/>
      </w:pPr>
      <w:r>
        <w:rPr>
          <w:color w:val="000000"/>
        </w:rPr>
        <w:t>•</w:t>
      </w:r>
      <w:r>
        <w:rPr>
          <w:rFonts w:ascii="Times New Roman;serif" w:hAnsi="Times New Roman;serif"/>
          <w:b w:val="false"/>
          <w:color w:val="000000"/>
          <w:sz w:val="20"/>
        </w:rPr>
        <w:t>We tested the effectiveness of the internal controls related to the assumptions used to determine the transaction price that is probable of recovery, including subsequent changes to amounts earned.</w:t>
      </w:r>
    </w:p>
    <w:p>
      <w:pPr>
        <w:pStyle w:val="TextBody"/>
        <w:bidi w:val="0"/>
        <w:spacing w:lineRule="auto" w:line="288" w:before="180" w:after="180"/>
        <w:ind w:left="0" w:right="0" w:hanging="270"/>
        <w:jc w:val="both"/>
        <w:rPr/>
      </w:pPr>
      <w:r>
        <w:rPr>
          <w:color w:val="000000"/>
        </w:rPr>
        <w:t>•</w:t>
      </w:r>
      <w:r>
        <w:rPr>
          <w:rFonts w:ascii="Times New Roman;serif" w:hAnsi="Times New Roman;serif"/>
          <w:b w:val="false"/>
          <w:color w:val="000000"/>
          <w:sz w:val="20"/>
        </w:rPr>
        <w:t>We selected a sample of transactions and performed the following procedures for evaluating management’s estimate and underlying data used for deriving transaction price: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Read the underlying contract with the customer and agreed the commission rate for the selected transaction to the Company’s computation used to determine the amount of revenue recognized.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Tested management’s estimate used to determine the transaction price that is probable of recovery, including subsequent changes to amounts earned.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Tested the accuracy and completeness of the underlying data (i.e. historical experience) used by management to support such estimate.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Tested the mathematical accuracy of the Company’s estimate analysis.</w:t>
      </w:r>
    </w:p>
    <w:p>
      <w:pPr>
        <w:pStyle w:val="TextBody"/>
        <w:bidi w:val="0"/>
        <w:spacing w:lineRule="auto" w:line="288" w:before="180" w:after="180"/>
        <w:ind w:left="0" w:right="0" w:hanging="270"/>
        <w:jc w:val="both"/>
        <w:rPr/>
      </w:pPr>
      <w:r>
        <w:rPr>
          <w:color w:val="000000"/>
        </w:rPr>
        <w:t>•</w:t>
      </w:r>
      <w:r>
        <w:rPr>
          <w:rFonts w:ascii="Times New Roman;serif" w:hAnsi="Times New Roman;serif"/>
          <w:b w:val="false"/>
          <w:color w:val="000000"/>
          <w:sz w:val="20"/>
        </w:rPr>
        <w:t>We evaluated management’s ability to estimate the transaction price accurately by comparing actual recoveries to management’s historical estimates.</w:t>
      </w:r>
    </w:p>
    <w:p>
      <w:pPr>
        <w:pStyle w:val="TextBody"/>
        <w:bidi w:val="0"/>
        <w:spacing w:before="180" w:after="180"/>
        <w:jc w:val="both"/>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180" w:after="180"/>
        <w:jc w:val="both"/>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2018.</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To the shareholders and the Board of Directors of ExlService Holdings, Inc.</w:t>
      </w:r>
    </w:p>
    <w:p>
      <w:pPr>
        <w:pStyle w:val="TextBody"/>
        <w:bidi w:val="0"/>
        <w:spacing w:lineRule="auto" w:line="288" w:before="180" w:after="180"/>
        <w:jc w:val="both"/>
        <w:rPr>
          <w:rFonts w:ascii="Times New Roman;serif" w:hAnsi="Times New Roman;serif"/>
          <w:b/>
          <w:color w:val="000000"/>
          <w:sz w:val="19"/>
        </w:rPr>
      </w:pPr>
      <w:r>
        <w:rPr>
          <w:rFonts w:ascii="Times New Roman;serif" w:hAnsi="Times New Roman;serif"/>
          <w:b/>
          <w:color w:val="000000"/>
          <w:sz w:val="19"/>
        </w:rPr>
        <w:t>Opinion on Internal Control over Financial Reporting</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We have audited the internal control over financial reporting of ExlService Holdings, Inc.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pStyle w:val="TextBody"/>
        <w:bidi w:val="0"/>
        <w:spacing w:lineRule="auto" w:line="288" w:before="180" w:after="180"/>
        <w:jc w:val="both"/>
        <w:rPr>
          <w:rFonts w:ascii="Times New Roman;serif" w:hAnsi="Times New Roman;serif"/>
          <w:b/>
          <w:color w:val="000000"/>
          <w:sz w:val="19"/>
        </w:rPr>
      </w:pPr>
      <w:r>
        <w:rPr>
          <w:rFonts w:ascii="Times New Roman;serif" w:hAnsi="Times New Roman;serif"/>
          <w:b/>
          <w:color w:val="000000"/>
          <w:sz w:val="19"/>
        </w:rPr>
        <w:t>Basis for Opinion</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180"/>
        <w:jc w:val="both"/>
        <w:rPr>
          <w:rFonts w:ascii="Times New Roman;serif" w:hAnsi="Times New Roman;serif"/>
          <w:b/>
          <w:color w:val="000000"/>
          <w:sz w:val="19"/>
        </w:rPr>
      </w:pPr>
      <w:r>
        <w:rPr>
          <w:rFonts w:ascii="Times New Roman;serif" w:hAnsi="Times New Roman;serif"/>
          <w:b/>
          <w:color w:val="000000"/>
          <w:sz w:val="19"/>
        </w:rPr>
        <w:t>Definition and Limitations of Internal Control over Financial Reporting</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80" w:after="180"/>
        <w:jc w:val="both"/>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New York, New York</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2603"/>
        <w:gridCol w:w="2023"/>
        <w:gridCol w:w="2045"/>
        <w:gridCol w:w="145"/>
        <w:gridCol w:w="145"/>
        <w:gridCol w:w="146"/>
        <w:gridCol w:w="109"/>
        <w:gridCol w:w="109"/>
        <w:gridCol w:w="109"/>
        <w:gridCol w:w="197"/>
        <w:gridCol w:w="892"/>
        <w:gridCol w:w="109"/>
        <w:gridCol w:w="109"/>
        <w:gridCol w:w="109"/>
        <w:gridCol w:w="109"/>
        <w:gridCol w:w="197"/>
        <w:gridCol w:w="891"/>
        <w:gridCol w:w="158"/>
      </w:tblGrid>
      <w:tr>
        <w:trPr/>
        <w:tc>
          <w:tcPr>
            <w:tcW w:w="260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w:t>
            </w:r>
          </w:p>
        </w:tc>
      </w:tr>
      <w:tr>
        <w:trPr/>
        <w:tc>
          <w:tcPr>
            <w:tcW w:w="6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2024</w:t>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Current assets: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153,355 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Short-term investments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187,223 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Accounts receivable, net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304,322 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140,317 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current assets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829,957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795,189</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Property and equipment, net </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101,837 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assets, net</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104,747 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420,387 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Other intangible assets, net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investments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1,702,235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1,618,403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Current liabilities:</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long-term borrowings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employee costs</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current liabilities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113,597 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operating lease liabilities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current liabilities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324,125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290,116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borrowings, less current portion</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283,598 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less current portion</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59,851 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 net</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789,530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688,541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$0.001 par value; 15,000,000 shares authorized, none issued</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400,000,000 shares authorized, 208,855,566 shares issued and 156,430,028 shares outstanding as of December 31, 2025 and 206,510,587 shares issued and 161,801,212 shares outstanding as of December 31, 2024</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588,583 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1,281,960 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loss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(154,722)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including shares held in treasury</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2,030,023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1,716,027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52,425,538 shares as of December 31, 2025 and 44,709,375 shares as of December 31, 2024, held in treasury, at cost</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(1,117,318)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(786,165)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stockholders’ equity</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912,705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929,862</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 xml:space="preserve">Total liabilities and stockholders’ equity </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1,702,235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1,618,403</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671"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01"/>
        <w:gridCol w:w="1621"/>
        <w:gridCol w:w="1616"/>
        <w:gridCol w:w="170"/>
        <w:gridCol w:w="170"/>
        <w:gridCol w:w="171"/>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19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1,630,668 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Gross profit </w:t>
            </w:r>
            <w:r>
              <w:rPr>
                <w:rFonts w:ascii="Times New Roman;serif" w:hAnsi="Times New Roman;serif"/>
                <w:b/>
                <w:color w:val="000000"/>
                <w:sz w:val="13"/>
              </w:rPr>
              <w:t>(1)</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801,076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691,013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607,766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263,620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238,755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 and earnings from equity affiliates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315,052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261,347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237,941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earnings from equity affiliates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251,324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184,405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from equity-method investment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251,019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198,297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184,558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computing earnings per share: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161,028,312 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162,718,840 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166,341,213 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162,481,586 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164,321,656 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168,161,371 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(1) Exclusive of depreciation and amortization expense.</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724" w:type="dxa"/>
        <w:jc w:val="center"/>
        <w:tblInd w:w="0" w:type="dxa"/>
        <w:tblLayout w:type="fixed"/>
        <w:tblCellMar>
          <w:top w:w="28" w:type="dxa"/>
          <w:left w:w="28" w:type="dxa"/>
          <w:bottom w:w="28" w:type="dxa"/>
          <w:right w:w="28" w:type="dxa"/>
        </w:tblCellMar>
      </w:tblPr>
      <w:tblGrid>
        <w:gridCol w:w="1329"/>
        <w:gridCol w:w="1165"/>
        <w:gridCol w:w="1180"/>
        <w:gridCol w:w="180"/>
        <w:gridCol w:w="180"/>
        <w:gridCol w:w="181"/>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Other comprehensive income/(loss):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 on cash flow hedges</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benefits</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Reclassification adjustments: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(Gain)/loss on cash flow hedges </w:t>
            </w:r>
            <w:r>
              <w:rPr>
                <w:rFonts w:ascii="Times New Roman;serif" w:hAnsi="Times New Roman;serif"/>
                <w:b w:val="false"/>
                <w:color w:val="000000"/>
                <w:sz w:val="13"/>
              </w:rPr>
              <w:t>(1)</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Retirement benefits </w:t>
            </w:r>
            <w:r>
              <w:rPr>
                <w:rFonts w:ascii="Times New Roman;serif" w:hAnsi="Times New Roman;serif"/>
                <w:b w:val="false"/>
                <w:color w:val="000000"/>
                <w:sz w:val="13"/>
              </w:rPr>
              <w:t>(2)</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Income tax effects relating to above </w:t>
            </w:r>
            <w:r>
              <w:rPr>
                <w:rFonts w:ascii="Times New Roman;serif" w:hAnsi="Times New Roman;serif"/>
                <w:b/>
                <w:color w:val="000000"/>
                <w:sz w:val="13"/>
              </w:rPr>
              <w:t>(3)</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other comprehensive income/(loss)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17,103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225,014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201,661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ind w:left="0" w:right="0" w:hanging="630"/>
        <w:jc w:val="both"/>
        <w:rPr>
          <w:rFonts w:ascii="Times New Roman;serif" w:hAnsi="Times New Roman;serif"/>
          <w:b w:val="false"/>
          <w:i/>
          <w:color w:val="000000"/>
          <w:sz w:val="18"/>
        </w:rPr>
      </w:pPr>
      <w:r>
        <w:rPr>
          <w:rFonts w:ascii="Times New Roman;serif" w:hAnsi="Times New Roman;serif"/>
          <w:b w:val="false"/>
          <w:i/>
          <w:color w:val="000000"/>
          <w:sz w:val="18"/>
        </w:rPr>
        <w:t>(1)These are reclassified to net income and are included in revenues, net, cost of revenues, operating expenses and interest expense, as applicable in the consolidated statements of income.</w:t>
      </w:r>
    </w:p>
    <w:p>
      <w:pPr>
        <w:pStyle w:val="TextBody"/>
        <w:bidi w:val="0"/>
        <w:spacing w:lineRule="auto" w:line="288" w:before="120" w:after="283"/>
        <w:ind w:left="0" w:right="0" w:hanging="630"/>
        <w:jc w:val="both"/>
        <w:rPr>
          <w:rFonts w:ascii="Times New Roman;serif" w:hAnsi="Times New Roman;serif"/>
          <w:b w:val="false"/>
          <w:i/>
          <w:color w:val="000000"/>
          <w:sz w:val="18"/>
        </w:rPr>
      </w:pPr>
      <w:r>
        <w:rPr>
          <w:rFonts w:ascii="Times New Roman;serif" w:hAnsi="Times New Roman;serif"/>
          <w:b w:val="false"/>
          <w:i/>
          <w:color w:val="000000"/>
          <w:sz w:val="18"/>
        </w:rPr>
        <w:t>(2)These are reclassified to net income and are included in other income, net in the consolidated statements of income.</w:t>
      </w:r>
    </w:p>
    <w:p>
      <w:pPr>
        <w:pStyle w:val="TextBody"/>
        <w:bidi w:val="0"/>
        <w:spacing w:lineRule="auto" w:line="288" w:before="120" w:after="283"/>
        <w:ind w:left="0" w:right="0" w:hanging="630"/>
        <w:jc w:val="both"/>
        <w:rPr>
          <w:rFonts w:ascii="Times New Roman;serif" w:hAnsi="Times New Roman;serif"/>
          <w:b w:val="false"/>
          <w:i/>
          <w:color w:val="000000"/>
          <w:sz w:val="18"/>
        </w:rPr>
      </w:pPr>
      <w:r>
        <w:rPr>
          <w:rFonts w:ascii="Times New Roman;serif" w:hAnsi="Times New Roman;serif"/>
          <w:b w:val="false"/>
          <w:i/>
          <w:color w:val="000000"/>
          <w:sz w:val="18"/>
        </w:rPr>
        <w:t>(3)These are income tax effects recognized on cash flow hedges, retirement benefits and currency translation adjustments.</w:t>
      </w:r>
    </w:p>
    <w:p>
      <w:pPr>
        <w:pStyle w:val="TextBody"/>
        <w:bidi w:val="0"/>
        <w:spacing w:before="120" w:after="283"/>
        <w:ind w:left="0" w:right="0" w:hanging="630"/>
        <w:jc w:val="both"/>
        <w:rPr/>
      </w:pPr>
      <w:r>
        <w:rPr/>
      </w:r>
    </w:p>
    <w:p>
      <w:pPr>
        <w:pStyle w:val="TextBody"/>
        <w:bidi w:val="0"/>
        <w:spacing w:before="120" w:after="283"/>
        <w:ind w:left="0" w:right="0" w:hanging="630"/>
        <w:jc w:val="both"/>
        <w:rPr/>
      </w:pPr>
      <w:r>
        <w:rPr/>
      </w:r>
    </w:p>
    <w:p>
      <w:pPr>
        <w:pStyle w:val="TextBody"/>
        <w:bidi w:val="0"/>
        <w:spacing w:before="1800" w:after="283"/>
        <w:jc w:val="center"/>
        <w:rPr/>
      </w:pPr>
      <w:r>
        <w:rPr/>
      </w:r>
    </w:p>
    <w:p>
      <w:pPr>
        <w:pStyle w:val="TextBody"/>
        <w:bidi w:val="0"/>
        <w:spacing w:before="1800" w:after="283"/>
        <w:jc w:val="center"/>
        <w:rPr/>
      </w:pPr>
      <w:r>
        <w:rPr/>
      </w:r>
    </w:p>
    <w:p>
      <w:pPr>
        <w:pStyle w:val="TextBody"/>
        <w:bidi w:val="0"/>
        <w:spacing w:lineRule="auto" w:line="288" w:before="18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before="18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count)</w:t>
      </w:r>
    </w:p>
    <w:tbl>
      <w:tblPr>
        <w:tblW w:w="13414" w:type="dxa"/>
        <w:jc w:val="center"/>
        <w:tblInd w:w="0" w:type="dxa"/>
        <w:tblLayout w:type="fixed"/>
        <w:tblCellMar>
          <w:top w:w="28" w:type="dxa"/>
          <w:left w:w="28" w:type="dxa"/>
          <w:bottom w:w="28" w:type="dxa"/>
          <w:right w:w="28" w:type="dxa"/>
        </w:tblCellMar>
      </w:tblPr>
      <w:tblGrid>
        <w:gridCol w:w="634"/>
        <w:gridCol w:w="268"/>
        <w:gridCol w:w="269"/>
        <w:gridCol w:w="150"/>
        <w:gridCol w:w="150"/>
        <w:gridCol w:w="151"/>
        <w:gridCol w:w="109"/>
        <w:gridCol w:w="109"/>
        <w:gridCol w:w="109"/>
        <w:gridCol w:w="533"/>
        <w:gridCol w:w="533"/>
        <w:gridCol w:w="181"/>
        <w:gridCol w:w="109"/>
        <w:gridCol w:w="109"/>
        <w:gridCol w:w="109"/>
        <w:gridCol w:w="196"/>
        <w:gridCol w:w="436"/>
        <w:gridCol w:w="109"/>
        <w:gridCol w:w="109"/>
        <w:gridCol w:w="109"/>
        <w:gridCol w:w="109"/>
        <w:gridCol w:w="196"/>
        <w:gridCol w:w="751"/>
        <w:gridCol w:w="109"/>
        <w:gridCol w:w="109"/>
        <w:gridCol w:w="109"/>
        <w:gridCol w:w="109"/>
        <w:gridCol w:w="196"/>
        <w:gridCol w:w="886"/>
        <w:gridCol w:w="109"/>
        <w:gridCol w:w="109"/>
        <w:gridCol w:w="109"/>
        <w:gridCol w:w="109"/>
        <w:gridCol w:w="196"/>
        <w:gridCol w:w="751"/>
        <w:gridCol w:w="109"/>
        <w:gridCol w:w="109"/>
        <w:gridCol w:w="109"/>
        <w:gridCol w:w="109"/>
        <w:gridCol w:w="488"/>
        <w:gridCol w:w="488"/>
        <w:gridCol w:w="181"/>
        <w:gridCol w:w="109"/>
        <w:gridCol w:w="109"/>
        <w:gridCol w:w="109"/>
        <w:gridCol w:w="196"/>
        <w:gridCol w:w="886"/>
        <w:gridCol w:w="109"/>
        <w:gridCol w:w="109"/>
        <w:gridCol w:w="109"/>
        <w:gridCol w:w="109"/>
        <w:gridCol w:w="109"/>
        <w:gridCol w:w="109"/>
        <w:gridCol w:w="109"/>
        <w:gridCol w:w="109"/>
        <w:gridCol w:w="196"/>
        <w:gridCol w:w="7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2022</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199,939,880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444,948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899,105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(144,143)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(33,767,660)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(441,931)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758,179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against stock-based compensation plans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3,470,158 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(4,364,498)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repurchase of common stock, net of stock issuances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203,410,038</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508,028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1,083,663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(127,040)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(38,132,158)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(575,417)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889,437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against stock-based compensation plans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3,100,549 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(2,406,700)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share repurchase</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5, 19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(4,170,517)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repurchase of common stock, net of stock issuances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206,510,587</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588,583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1,281,960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(154,722)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(44,709,375)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(786,165)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929,862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against stock-based compensation plans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2,344,979 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(4,734,627)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share repurchase</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5, 19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(2,981,536)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repurchase of common stock, net of stock issuances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208,855,566</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677,562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1,532,979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(180,727)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(52,425,538)</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(1,117,318)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912,705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908" w:type="dxa"/>
        <w:jc w:val="center"/>
        <w:tblInd w:w="0" w:type="dxa"/>
        <w:tblLayout w:type="fixed"/>
        <w:tblCellMar>
          <w:top w:w="28" w:type="dxa"/>
          <w:left w:w="28" w:type="dxa"/>
          <w:bottom w:w="28" w:type="dxa"/>
          <w:right w:w="28" w:type="dxa"/>
        </w:tblCellMar>
      </w:tblPr>
      <w:tblGrid>
        <w:gridCol w:w="2071"/>
        <w:gridCol w:w="1814"/>
        <w:gridCol w:w="182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207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the carrying amount of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mark-to-market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currency exchange gain,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acquisition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redemption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equity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for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171,398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145,401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property and equipment not yet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acquired under 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50a3f0a95d247d680ff7135b4c006ae_7">
        <w:r>
          <w:rPr>
            <w:rStyle w:val="InternetLink"/>
          </w:rPr>
          <w:t>Ta</w:t>
        </w:r>
      </w:hyperlink>
      <w:hyperlink w:anchor="i550a3f0a95d247d680ff7135b4c006ae_7">
        <w:r>
          <w:rPr>
            <w:rStyle w:val="InternetLink"/>
          </w:rPr>
          <w:t>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ExlService Holdings, Inc. (“ExlService Holdings”) is organized as a corporation under the laws of the State of Delaware. ExlService Holdings, together with its subsidiaries and affiliates (collectively, the “Company”), is a global data and artificial intelligence (“AI”) company that offers services and solutions to reinvent client business models, drive better outcomes and unlock growth with speed. The Company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clients are located principally in the United States of America and the United Kingdom.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(a)Basis of Preparation and Principles of Consolidation</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conformity with United States generally accepted accounting principles (“U.S. GAAP”). The accompanying financial statements have been prepared on a consolidated basis and reflect the financial statements of ExlService Holdings, Inc. and all of its subsidiaries and includes the Company's share in the results of its associates.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standalone financial statements of subsidiaries are fully consolidated on a line-by-line basis. Intra-group balances and transactions, and gains and losses arising from intra-group transactions, are eliminated while preparing consolidated financial statements.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Accounting policies of the respective individual subsidiaries and equity affiliates are aligned wherever necessary, so as to ensure consistency with the accounting policies that are adopted by the Company under U.S. GAAP.</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(b)Use of Estimates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U.S. GAAP requires management to make estimates and assumptions that affect the carrying amounts of assets and liabilities and disclosure of contingent assets and liabilities included in the consolidated financial statements. Although these estimates are based on management’s best assessment of the current business environment, actual results may be different from those estimates. The significant estimates that affect the consolidated financial statements include, but are not limited to, estimates of the contingent consideration, credit risk of customers, the nature and timing of the satisfaction of performance obligations, the standalone selling price of performance obligations,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pattern of generation of economic benefits to calculate depreciation and amortization for long-lived assets and other intangible assets, and recoverability of long-lived assets, goodwill and other intangible assets.</w:t>
      </w:r>
    </w:p>
    <w:p>
      <w:pPr>
        <w:pStyle w:val="TextBody"/>
        <w:bidi w:val="0"/>
        <w:spacing w:before="18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76" w:before="180" w:after="180"/>
        <w:ind w:left="0" w:right="0" w:hanging="450"/>
        <w:jc w:val="both"/>
        <w:rPr>
          <w:rFonts w:ascii="Times New Roman;serif" w:hAnsi="Times New Roman;serif"/>
          <w:b/>
          <w:i/>
          <w:color w:val="000000"/>
          <w:sz w:val="20"/>
        </w:rPr>
      </w:pPr>
      <w:r>
        <w:rPr>
          <w:rFonts w:ascii="Times New Roman;serif" w:hAnsi="Times New Roman;serif"/>
          <w:b/>
          <w:i/>
          <w:color w:val="000000"/>
          <w:sz w:val="20"/>
        </w:rPr>
        <w:t>(c)Foreign Currency Translation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each entity in the Company is the currency of the primary economic environment in which it operates. Transactions in foreign currencies are initially recorded into functional currency at the rates of exchange prevailing on the date of the transaction. Monetary assets and liabilities denominated in foreign currencies are remeasured into functional currency at the rates of exchange prevailing at the balance sheet date. Non-monetary assets and liabilities are remeasured to the functional currency at exchange rates that prevailed on the date of inception of the transaction. All foreign exchange gains and losses arising on re-measurement are recorded in the Company's consolidated statements of income.</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and liabilities of the subsidiaries for which the functional currency is other than the U.S. dollar are translated into U.S. dollars, the reporting currency, at the rate of exchange prevailing on the balance sheet date and equity items are translated at exchange rates that prevailed on the date of inception of the transaction. Revenues and expenses are translated into U.S. dollars at the exchange rates prevailing on the last business day of each month, which approximates the average monthly exchange rate. Resulting translation adjustments are included in “Accumulated other comprehensive income/(loss)” in the consolidated balance sheets. </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(d)Revenue Recognition</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services are provided to the Company's customers, in an amount that reflects the consideration which the Company expects to be entitled to in exchange for the services provided. The Company recognizes revenue when it satisfies a performance obligation by providing services to a customer.</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is measured based on consideration specified in a contract with a customer and excludes value added tax, business tax, any applicable discounts and amounts collected on behalf of third parties. Reimbursements of out-of-pocket expenses are included as a part of revenue.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Nature of Services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earns its revenues by providing data and AI-led solutions and services and digital operations solutions and services to clients. The Company’s services help businesses achieve higher productivity, cost efficiency and business growth.</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Identification of Performance Obligations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identifies performance obligations by evaluating the distinct goods and services promised in a contract with customers.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Type of Contracts and Basis of Recognition</w:t>
      </w:r>
    </w:p>
    <w:p>
      <w:pPr>
        <w:pStyle w:val="TextBody"/>
        <w:bidi w:val="0"/>
        <w:spacing w:lineRule="auto" w:line="288" w:before="18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i.Revenues under time-and-material and transaction based contracts are recognized over time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pStyle w:val="TextBody"/>
        <w:bidi w:val="0"/>
        <w:spacing w:lineRule="auto" w:line="288" w:before="18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ii.Revenues for the Company’s fixed-price contracts, which include business support services provided on a fixed price basis or implementation of applications or solutions, are recognized considering costs incurred to date relative to total estimated costs at completion to measure progress towards satisfying the Company’s performance obligations. Incurred cost represents work performed, and thereby reasonably reflects transfer of control to the client. The use of this method requires significant judgment to estimate the stage of completion and/or cost required to complete the contracted scope of work, including assumptions and estimates relative to the length of time to complete the project and the nature and complexity of the work to be performed and resources engaged. The Company regularly monitors these estimates throughout the execution of the project and records changes in the period in which a change in an estimate is determined. If a change in an estimate results in a projected loss on a project, such loss is recognized in the period in which it is first identified.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iii.Revenue from the Company’s software and platform-enabled solutions and related services contracts, are primarily software license fees, annual maintenance renewals, software subscription or software as a services fees, software implementation and/or customization fees.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Perpetual/distinct licenses with significant standalone functionality are recognized at a point in time when control transfers. Maintenance/support services revenues are recognized ratably over the contract term. Subscription or software as a service revenues are recognized over time. Software implementation and customization revenues are recognized over time as services are performed. Revenues from software license bundled with services are recognized over time when services are performed.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68" w:before="0" w:after="0"/>
        <w:ind w:left="0" w:right="0" w:hanging="450"/>
        <w:jc w:val="both"/>
        <w:rPr/>
      </w:pPr>
      <w:r>
        <w:rPr>
          <w:rFonts w:ascii="Times New Roman;serif" w:hAnsi="Times New Roman;serif"/>
          <w:b w:val="false"/>
          <w:color w:val="000000"/>
          <w:sz w:val="20"/>
        </w:rPr>
        <w:t xml:space="preserve">iv.Revenues from payment integrity services having contingent fee arrangements are recognized by the Company at the point in time when a performance obligation is satisfied, which is when it identifies an overpayment claim. In such contracts, the Company’s consideration is contingent upon the actual collections made by its customers and net of any subsequent retraction claims. Based on guidance on “variable consideration” in Accounting Standards Codification (“ASC”)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Topic 606”), the Company uses its historical experience and projections to determine the expected amount of revenue to be recognized based on the expected consideration to be received from its customers. Any adjustment required due to a change in estimates is recorded in the period in which such change is identified. The estimated amount of revenue to be collected from the Company’s customers is presented as contract assets within “Other Current Assets”.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Modification to Contracts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contracts may be modified to add, remove or change existing performance obligations. The accounting for modifications to contracts involves assessing whether the services added to an existing contract are distinct and whether the pricing is at a standalone selling price. Services added that are distinct and at standalone selling price are accounted on a prospective basis either as a separate contract, or as a termination of existing contract and creation of a new contract.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Arrangements with Multiple Performance Obligations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do not generally bundle different services together except for software and related services contracts, involving implementation services and post contract maintenance services. As such in multiple performance obligations arrangements, performance obligations are determined and revenue is recognized based on the transaction price allocated to each performance obligation determined using its relative standalone selling price.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Allocation of Transaction Price to Performance Obligations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Variable Consideration</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Variability in the transaction price arises primarily due to service level agreements, volume discounts entailing variability in revenue earned, and contracts under the Company’s payment integrity services whereby the transaction price is based on the estimated amount the Company enables its customers to recover.</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considers its historical experience, including trends with similar transactions and expectations regarding the contract in estimating the amount of variable consideration that should be recognized during a period.</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expected value method is most appropriate for determining the variable consideration since the Company has a large number of contracts with a similar nature of transactions/services.</w:t>
      </w:r>
    </w:p>
    <w:p>
      <w:pPr>
        <w:pStyle w:val="TextBody"/>
        <w:bidi w:val="0"/>
        <w:spacing w:before="180" w:after="180"/>
        <w:ind w:left="0" w:right="0" w:firstLine="450"/>
        <w:jc w:val="both"/>
        <w:rPr/>
      </w:pPr>
      <w:r>
        <w:rPr/>
      </w:r>
    </w:p>
    <w:p>
      <w:pPr>
        <w:pStyle w:val="TextBody"/>
        <w:bidi w:val="0"/>
        <w:spacing w:before="18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Unbilled Receivables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Unbilled receivables represents revenues recognized for services rendered between the last billing date and the balance sheet date.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Deferred Revenue and Contract Fulfillment Costs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liabilities (deferred revenue) consist of advance billings and billing in excess of revenues recognized. Deferred revenue also includes the amount for which services have been rendered but other conditions of revenue recognition are not met, for example, where the Company does not have an enforceable contract.</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the Company also defers any upfront payments collected from its customers attributable to certain process transition activities, with respect to its customers where such activities do not represent separate performance obligations. Revenues related to such transition activities are classified under “Deferred revenue” and “Other non-current liabilities” in the Company’s consolidated balance sheets and are recognized as (or when) the performance obligation is fulfilled under the contract with customer.</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Costs related to such transition activities are contract fulfillment costs, and thereby classified under “Other current assets” and “Other assets” in the consolidated balance sheets, and are recognized over the expected duration of the relationship with customers, under “Cost of revenues” in the consolidated statements of income.</w:t>
      </w:r>
    </w:p>
    <w:p>
      <w:pPr>
        <w:pStyle w:val="TextBody"/>
        <w:bidi w:val="0"/>
        <w:spacing w:lineRule="auto" w:line="417" w:before="180" w:after="180"/>
        <w:jc w:val="both"/>
        <w:rPr>
          <w:rFonts w:ascii="Times New Roman;serif" w:hAnsi="Times New Roman;serif"/>
          <w:b/>
          <w:i/>
          <w:color w:val="000000"/>
          <w:sz w:val="20"/>
        </w:rPr>
      </w:pPr>
      <w:r>
        <w:rPr>
          <w:rFonts w:ascii="Times New Roman;serif" w:hAnsi="Times New Roman;serif"/>
          <w:b/>
          <w:i/>
          <w:color w:val="000000"/>
          <w:sz w:val="20"/>
        </w:rPr>
        <w:t>Contract Acquisition Costs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Incremental costs incurred for acquiring contracts, such as sales commissions are contract acquisition costs and thereby classified under “Other current assets” and “Other assets” in the consolidated balance sheets. Such costs are amortized over the expected duration of the relationship with customers and recorded under Selling and marketing expenses in the consolidated statements of income.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Upfront Payments Made to Customers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Upfront payments, in nature of deal signing discount or deal signing bonuses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Out-of-Pocket Expenses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Reimbursements of out-of-pocket expenses received from customers are included as part of revenues.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Payment terms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contracts entered into by the Company specify the payment terms and are defined for each contract separately. Usual payment terms range between 30-60 days. The Company does not have any extended payment terms clauses in existing contracts.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does not disclose the value of remaining performance obligations as a result of applying the practical expedient provided in ASC Topic 606, for contracts that meet any of the following criteria:</w:t>
      </w:r>
    </w:p>
    <w:p>
      <w:pPr>
        <w:pStyle w:val="TextBody"/>
        <w:bidi w:val="0"/>
        <w:spacing w:lineRule="auto" w:line="288" w:before="18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i.Contracts with an original expected length of one year or less as determined under ASC Topic 606,</w:t>
      </w:r>
    </w:p>
    <w:p>
      <w:pPr>
        <w:pStyle w:val="TextBody"/>
        <w:bidi w:val="0"/>
        <w:spacing w:lineRule="auto" w:line="288" w:before="18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ii.Contracts for which Company recognize revenue based on the right to invoice for service performed.</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(e)Cash and Cash Equivalents and Restricted Cash</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purchased with an original maturity of ninety days or less to be cash equivalents. Pursuant to the Company’s investment policy, surplus funds are invested in highly-rated debt mutual funds, money market funds and time deposits to reduce its exposure to market risk with regard to these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The Company’s investment in money market funds is considered as cash equivalents. These investments are accounted for in accordance with the fair value option under 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is represented by original cost on the acquisition date and the net asset value (“NAV”) as quoted, at each reporting period and any changes in fair value are included in other income/(expense), net. Gain or loss on the disposal of these investments is calculated using the first in, first out (“FIFO”) method and is included in other income/(expense), net.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includes any cash and cash equivalents that are legally restricted as to withdrawal or usage for the Company’s operations.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purposes of the statements of cash flows, the Company includes in its cash and cash-equivalent balances those amounts that have been classified as restricted cash and restricted cash equivalents.</w:t>
      </w:r>
    </w:p>
    <w:p>
      <w:pPr>
        <w:pStyle w:val="TextBody"/>
        <w:bidi w:val="0"/>
        <w:spacing w:lineRule="auto" w:line="288" w:before="18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(f)Short-Term and Long-Term Investments</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short-term investments consist of investments in mutual funds and those term deposits with more than three months of original maturity and less than twelve months of remaining maturity as of the reporting date, while long-term investments consist of term deposits with more than twelve months of remaining maturity as of the reporting date and investments in equity affiliates.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term deposits with financial institutions are measured and recognized at amortized cost. Interest earned on such investments is included in other income/(expense), net.</w:t>
      </w:r>
    </w:p>
    <w:p>
      <w:pPr>
        <w:pStyle w:val="TextBody"/>
        <w:bidi w:val="0"/>
        <w:spacing w:before="0" w:after="0"/>
        <w:jc w:val="left"/>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 xml:space="preserve">The Company’s mutual fund investments are in debt funds invested in India. These investments are accounted for in accordance with the fair value option under 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is represented by original cost on the acquisition date and the net asset value (“NAV”) as quoted, at each reporting period and any changes in fair value are included in other income/(expense), net. Gain or loss on the disposal of these investments is calculated using the FIFO method and is included in other income/(expense), net.</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 The Company periodically reviews the carrying value of its investment to determine if there has been any other than temporary decline in carrying value. The investment balance for an investee is increased or decreased for cash contribution and distributions to or from, respectively</w:t>
      </w:r>
      <w:r>
        <w:rPr>
          <w:rFonts w:ascii="Times New Roman;serif" w:hAnsi="Times New Roman;serif"/>
          <w:b/>
          <w:i/>
          <w:color w:val="000000"/>
          <w:sz w:val="20"/>
        </w:rPr>
        <w:t>.</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(g)Accounts Receivable and Allowance for Expected Credit Losses</w:t>
      </w:r>
    </w:p>
    <w:p>
      <w:pPr>
        <w:pStyle w:val="TextBody"/>
        <w:bidi w:val="0"/>
        <w:spacing w:lineRule="auto" w:line="288" w:before="0" w:after="0"/>
        <w:ind w:left="0" w:right="0" w:firstLine="495"/>
        <w:jc w:val="both"/>
        <w:rPr/>
      </w:pPr>
      <w:r>
        <w:rPr>
          <w:rFonts w:ascii="Times New Roman;serif" w:hAnsi="Times New Roman;serif"/>
          <w:b w:val="false"/>
          <w:color w:val="000000"/>
          <w:sz w:val="20"/>
        </w:rPr>
        <w:t>Accounts</w:t>
      </w:r>
      <w:r>
        <w:rPr>
          <w:color w:val="000000"/>
        </w:rPr>
        <w:t xml:space="preserve"> </w:t>
      </w:r>
      <w:r>
        <w:rPr>
          <w:rFonts w:ascii="Times New Roman;serif" w:hAnsi="Times New Roman;serif"/>
          <w:b w:val="false"/>
          <w:color w:val="000000"/>
          <w:sz w:val="20"/>
        </w:rPr>
        <w:t>receivable are recorded net of allowances for expected credit losses.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Accounts receivable balances are written-off against the allowance for expected credit losses after all means of collection have been exhausted and the potential for recovery is considered remote.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Accounts receivable include unbilled accounts receivable which represent revenues on contracts to be billed, in subsequent periods, as per the terms of the related contracts.</w:t>
      </w:r>
    </w:p>
    <w:p>
      <w:pPr>
        <w:pStyle w:val="TextBody"/>
        <w:bidi w:val="0"/>
        <w:spacing w:lineRule="auto" w:line="288" w:before="18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(h)Property and Equipment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stated at cost, which is generally comprised of the purchase price for such property or equipment, non-refundable duties and taxes, but excludes any discounts and/or rebates, less accumulated depreciation and impairment. Equipment held under finance leases are capitalized at the commencement of the lease at an amount equal to the lease liability, adjusted for any lease prepayments, initial direct costs and lease incentives, which usually approximate the fair value of the underlying asset. Expenditures for replacements and improvements are capitalized, if they enhance the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capacity and future benefits whereas the costs of maintenance and repairs are charged to earnings as incurred. Advances paid towards acquisition of property and equipment and the cost of property and equipment not yet placed in service before the end of the reporting period, net of impairment, if any, are classified as capital work in progress.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is computed using the straight-line method over the estimated useful lives of the assets and is presented under “Depreciation and amortization expense” in the consolidated statements of income.</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reviews property and equipment for impairment whenever events or changes in circumstances indicate that the related carrying amounts may not be recoverable. The estimated useful life have been disclosed in Note 9 - Property and Equipment, net to the consolidated financial statements.</w:t>
      </w:r>
    </w:p>
    <w:p>
      <w:pPr>
        <w:pStyle w:val="TextBody"/>
        <w:bidi w:val="0"/>
        <w:spacing w:lineRule="auto" w:line="268" w:before="8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(i)Software Development Costs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certain costs related to the development of or enhancements to existing internal-use software. The Company begins to capitalize such costs when planning stage efforts are successfully completed, management has authorized and committed project funding, and it is probable that the project will be completed and the software will be used as intended. Costs incurred prior to meeting these criteria, together with costs incurred for training and maintenance, are expensed as incurred and recorded within “General and administrative expenses” in the Company’s consolidated statements of income.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capitalizes certain costs incurred in connection with developing or obtaining software or technology for sale to customers when the initial design phase is completed and commercial and technological feasibility has been established. The Company capitalizes costs incurred after technological feasibility is reached but before software is available for general release to customers, which primarily includes coding and testing activities. Any development cost incurred before technological feasibility is established is expensed as incurred as research and development costs.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Costs incurred on internally developed software not yet ready for its intended use before the end of the reporting period, net of impairment, if any, are classified as capital work in progress.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exercises judgment in determining the point at which various projects may be capitalized, in assessing the ongoing value of the capitalized costs, and in determining the estimated useful lives over which the costs are amortized.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Annual amortization of internally developed software products meant for sale, lease or otherwise marketable is the greater of the amount computed using the ratio that current gross revenues for a product bear to the total of current and anticipated future gross revenues for that product or the straight-line method over the remaining estimated economic life of the software product, generally estimated to be up to 3 to 5 years from the date the product became available for use. Annual amortization of internally developed software products meant for internal-use is based on the straight-line method over the estimated useful lives of the internally developed software products. Amortization of such internally developed software is presented under “Depreciation and amortization expense” in the consolidated statements of income.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capitalizes certain implementation costs that are incurred when implementing cloud computing services or software-as-a-service arrangements, which primarily include efforts associated with configuration and development activities. These capitalized costs are reported in "Other current assets" and "Other non-current assets" in the consolidated balance sheets. Once the service is ready for use, the capitalized costs are expensed over the term of the hosting arrangement and recognized in consolidated statements of income.</w:t>
      </w:r>
    </w:p>
    <w:p>
      <w:pPr>
        <w:pStyle w:val="TextBody"/>
        <w:bidi w:val="0"/>
        <w:spacing w:before="0" w:after="0"/>
        <w:jc w:val="left"/>
        <w:rPr/>
      </w:pPr>
      <w:r>
        <w:rPr/>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(j)Business Combinations, Goodwill and Other Intangible Assets</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requires that the acquisition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whereby such changes in fair value are recognized in earnings. Under ASC Topic 350, </w:t>
      </w:r>
      <w:r>
        <w:rPr>
          <w:rFonts w:ascii="Times New Roman;serif" w:hAnsi="Times New Roman;serif"/>
          <w:b w:val="false"/>
          <w:i/>
          <w:color w:val="000000"/>
          <w:sz w:val="20"/>
        </w:rPr>
        <w:t>Intangibles - Goodwill and Other</w:t>
      </w:r>
      <w:r>
        <w:rPr>
          <w:rFonts w:ascii="Times New Roman;serif" w:hAnsi="Times New Roman;serif"/>
          <w:b w:val="false"/>
          <w:color w:val="000000"/>
          <w:sz w:val="20"/>
        </w:rPr>
        <w:t>, all assets and liabilities of the acquired businesses, including goodwill, are assigned to reporting units. Acquisition related costs are expensed as incurred under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assets acquired and liabilities assumed, including uncertain tax positions and tax-related valuation allowances, are initially estimated as of the acquisition date and subsequently re-evaluated, with any measurement-period adjustments (up to one year) recorded to goodwill.</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cost of the acquired businesses in excess of the fair value of identifiable tangible and intangible net assets purchased in a business combination. The Company undertakes studies to determine the fair values of assets and liabilities acquired and allocates purchase consideration to assets and liabilities, including property and equipment, goodwill and other identifiable intangibles. Goodwill is not amortized but is tested for impairment at least on an annual basis, relying on a number of factors including operating results, business plans and estimated future cash flows of the reporting units to which it is assigned. The Company examines the carrying value and fair value of the reporting unit that includes goodwill as and when the circumstances warrant, to determine whether there are any impairment losses.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an assessment of qualitative factors to determine whether the existence of events or circumstances leads to a determination that it is more likely than not that the fair value of a reporting unit is less than its carrying amount. Based on the assessment of events or circumstances, the Company performs a quantitative assessment of goodwill impairment if it determines that it is more likely than not that the fair value of a reporting unit is less than its carrying amount. If, based on the quantitative impairment analysis, the carrying value of the goodwill of a reporting unit exceeds the fair value of such goodwill, an impairment loss is recognized in an amount equal to the excess, limited to the total amount of goodwill allocated to that reporting unit. In addition, the Company performs a qualitative assessment of goodwill impairment between annual tests if an event occurs or circumstances change that would more likely than not reduce the fair value of a reporting unit below its carrying amount.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Amortization of intangible assets with definite lives is presented under “Depreciation and amortization expense” in the consolidated statements of income.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definite lived intangible assets are amortized over their estimated useful lives as listed below using a straight-line method:</w:t>
      </w:r>
    </w:p>
    <w:tbl>
      <w:tblPr>
        <w:tblW w:w="3434" w:type="dxa"/>
        <w:jc w:val="left"/>
        <w:tblInd w:w="0" w:type="dxa"/>
        <w:tblLayout w:type="fixed"/>
        <w:tblCellMar>
          <w:top w:w="28" w:type="dxa"/>
          <w:left w:w="28" w:type="dxa"/>
          <w:bottom w:w="28" w:type="dxa"/>
          <w:right w:w="28" w:type="dxa"/>
        </w:tblCellMar>
      </w:tblPr>
      <w:tblGrid>
        <w:gridCol w:w="874"/>
        <w:gridCol w:w="769"/>
        <w:gridCol w:w="772"/>
        <w:gridCol w:w="298"/>
        <w:gridCol w:w="298"/>
        <w:gridCol w:w="42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Lives</w:t>
              <w:br/>
              <w:t>(in years)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5-15</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c>
      </w:tr>
    </w:tbl>
    <w:p>
      <w:pPr>
        <w:pStyle w:val="TextBody"/>
        <w:bidi w:val="0"/>
        <w:spacing w:lineRule="auto" w:line="288" w:before="180" w:after="180"/>
        <w:ind w:left="0" w:right="0" w:hanging="360"/>
        <w:jc w:val="left"/>
        <w:rPr/>
      </w:pPr>
      <w:r>
        <w:rPr>
          <w:rFonts w:ascii="Times New Roman;serif" w:hAnsi="Times New Roman;serif"/>
          <w:b w:val="false"/>
          <w:color w:val="000000"/>
          <w:sz w:val="20"/>
        </w:rPr>
        <w:t>(k)</w:t>
      </w:r>
      <w:r>
        <w:rPr>
          <w:rFonts w:ascii="Times New Roman;serif" w:hAnsi="Times New Roman;serif"/>
          <w:b/>
          <w:i/>
          <w:color w:val="000000"/>
          <w:sz w:val="20"/>
        </w:rPr>
        <w:t>Impairment of Long-lived Asset</w:t>
      </w:r>
      <w:r>
        <w:rPr>
          <w:rFonts w:ascii="Times New Roman;serif" w:hAnsi="Times New Roman;serif"/>
          <w:b w:val="false"/>
          <w:color w:val="000000"/>
          <w:sz w:val="20"/>
        </w:rPr>
        <w: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To determine fair value, the Company follows the discounted cash flow approach. The impairment amount to be recognized is measured as the amount by which the carrying value of the assets exceeds their fair value.</w:t>
      </w:r>
    </w:p>
    <w:p>
      <w:pPr>
        <w:pStyle w:val="TextBody"/>
        <w:bidi w:val="0"/>
        <w:spacing w:lineRule="auto" w:line="288" w:before="180" w:after="180"/>
        <w:ind w:left="0" w:right="0" w:hanging="360"/>
        <w:jc w:val="left"/>
        <w:rPr/>
      </w:pPr>
      <w:r>
        <w:rPr>
          <w:rFonts w:ascii="Times New Roman;serif" w:hAnsi="Times New Roman;serif"/>
          <w:b/>
          <w:i/>
          <w:color w:val="000000"/>
          <w:sz w:val="20"/>
        </w:rPr>
        <w:t>(l)</w:t>
      </w:r>
      <w:r>
        <w:rPr>
          <w:color w:val="000000"/>
        </w:rPr>
        <w:t xml:space="preserve"> </w:t>
      </w:r>
      <w:r>
        <w:rPr>
          <w:rFonts w:ascii="Times New Roman;serif" w:hAnsi="Times New Roman;serif"/>
          <w:b/>
          <w:i/>
          <w:color w:val="000000"/>
          <w:sz w:val="20"/>
        </w:rPr>
        <w:t>Derivative Financial Instruments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uses derivative instruments to mitigate the exposure from risk of foreign currency and interest rate fluctuations. The Company enters into foreign currency forward contracts to hedge cash flow risks from forecasted transactions denominated in certain foreign currencies, and interest rate swaps to hedge cash flow risks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fluctuations in interest rates on its indebtedness. These contracts adhere to the Company’s treasury operations’ objectives and policies to qualify as cash flow hedges, and are with counterparties that are highly rated financial institutions.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derivative instruments and hedging activities as either assets or liabilities in its consolidated balance sheets and measures them at fair value. Changes in the fair value of these cash flow hedges are recorded as a component of accumulated other comprehensive income/(loss) (“AOCI”), net of tax. The resultant foreign exchange gain/(loss) upon settlement of cash flow hedges of forecasted transactions are reclassified from AOCI to the consolidated statements of income along with the underlying hedged item in the same line as part of “Revenues, net,” “Cost of revenues,” “General and administrative expenses,” “Selling and marketing expenses,” and “Depreciation and amortization expense,” as applicable. The accumulated changes in the fair value of interest rate swaps recognized in AOCI are reclassified to the consolidated statements of income and are presented as a part of “Interest expense” over the term of the contract.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AOCI are reclassified to earnings.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uses derivatives instruments consisting of foreign currency forward contracts to hedge intercompany balances and other monetary assets or liabilities denominated in currencies other than the functional currency, against the risk of foreign currency fluctuations associated with remeasurement of such assets and liabilities to functional currency. These derivatives do not qualify as fair value hedges under ASC Topic 815. Changes in the fair value of these derivatives are recognized in the consolidated statements of income and are included in foreign exchange gain/(loss), net.</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of the assets and liabilities related to the Company’s forward contracts are subject to master netting arrangements with each individual counterparty. The Company has presented all of the assets and liabilities related to these contracts on a gross basis, with no offsets, in its consolidated balance sheets. There is no financial collateral (including cash collateral) provided or received by the Company related to these contracts. The Company does not enter into or trade financial instruments, including derivative financial instruments, for speculative purposes.</w:t>
      </w:r>
    </w:p>
    <w:p>
      <w:pPr>
        <w:pStyle w:val="TextBody"/>
        <w:bidi w:val="0"/>
        <w:spacing w:lineRule="auto" w:line="288" w:before="18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(m)Employee Benefits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Contributions to defined contribution plans are charged to the consolidated statements of income in the period in which services are rendered by the covered employees. Current service costs for defined benefit plans are recognized in the period to which they relate. The liability in respect of defined benefit plans is calculated annually by the Company using the projected unit credit method.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annual amounts relating to its defined benefit plans using actuarial assumptions such as discount rates, mortality, assumed rates of return on plan assets, future compensation increases and attrition rates. The Company reviews its assumptions on an annual basis and makes modifications to the assumptions as needed.</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includes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and prior period service costs, are included in “Other income/(expense), net.” Refer to Note 20 - Employee Benefit Plans to the consolidated financial statements.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its liabilities for compensated absences depending on whether the obligation is attributable to employee services already rendered, rights to compensated absences vest or accumulate and payment is probable and estimable.</w:t>
      </w:r>
    </w:p>
    <w:p>
      <w:pPr>
        <w:pStyle w:val="TextBody"/>
        <w:bidi w:val="0"/>
        <w:spacing w:lineRule="auto" w:line="288" w:before="18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(n)Stock-Based Compensation</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in the consolidated statements of income for awards of equity instruments to employees and non-employee directors based on the grant-date fair value of those awards. The Company recognizes these compensation costs on straight-line basis over the requisite service period of the award, or to the date on which retirement eligibility is achieved, if shorter. Forfeitures are accounted when the actual forfeitures occur.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June 17, 2025, the Company’s stockholders approved the 2025 Omnibus Incentive Plan (the "2025 Plan"), which among other things, reserves 6,800,000 shares (as adjusted under the terms thereof) of the Company’s common stock for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awards under the 2025 Plan, at which time new awards under the 2018 Omnibus Incentive Plan (the "2018 Plan") were not permitted to be made, but outstanding awards under the 2018 Plan will continued to be governed by the terms thereof.</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Company’s Plans (the “2025 Plan and the 2018 Plan”), the Company grants performance-based restricted stock units (“PRSUs”) to executive officers and other specified employees. Generally, the Company grants PRSUs that cliff vest based on an aggregated revenue target (“PU”) for a three-year period, and PRSUs that are based on market conditions (“MU”) and cliff vest upon meeting or exceeding the Company's total shareholder return relative to a group of peer companies specified under the Plans, and are measured over a three-year performance period. The award recipient may earn up to 200% of the PRSUs granted based on the actual achievement of the respective targets. However, the features of the equity incentive compensation program are subject to change by the Compensation and Talent Management Committee of the Company’s board of directors.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PU is determined based on the market price of one common share of the Company on the day prior to the date of grant, and the associated compensation expense is calculated on the basis that performance targets at 100% are probable of being achieved. The compensation expense for the PU is recognized on a straight-line basis over the service period, which is through the end of the third year. Over this period, the number of shares that will be issued is adjusted upward or downward based upon the probability of achievement of the performance targets. The final number of shares issued and the related compensation cost recognized as an expense will be based on a comparison of the final performance metrics to the specified targets. The expense related to the unvested PU as of December 31, 2025 was based on the Company's assessment of performance criteria for these grants that would most likely be met during the respective years of vesting against the targeted performance level.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grant date fair value for the MUs is determined using a Monte Carlo simulation model and the related compensation expense is expensed on a straight-line basis over the vesting period. All compensation expense related to the MU will be recognized if the requisite performance period is fulfilled, regardless of the extent of the market condition achieved.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associated with the Company's 2022 Employee Stock Purchase Plan (“ESPP”) is measured at fair-value using a Black-Scholes option-pricing model at the commencement of each offering period and recognized over that offering period.</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(o)Income Taxes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consolidated statements of income in the period in which the change is identified. The Company releases (reclassifies) the tax effects from AOCI to the consolidated statements of income at the time of settlement of cash flows hedges and amortization of deferred actuarial gain/(loss) on retirement benefits. Deferred tax assets are reduced by a valuation allowance if, based on available evidence, it is more likely than not that some portion or all of the deferred tax assets will not be realized.</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establishes provisions for uncertain tax provisions and related interest and penalties when the Company believes those tax positions are not more likely than not of being sustained, if challenged.</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indefinitely reinvested earnings from its foreign subsidiaries through December 31, 2023, and has not recorded deferred tax liabilities for such earnings. Beginning 2024, the Company is not indefinitely investing current year earnings of the Company’s foreign disregarded subsidiaries and is not recording any deferred tax liabilities. However, the Company continues to indefinitely reinvest earnings from its controlled foreign corporation subsidiaries and has not recorded deferred tax liabilities for such earnings.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tax effects of Global Intangible Low-Taxed Income of certain foreign subsidiaries as a period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(p)Concentration of Credit Risk in Financial Instruments</w:t>
      </w:r>
    </w:p>
    <w:p>
      <w:pPr>
        <w:pStyle w:val="TextBody"/>
        <w:bidi w:val="0"/>
        <w:spacing w:lineRule="auto" w:line="288" w:before="180" w:after="180"/>
        <w:ind w:left="0" w:right="0" w:firstLine="450"/>
        <w:jc w:val="both"/>
        <w:rPr/>
      </w:pPr>
      <w:r>
        <w:rPr>
          <w:rFonts w:ascii="Times New Roman;serif" w:hAnsi="Times New Roman;serif"/>
          <w:b w:val="false"/>
          <w:color w:val="000000"/>
          <w:sz w:val="20"/>
        </w:rPr>
        <w:t>Financial instruments that potentially subject the Company to concentrations of credit risk consist principally of cash and cash equivalents, time deposits, mutual fund investments, accounts receivable and derivative financial instruments. Pursuant to the Company’s investment policy, surplus funds are maintained as cash equivalents and short-term investments, and are invested in highly-rated mutual funds, money market funds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customers</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To mitigate this risk, the Company conducts ongoing credit evaluations of its customers.</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(q)Fair value measurements</w:t>
      </w:r>
    </w:p>
    <w:p>
      <w:pPr>
        <w:pStyle w:val="TextBody"/>
        <w:bidi w:val="0"/>
        <w:spacing w:lineRule="auto" w:line="288" w:before="120" w:after="180"/>
        <w:ind w:left="0" w:right="0" w:firstLine="450"/>
        <w:jc w:val="both"/>
        <w:rPr/>
      </w:pPr>
      <w:r>
        <w:rPr>
          <w:rFonts w:ascii="Times New Roman;serif" w:hAnsi="Times New Roman;serif"/>
          <w:b w:val="false"/>
          <w:color w:val="000000"/>
          <w:sz w:val="20"/>
        </w:rPr>
        <w:t xml:space="preserve">In accordance with ASC Topic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the Company calculates fair value based on assumptions that market participants would use in pricing the asset or liability, rather than entity specific assumptions. The fair value hierarchy consists of the following three levels: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Level I — Quoted prices for identical instruments in active markets.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Level II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Level III — Instruments whose significant value drivers are unobservable.</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(r)Leases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contains a lease at the inception of the contract by assessing whether there is an identified asset and whether the Company has the right to control its use. At the lease commencement date, the Company classifies the lease as either an operating lease or a finance lease, based on the terms of the arrangement. </w:t>
      </w:r>
    </w:p>
    <w:p>
      <w:pPr>
        <w:pStyle w:val="TextBody"/>
        <w:bidi w:val="0"/>
        <w:spacing w:lineRule="auto" w:line="264" w:before="180" w:after="180"/>
        <w:ind w:left="0" w:right="0" w:firstLine="450"/>
        <w:jc w:val="both"/>
        <w:rPr/>
      </w:pPr>
      <w:r>
        <w:rPr>
          <w:rFonts w:ascii="Times New Roman;serif" w:hAnsi="Times New Roman;serif"/>
          <w:b w:val="false"/>
          <w:color w:val="000000"/>
          <w:sz w:val="20"/>
        </w:rPr>
        <w:t>Operating leases are presented within “Operating lease right-of-use assets,” “Current portion of operating lease liabilities” and “Operating lease liabilities, less current portion” in the Company's consolidated balance sheets. Long-lived assets underlying finance leases are presented within “Property and equipment, net”</w:t>
      </w:r>
      <w:r>
        <w:rPr>
          <w:color w:val="000000"/>
        </w:rPr>
        <w:t xml:space="preserve"> </w:t>
      </w:r>
      <w:r>
        <w:rPr>
          <w:rFonts w:ascii="Times New Roman;serif" w:hAnsi="Times New Roman;serif"/>
          <w:b w:val="false"/>
          <w:color w:val="000000"/>
          <w:sz w:val="20"/>
        </w:rPr>
        <w:t>and the current and non-current portion of finance lease liabilities are presented within “Accrued expenses and other current liabilities - others” and “other non-current liabilities - others,” respectively, in the Company's consolidated balance sheets.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Right-of-use (“ROU”) assets represent the Company’s right to use an underlying asset during the lease term and lease liabilities represent the Company’s obligation to make lease payments arising from the lease arrangement. Lease liabilities are recognized at commencement date based on the present value of lease payments over the lease term. Operating lease ROU assets are recognized at commencement date in an amount equal to lease liability, adjusted for any lease prepayments, initial direct costs, and lease incentives. For leases in which the rate implicit in the lease is not readily determinable, the Company uses its incremental borrowing rate based on the information available at commencement date. The Company determines the incremental borrowing rate by adjusting the benchmark reference rates with appropriate financing spreads applicable to the respective geographies where the leases are entered and lease specific adjustments for the effects of collateral, if applicable. Lease terms includes the effects of options to extend or terminate the lease when it is reasonably certain at commencement of the lease that the Company will exercise that option. Lease expense for operating lease arrangements is recognized on a straight-line basis over the lease term reflecting single operating lease cost. The Company evaluates lease agreements to determine lease and non-lease components, which are accounted for separately.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Lease payments that depend on factors other than an index or rate are considered variable lease payments and are excluded from the operating lease assets and liabilities and are recognized as expense in the period in which the obligation is incurred. Lease payments include payments for common area maintenance, utilities such as electricity, heating and water, among others, and property taxes, and other similar payments paid to the landlord, which are treated as non-lease component.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reviews ROU assets for impairment whenever events or changes in circumstances indicate that the related carrying amount may not be recoverable.</w:t>
      </w:r>
    </w:p>
    <w:p>
      <w:pPr>
        <w:pStyle w:val="TextBody"/>
        <w:bidi w:val="0"/>
        <w:spacing w:before="18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(s)Earnings per share</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attributable to common stockholders by the weighted average number of common shares outstanding, adjusted for outstanding shares that are subject to repurchase during the period. Diluted earnings per share is computed using the weighted average number of common shares issued and outstanding during the period plus the potentially dilutive effect of common stock equivalents, including outstanding stock options, restricted stock, restricted stock units and employee stock purchase plans. For the purposes of calculating diluted earnings per share, the treasury stock method is used for stock-based awards. The Company includes performance stock unit awards in dilutive potential common shares when they become contingently issuable and have a dilutive impact per authoritative guidance and excludes such awards when they are not contingently issuable.</w:t>
      </w:r>
    </w:p>
    <w:p>
      <w:pPr>
        <w:pStyle w:val="TextBody"/>
        <w:bidi w:val="0"/>
        <w:spacing w:lineRule="auto" w:line="288" w:before="18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(t)Commitments and Contingencies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Liabilities for loss contingencies arising from claims, assessments, litigation, fines and penalties, and other sources are recognized when it is probable that a liability has been incurred and the amount of the assessment and/or remediation can be reasonably estimated. Legal costs incurred in connection with such liabilities are expensed as incurred. Capital commitments are disclosed in the financial statements.</w:t>
      </w:r>
    </w:p>
    <w:p>
      <w:pPr>
        <w:pStyle w:val="TextBody"/>
        <w:bidi w:val="0"/>
        <w:spacing w:lineRule="auto" w:line="288" w:before="18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(u)Recent Accounting Pronouncements</w:t>
      </w:r>
    </w:p>
    <w:p>
      <w:pPr>
        <w:pStyle w:val="TextBody"/>
        <w:bidi w:val="0"/>
        <w:spacing w:lineRule="auto" w:line="268" w:before="180" w:after="180"/>
        <w:ind w:left="0" w:right="0" w:firstLine="450"/>
        <w:jc w:val="both"/>
        <w:rPr/>
      </w:pPr>
      <w:r>
        <w:rPr>
          <w:rFonts w:ascii="Times New Roman;serif" w:hAnsi="Times New Roman;serif"/>
          <w:b w:val="false"/>
          <w:color w:val="000000"/>
          <w:sz w:val="20"/>
        </w:rPr>
        <w:t xml:space="preserve">In November 2024, the Financial Accounting Standards Board (“FASB”) issued ASU No. 2024-03, </w:t>
      </w:r>
      <w:r>
        <w:rPr>
          <w:rFonts w:ascii="Times New Roman;serif" w:hAnsi="Times New Roman;serif"/>
          <w:b w:val="false"/>
          <w:i/>
          <w:color w:val="000000"/>
          <w:sz w:val="20"/>
        </w:rPr>
        <w:t>Income Statement - Reporting Comprehensive Income</w:t>
      </w:r>
      <w:r>
        <w:rPr>
          <w:color w:val="000000"/>
        </w:rPr>
        <w:t xml:space="preserve"> </w:t>
      </w:r>
      <w:r>
        <w:rPr>
          <w:rFonts w:ascii="Times New Roman;serif" w:hAnsi="Times New Roman;serif"/>
          <w:b w:val="false"/>
          <w:color w:val="000000"/>
          <w:sz w:val="20"/>
        </w:rPr>
        <w:t>(“ASC Topic 220”): Expense Disaggregation Disclosures. This ASU improves disclosures relating to the disaggregation of income statement expenses, requires additional disclosures about the nature of expenses in commonly presented financial statement captions on an annual and interim basis for all public business entities. The ASU will be effective for annual reporting periods beginning after December 15, 2026, and interim periods within annual reporting periods beginning after December 15, 2027, with early adoption permitted. The Company is currently evaluating the impact of this ASU on its consolidated financial statements.</w:t>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w:t>
      </w:r>
      <w:r>
        <w:rPr>
          <w:color w:val="000000"/>
        </w:rPr>
        <w:t xml:space="preserve"> </w:t>
      </w:r>
      <w:r>
        <w:rPr>
          <w:rFonts w:ascii="Times New Roman;serif" w:hAnsi="Times New Roman;serif"/>
          <w:b w:val="false"/>
          <w:color w:val="000000"/>
          <w:sz w:val="20"/>
        </w:rPr>
        <w:t>(“ASC Topic 326”): Measurement of Credit Losses for Accounts Receivable and Contract Assets. This ASU provides a practical expedient when estimating expected credit losses for current accounts receivable and current contract assets arising from transactions accounted for under ASC Topic 606. The ASU will be effective for annual reporting periods beginning after December 15, 2025, including interim periods within those years, with early adoption permitted. The Company is currently evaluating the impact of this ASU and does not expect it to have a material effect on the consolidated financial statements.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w:t>
      </w:r>
      <w:r>
        <w:rPr>
          <w:color w:val="000000"/>
        </w:rPr>
        <w:t xml:space="preserve"> </w:t>
      </w:r>
      <w:r>
        <w:rPr>
          <w:rFonts w:ascii="Times New Roman;serif" w:hAnsi="Times New Roman;serif"/>
          <w:b w:val="false"/>
          <w:color w:val="000000"/>
          <w:sz w:val="20"/>
        </w:rPr>
        <w:t>(Subtopic 350-40). This ASU enhances the guidance for internal-use software development costs by removing references to project stages and simplifying the criteria for when capitalization of software development costs shall begin. The ASU will be effective for annual reporting periods beginning after December 15, 2027, including interim periods within those years, with early adoption permitted. The Company is currently evaluating the impact of this ASU on its consolidated financial statements.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December 2025, the FASB issued ASU No. 2025-10, </w:t>
      </w:r>
      <w:r>
        <w:rPr>
          <w:rFonts w:ascii="Times New Roman;serif" w:hAnsi="Times New Roman;serif"/>
          <w:b w:val="false"/>
          <w:i/>
          <w:color w:val="000000"/>
          <w:sz w:val="20"/>
        </w:rPr>
        <w:t>Government Grants</w:t>
      </w:r>
      <w:r>
        <w:rPr>
          <w:color w:val="000000"/>
        </w:rPr>
        <w:t xml:space="preserve"> </w:t>
      </w:r>
      <w:r>
        <w:rPr>
          <w:rFonts w:ascii="Times New Roman;serif" w:hAnsi="Times New Roman;serif"/>
          <w:b w:val="false"/>
          <w:color w:val="000000"/>
          <w:sz w:val="20"/>
        </w:rPr>
        <w:t>(“ASC Topic 832”): Accounting for Government Grants Received by Business Entities. This ASU provides authoritative guidance on the recognition, measurement, presentation, and disclosure of government grants for business entities, creating a framework that previously did not exist under U.S. GAAP. The ASU will be effective for annual reporting periods beginning after December 15, 2028, including interim periods within those years, with early adoption permitted. The Company is currently evaluating the impact of this ASU on its consolidated financial statements.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w:t>
      </w:r>
      <w:r>
        <w:rPr>
          <w:color w:val="000000"/>
        </w:rPr>
        <w:t xml:space="preserve"> </w:t>
      </w:r>
      <w:r>
        <w:rPr>
          <w:rFonts w:ascii="Times New Roman;serif" w:hAnsi="Times New Roman;serif"/>
          <w:b w:val="false"/>
          <w:color w:val="000000"/>
          <w:sz w:val="20"/>
        </w:rPr>
        <w:t>(“ASC Topic 270”): Narrow-Scope Improvements. This ASU provides a comprehensive list of interim disclosures that are required by U.S. GAAP and incorporates disclosure principle of material events or changes occurred since the prior year-end. The ASU will be effective for interim reporting periods within annual reporting periods beginning after December 15, 2027, with early adoption permitted. The Company is currently evaluating the impact of this ASU on its consolidated financial statements.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76" w:before="180" w:after="180"/>
        <w:ind w:left="0" w:right="0" w:hanging="360"/>
        <w:jc w:val="both"/>
        <w:rPr/>
      </w:pPr>
      <w:r>
        <w:rPr>
          <w:rFonts w:ascii="Times New Roman;serif" w:hAnsi="Times New Roman;serif"/>
          <w:b/>
          <w:i/>
          <w:color w:val="000000"/>
          <w:sz w:val="20"/>
        </w:rPr>
        <w:t>(v)</w:t>
      </w:r>
      <w:r>
        <w:rPr>
          <w:color w:val="000000"/>
        </w:rPr>
        <w:t xml:space="preserve"> </w:t>
      </w:r>
      <w:r>
        <w:rPr>
          <w:rFonts w:ascii="Times New Roman;serif" w:hAnsi="Times New Roman;serif"/>
          <w:b/>
          <w:i/>
          <w:color w:val="000000"/>
          <w:sz w:val="20"/>
        </w:rPr>
        <w:t>Recently Adopted and Applicable Accounting Pronouncements</w:t>
      </w:r>
    </w:p>
    <w:p>
      <w:pPr>
        <w:pStyle w:val="TextBody"/>
        <w:bidi w:val="0"/>
        <w:spacing w:lineRule="auto" w:line="268" w:before="180" w:after="180"/>
        <w:ind w:left="0" w:right="0" w:firstLine="450"/>
        <w:jc w:val="both"/>
        <w:rPr/>
      </w:pPr>
      <w:r>
        <w:rPr>
          <w:rFonts w:ascii="Times New Roman;serif" w:hAnsi="Times New Roman;serif"/>
          <w:b w:val="false"/>
          <w:color w:val="000000"/>
          <w:sz w:val="20"/>
        </w:rPr>
        <w:t xml:space="preserve">In March 2024, FASB issued ASU No. 2024-01, </w:t>
      </w:r>
      <w:r>
        <w:rPr>
          <w:rFonts w:ascii="Times New Roman;serif" w:hAnsi="Times New Roman;serif"/>
          <w:b w:val="false"/>
          <w:i/>
          <w:color w:val="000000"/>
          <w:sz w:val="20"/>
        </w:rPr>
        <w:t>Compensation-Stock Compensation (“ASC Topic 718”)</w:t>
      </w:r>
      <w:r>
        <w:rPr>
          <w:rFonts w:ascii="Times New Roman;serif" w:hAnsi="Times New Roman;serif"/>
          <w:b w:val="false"/>
          <w:color w:val="000000"/>
          <w:sz w:val="20"/>
        </w:rPr>
        <w:t>. This ASU clarifies how to evaluate whether profits interest and similar awards given to employees and non-employees are within the scope of share-based payment arrangement under ASC Topic 718. The ASU will be effective for annual periods beginning after December 15, 2024, including interim periods within those years, with early adoption permitted. The Company has early adopted this ASU beginning January 1, 2024. The adoption of this ASU did not have a material impact on the Company’s consolidated financial statements.</w:t>
      </w:r>
    </w:p>
    <w:p>
      <w:pPr>
        <w:pStyle w:val="TextBody"/>
        <w:bidi w:val="0"/>
        <w:spacing w:lineRule="auto" w:line="268" w:before="180" w:after="180"/>
        <w:ind w:left="0" w:right="0" w:firstLine="450"/>
        <w:jc w:val="both"/>
        <w:rPr/>
      </w:pPr>
      <w:r>
        <w:rPr>
          <w:rFonts w:ascii="Times New Roman;serif" w:hAnsi="Times New Roman;serif"/>
          <w:b w:val="false"/>
          <w:color w:val="000000"/>
          <w:sz w:val="20"/>
        </w:rPr>
        <w:t xml:space="preserve">In December 2023, the FASB issued Accounting Standards Update (“ASU”) No.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(“Accounting Standards Codification (“ASC”) Topic 740”), Improvements to Income Tax Disclosures. This ASU expands disclosures relating to the entity’s income tax rate reconciliation, income taxes paid and certain other disclosures related to income taxes. The ASU is effective for annual periods beginning after December 15, 2024. The Company has adopted the disclosure requirements on a prospective basis, effective for the year ended December 31, 2025. Refer to Note 22 - Income Taxes to the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3. Segment Information</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a provider of data and AI-led solutions and services and digital operations solutions and services in an integrated manner for clients across industry verticals.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the Company implemented operational and structural changes to accelerate the execution of Company’s data and AI strategy and align with how the Company’s Chief Operating Decision Maker (“CODM”) reviews financial information and makes operating decisions. This new operating model comprises of Industry Market Units (“IMUs”) to focus on delivering higher value to clients leveraging full suite of capabilities; and Strategic Growth Units to focus on rapidly advancing the capabilities specific to various industries and client needs.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Consequently, the Company realigned its reportable segments to the IMUs as follows: </w:t>
      </w:r>
    </w:p>
    <w:p>
      <w:pPr>
        <w:pStyle w:val="TextBody"/>
        <w:bidi w:val="0"/>
        <w:spacing w:lineRule="auto" w:line="288" w:before="0" w:after="0"/>
        <w:ind w:left="0" w:right="0" w:firstLine="900"/>
        <w:jc w:val="left"/>
        <w:rPr>
          <w:color w:val="000000"/>
        </w:rPr>
      </w:pPr>
      <w:r>
        <w:rPr>
          <w:color w:val="000000"/>
        </w:rPr>
        <w:t>•    </w:t>
      </w:r>
      <w:r>
        <w:rPr>
          <w:rFonts w:ascii="Times New Roman;serif" w:hAnsi="Times New Roman;serif"/>
          <w:b w:val="false"/>
          <w:color w:val="000000"/>
          <w:sz w:val="20"/>
        </w:rPr>
        <w:t>Insurance</w:t>
      </w:r>
    </w:p>
    <w:p>
      <w:pPr>
        <w:pStyle w:val="TextBody"/>
        <w:bidi w:val="0"/>
        <w:spacing w:lineRule="auto" w:line="288" w:before="0" w:after="0"/>
        <w:ind w:left="0" w:right="0" w:firstLine="900"/>
        <w:jc w:val="left"/>
        <w:rPr>
          <w:color w:val="000000"/>
        </w:rPr>
      </w:pPr>
      <w:r>
        <w:rPr>
          <w:color w:val="000000"/>
        </w:rPr>
        <w:t>•    </w:t>
      </w:r>
      <w:r>
        <w:rPr>
          <w:rFonts w:ascii="Times New Roman;serif" w:hAnsi="Times New Roman;serif"/>
          <w:b w:val="false"/>
          <w:color w:val="000000"/>
          <w:sz w:val="20"/>
        </w:rPr>
        <w:t>Healthcare and Life Sciences,</w:t>
      </w:r>
    </w:p>
    <w:p>
      <w:pPr>
        <w:pStyle w:val="TextBody"/>
        <w:bidi w:val="0"/>
        <w:spacing w:lineRule="auto" w:line="288" w:before="0" w:after="0"/>
        <w:ind w:left="0" w:right="0" w:firstLine="900"/>
        <w:jc w:val="left"/>
        <w:rPr>
          <w:color w:val="000000"/>
        </w:rPr>
      </w:pPr>
      <w:r>
        <w:rPr>
          <w:color w:val="000000"/>
        </w:rPr>
        <w:t>•    </w:t>
      </w:r>
      <w:r>
        <w:rPr>
          <w:rFonts w:ascii="Times New Roman;serif" w:hAnsi="Times New Roman;serif"/>
          <w:b w:val="false"/>
          <w:color w:val="000000"/>
          <w:sz w:val="20"/>
        </w:rPr>
        <w:t>Banking, Capital Markets and Diversified Industries,</w:t>
      </w:r>
    </w:p>
    <w:p>
      <w:pPr>
        <w:pStyle w:val="TextBody"/>
        <w:bidi w:val="0"/>
        <w:spacing w:lineRule="auto" w:line="288" w:before="0" w:after="0"/>
        <w:ind w:left="0" w:right="0" w:firstLine="900"/>
        <w:jc w:val="left"/>
        <w:rPr>
          <w:color w:val="000000"/>
        </w:rPr>
      </w:pPr>
      <w:r>
        <w:rPr>
          <w:color w:val="000000"/>
        </w:rPr>
        <w:t>•    </w:t>
      </w:r>
      <w:r>
        <w:rPr>
          <w:rFonts w:ascii="Times New Roman;serif" w:hAnsi="Times New Roman;serif"/>
          <w:b w:val="false"/>
          <w:color w:val="000000"/>
          <w:sz w:val="20"/>
        </w:rPr>
        <w:t>International Growth Markets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changes in the new reportable segments reflect 1) the integration of the former Analytics reportable segment as a core capability within each of the IMUs, ensuring alignment with the specialized needs of clients across IMUs, 2) the reorganization of the former Emerging Business reportable segment into a Banking, Capital Markets and Diversified Industries reportable segment, excluding Life Sciences, which is now a part of the new Healthcare and Life Sciences reportable segment, and 3) the formation of International Growth Markets as a separate IMU to represent all services and solutions offerings to clients in the United Kingdom, Europe, Middle East, Asia-Pacific and South Africa geographies across all industry verticals. The International Growth Markets IMU is helping the Company strategically expand its footprint in markets outside of North America and drive focus on offerings and expansion in those markets in new and existing clients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revenues by service type are now presented as data and AI-led solutions and services and digital operations solutions and services. Revenues attributable to geographical regions are now presented as North America (including the United States, Canada and Mexico), the United Kingdom &amp; Europe, and the Rest of World.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recast segment disclosures for the prior periods presented herein to conform to the new segment structure. This change in segment presentation does not affect the Company’s consolidated statements of income, balance sheets or statements of cash flows.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has been identified as the CODM. The CODM generally reviews financial information such as revenues, cost of revenues and gross profit to allocate an overall budget and measure segment performance.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net and cost of revenues for the years ended December 31, 2025, 2024 and 2023, respectively, for each of the reportable segments, are as follows:</w:t>
      </w:r>
    </w:p>
    <w:tbl>
      <w:tblPr>
        <w:tblW w:w="10205" w:type="dxa"/>
        <w:jc w:val="left"/>
        <w:tblInd w:w="0" w:type="dxa"/>
        <w:tblLayout w:type="fixed"/>
        <w:tblCellMar>
          <w:top w:w="28" w:type="dxa"/>
          <w:left w:w="28" w:type="dxa"/>
          <w:bottom w:w="28" w:type="dxa"/>
          <w:right w:w="28" w:type="dxa"/>
        </w:tblCellMar>
      </w:tblPr>
      <w:tblGrid>
        <w:gridCol w:w="844"/>
        <w:gridCol w:w="685"/>
        <w:gridCol w:w="552"/>
        <w:gridCol w:w="211"/>
        <w:gridCol w:w="826"/>
        <w:gridCol w:w="109"/>
        <w:gridCol w:w="109"/>
        <w:gridCol w:w="109"/>
        <w:gridCol w:w="109"/>
        <w:gridCol w:w="244"/>
        <w:gridCol w:w="959"/>
        <w:gridCol w:w="126"/>
        <w:gridCol w:w="109"/>
        <w:gridCol w:w="109"/>
        <w:gridCol w:w="109"/>
        <w:gridCol w:w="301"/>
        <w:gridCol w:w="1181"/>
        <w:gridCol w:w="155"/>
        <w:gridCol w:w="109"/>
        <w:gridCol w:w="109"/>
        <w:gridCol w:w="109"/>
        <w:gridCol w:w="249"/>
        <w:gridCol w:w="978"/>
        <w:gridCol w:w="129"/>
        <w:gridCol w:w="109"/>
        <w:gridCol w:w="109"/>
        <w:gridCol w:w="109"/>
        <w:gridCol w:w="211"/>
        <w:gridCol w:w="976"/>
        <w:gridCol w:w="161"/>
      </w:tblGrid>
      <w:tr>
        <w:trPr/>
        <w:tc>
          <w:tcPr>
            <w:tcW w:w="8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Insurance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Healthcare and Life Sciences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Banking, Capital Markets and Diversified Industries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 Growth Markets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532,584 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2,087,679 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Employee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Infrastructure and technology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costs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487,326 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 interest expense and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 and earnings from equity affiliates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315,052 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Exclusive of depreciation and amortization expense.</w:t>
      </w:r>
    </w:p>
    <w:p>
      <w:pPr>
        <w:pStyle w:val="TextBody"/>
        <w:bidi w:val="0"/>
        <w:spacing w:lineRule="auto" w:line="288" w:before="80" w:after="180"/>
        <w:jc w:val="both"/>
        <w:rPr>
          <w:rFonts w:ascii="Times New Roman;serif" w:hAnsi="Times New Roman;serif"/>
          <w:b w:val="false"/>
          <w:color w:val="000000"/>
          <w:sz w:val="20"/>
        </w:rPr>
      </w:pPr>
      <w:r>
        <w:rPr>
          <w:rFonts w:ascii="Times New Roman;serif" w:hAnsi="Times New Roman;serif"/>
          <w:b w:val="false"/>
          <w:color w:val="000000"/>
          <w:sz w:val="20"/>
        </w:rPr>
        <w:t>(2) Other costs primarily include travel and entertainment costs and other direct pass-through expenses related to client contracts for the Company’s direct marketing business.</w:t>
      </w:r>
    </w:p>
    <w:tbl>
      <w:tblPr>
        <w:tblW w:w="10205" w:type="dxa"/>
        <w:jc w:val="left"/>
        <w:tblInd w:w="0" w:type="dxa"/>
        <w:tblLayout w:type="fixed"/>
        <w:tblCellMar>
          <w:top w:w="28" w:type="dxa"/>
          <w:left w:w="28" w:type="dxa"/>
          <w:bottom w:w="28" w:type="dxa"/>
          <w:right w:w="28" w:type="dxa"/>
        </w:tblCellMar>
      </w:tblPr>
      <w:tblGrid>
        <w:gridCol w:w="844"/>
        <w:gridCol w:w="685"/>
        <w:gridCol w:w="552"/>
        <w:gridCol w:w="211"/>
        <w:gridCol w:w="826"/>
        <w:gridCol w:w="109"/>
        <w:gridCol w:w="109"/>
        <w:gridCol w:w="109"/>
        <w:gridCol w:w="109"/>
        <w:gridCol w:w="244"/>
        <w:gridCol w:w="959"/>
        <w:gridCol w:w="126"/>
        <w:gridCol w:w="109"/>
        <w:gridCol w:w="109"/>
        <w:gridCol w:w="109"/>
        <w:gridCol w:w="301"/>
        <w:gridCol w:w="1181"/>
        <w:gridCol w:w="155"/>
        <w:gridCol w:w="109"/>
        <w:gridCol w:w="109"/>
        <w:gridCol w:w="109"/>
        <w:gridCol w:w="249"/>
        <w:gridCol w:w="978"/>
        <w:gridCol w:w="129"/>
        <w:gridCol w:w="109"/>
        <w:gridCol w:w="109"/>
        <w:gridCol w:w="109"/>
        <w:gridCol w:w="211"/>
        <w:gridCol w:w="976"/>
        <w:gridCol w:w="161"/>
      </w:tblGrid>
      <w:tr>
        <w:trPr/>
        <w:tc>
          <w:tcPr>
            <w:tcW w:w="8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Insurance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Healthcare and Life Sciences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Banking, Capital Markets and Diversified Industries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 Growth Markets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430,679 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324,558 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Employee costs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Infrastructure and technology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costs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427,393 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 interest expense and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 and earnings from equity affiliates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261,347 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(1) Exclusive of depreciation and amortization expense.</w:t>
      </w:r>
    </w:p>
    <w:p>
      <w:pPr>
        <w:pStyle w:val="TextBody"/>
        <w:bidi w:val="0"/>
        <w:spacing w:lineRule="auto" w:line="288" w:before="80" w:after="180"/>
        <w:jc w:val="both"/>
        <w:rPr>
          <w:rFonts w:ascii="Times New Roman;serif" w:hAnsi="Times New Roman;serif"/>
          <w:b w:val="false"/>
          <w:color w:val="000000"/>
          <w:sz w:val="20"/>
        </w:rPr>
      </w:pPr>
      <w:r>
        <w:rPr>
          <w:rFonts w:ascii="Times New Roman;serif" w:hAnsi="Times New Roman;serif"/>
          <w:b w:val="false"/>
          <w:color w:val="000000"/>
          <w:sz w:val="20"/>
        </w:rPr>
        <w:t>(2) Employee costs include restructuring costs of $782, $267, $1,050 and $979 for Insurance, Healthcare and Life Sciences, Banking, Capital Markets and Diversified Industries and International Growth Markets, respectively. Refer to Note 26 – Restructuring Costs to the consolidated financial statements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80" w:after="180"/>
        <w:jc w:val="both"/>
        <w:rPr>
          <w:rFonts w:ascii="Times New Roman;serif" w:hAnsi="Times New Roman;serif"/>
          <w:b w:val="false"/>
          <w:color w:val="000000"/>
          <w:sz w:val="20"/>
        </w:rPr>
      </w:pPr>
      <w:r>
        <w:rPr>
          <w:rFonts w:ascii="Times New Roman;serif" w:hAnsi="Times New Roman;serif"/>
          <w:b w:val="false"/>
          <w:color w:val="000000"/>
          <w:sz w:val="20"/>
        </w:rPr>
        <w:t>(3) Other costs primarily include travel and entertainment costs and other direct pass-through expenses related to client contracts for the Company’s direct marketing business.</w:t>
      </w:r>
    </w:p>
    <w:p>
      <w:pPr>
        <w:pStyle w:val="TextBody"/>
        <w:bidi w:val="0"/>
        <w:spacing w:before="180" w:after="18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844"/>
        <w:gridCol w:w="685"/>
        <w:gridCol w:w="552"/>
        <w:gridCol w:w="211"/>
        <w:gridCol w:w="826"/>
        <w:gridCol w:w="109"/>
        <w:gridCol w:w="109"/>
        <w:gridCol w:w="109"/>
        <w:gridCol w:w="109"/>
        <w:gridCol w:w="244"/>
        <w:gridCol w:w="959"/>
        <w:gridCol w:w="126"/>
        <w:gridCol w:w="109"/>
        <w:gridCol w:w="109"/>
        <w:gridCol w:w="109"/>
        <w:gridCol w:w="301"/>
        <w:gridCol w:w="1181"/>
        <w:gridCol w:w="155"/>
        <w:gridCol w:w="109"/>
        <w:gridCol w:w="109"/>
        <w:gridCol w:w="109"/>
        <w:gridCol w:w="249"/>
        <w:gridCol w:w="978"/>
        <w:gridCol w:w="129"/>
        <w:gridCol w:w="109"/>
        <w:gridCol w:w="109"/>
        <w:gridCol w:w="109"/>
        <w:gridCol w:w="211"/>
        <w:gridCol w:w="976"/>
        <w:gridCol w:w="161"/>
      </w:tblGrid>
      <w:tr>
        <w:trPr/>
        <w:tc>
          <w:tcPr>
            <w:tcW w:w="8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2023</w:t>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Insurance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Healthcare and Life Sciences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Banking, Capital Markets and Diversified Industries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 Growth Markets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366,392 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266,045 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Employee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Infrastructure and technology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costs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369,011 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 interest expense and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 and earnings from equity affiliates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237,941 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Exclusive of depreciation and amortization expense.</w:t>
      </w:r>
    </w:p>
    <w:p>
      <w:pPr>
        <w:pStyle w:val="TextBody"/>
        <w:bidi w:val="0"/>
        <w:spacing w:lineRule="auto" w:line="288" w:before="80" w:after="180"/>
        <w:jc w:val="both"/>
        <w:rPr>
          <w:rFonts w:ascii="Times New Roman;serif" w:hAnsi="Times New Roman;serif"/>
          <w:b w:val="false"/>
          <w:color w:val="000000"/>
          <w:sz w:val="20"/>
        </w:rPr>
      </w:pPr>
      <w:r>
        <w:rPr>
          <w:rFonts w:ascii="Times New Roman;serif" w:hAnsi="Times New Roman;serif"/>
          <w:b w:val="false"/>
          <w:color w:val="000000"/>
          <w:sz w:val="20"/>
        </w:rPr>
        <w:t>(2) Other costs primarily include travel and entertainment costs and other direct pass-through expenses related to client contracts for the Company’s direct marketing business.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net by service type, were as follows:</w:t>
      </w:r>
    </w:p>
    <w:tbl>
      <w:tblPr>
        <w:tblW w:w="6386" w:type="dxa"/>
        <w:jc w:val="left"/>
        <w:tblInd w:w="0" w:type="dxa"/>
        <w:tblLayout w:type="fixed"/>
        <w:tblCellMar>
          <w:top w:w="28" w:type="dxa"/>
          <w:left w:w="28" w:type="dxa"/>
          <w:bottom w:w="28" w:type="dxa"/>
          <w:right w:w="28" w:type="dxa"/>
        </w:tblCellMar>
      </w:tblPr>
      <w:tblGrid>
        <w:gridCol w:w="650"/>
        <w:gridCol w:w="573"/>
        <w:gridCol w:w="576"/>
        <w:gridCol w:w="211"/>
        <w:gridCol w:w="976"/>
        <w:gridCol w:w="109"/>
        <w:gridCol w:w="109"/>
        <w:gridCol w:w="109"/>
        <w:gridCol w:w="109"/>
        <w:gridCol w:w="211"/>
        <w:gridCol w:w="976"/>
        <w:gridCol w:w="109"/>
        <w:gridCol w:w="109"/>
        <w:gridCol w:w="109"/>
        <w:gridCol w:w="109"/>
        <w:gridCol w:w="211"/>
        <w:gridCol w:w="97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45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Data and AI-led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Digital operations </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(1) Data and AI-led revenue comes from AI-powered solutions and services in which the Company embeds data and AI into client workflows, leveraging the Company’s depth of domain knowledge, analytics, data management and digital engineering expertise. Company’s digital and AI capabilities that drive data and technology-led transformation for the clients include generative AI, reinforcement learning, hyper automation, cloud data management, conversational AI, robotics, enterprise architecture development, integration platform as a service and AI for operations.</w:t>
      </w:r>
    </w:p>
    <w:p>
      <w:pPr>
        <w:pStyle w:val="TextBody"/>
        <w:bidi w:val="0"/>
        <w:spacing w:lineRule="auto" w:line="268" w:before="180" w:after="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(2) Digital operations revenue comes from the technology-enabled managed services that blend Company’s deep domain expertise with industry-specific solutions and services that help clients run business functions with enhanced productivity, greater speed and improved accuracy. The Company applies deep industry expertise and tailored technology—whether its proprietary technology or client technology—to solve complex challenges and drive measurable outcomes. These digital operations deployments form the foundation for future client transformation opportunities to infuse AI into client workflows and unlock even greater value.</w:t>
      </w:r>
    </w:p>
    <w:p>
      <w:pPr>
        <w:pStyle w:val="TextBody"/>
        <w:bidi w:val="0"/>
        <w:spacing w:lineRule="auto" w:line="268" w:before="180" w:after="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All four reportable segments of the Company include revenues from both data and AI-led solutions and services and digital operations solutions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180" w:after="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attributes revenues based on geographical markets where the customer operations being served by it are located.</w:t>
      </w:r>
    </w:p>
    <w:tbl>
      <w:tblPr>
        <w:tblW w:w="6896" w:type="dxa"/>
        <w:jc w:val="left"/>
        <w:tblInd w:w="0" w:type="dxa"/>
        <w:tblLayout w:type="fixed"/>
        <w:tblCellMar>
          <w:top w:w="28" w:type="dxa"/>
          <w:left w:w="28" w:type="dxa"/>
          <w:bottom w:w="28" w:type="dxa"/>
          <w:right w:w="28" w:type="dxa"/>
        </w:tblCellMar>
      </w:tblPr>
      <w:tblGrid>
        <w:gridCol w:w="837"/>
        <w:gridCol w:w="734"/>
        <w:gridCol w:w="738"/>
        <w:gridCol w:w="211"/>
        <w:gridCol w:w="976"/>
        <w:gridCol w:w="109"/>
        <w:gridCol w:w="109"/>
        <w:gridCol w:w="109"/>
        <w:gridCol w:w="109"/>
        <w:gridCol w:w="211"/>
        <w:gridCol w:w="976"/>
        <w:gridCol w:w="109"/>
        <w:gridCol w:w="109"/>
        <w:gridCol w:w="109"/>
        <w:gridCol w:w="109"/>
        <w:gridCol w:w="211"/>
        <w:gridCol w:w="97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net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&amp; 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Revenues, net by industry verticals, were as follows:</w:t>
      </w:r>
    </w:p>
    <w:tbl>
      <w:tblPr>
        <w:tblW w:w="8981" w:type="dxa"/>
        <w:jc w:val="left"/>
        <w:tblInd w:w="0" w:type="dxa"/>
        <w:tblLayout w:type="fixed"/>
        <w:tblCellMar>
          <w:top w:w="28" w:type="dxa"/>
          <w:left w:w="28" w:type="dxa"/>
          <w:bottom w:w="28" w:type="dxa"/>
          <w:right w:w="28" w:type="dxa"/>
        </w:tblCellMar>
      </w:tblPr>
      <w:tblGrid>
        <w:gridCol w:w="1588"/>
        <w:gridCol w:w="1397"/>
        <w:gridCol w:w="1409"/>
        <w:gridCol w:w="211"/>
        <w:gridCol w:w="976"/>
        <w:gridCol w:w="109"/>
        <w:gridCol w:w="109"/>
        <w:gridCol w:w="109"/>
        <w:gridCol w:w="109"/>
        <w:gridCol w:w="211"/>
        <w:gridCol w:w="976"/>
        <w:gridCol w:w="109"/>
        <w:gridCol w:w="109"/>
        <w:gridCol w:w="109"/>
        <w:gridCol w:w="109"/>
        <w:gridCol w:w="211"/>
        <w:gridCol w:w="976"/>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Banking, Capital Markets and Diversified Industries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Long-lived assets by geographic area, which consist of property and equipment, net and operating lease ROU assets were as follows:</w:t>
      </w:r>
    </w:p>
    <w:tbl>
      <w:tblPr>
        <w:tblW w:w="5035" w:type="dxa"/>
        <w:jc w:val="left"/>
        <w:tblInd w:w="0" w:type="dxa"/>
        <w:tblLayout w:type="fixed"/>
        <w:tblCellMar>
          <w:top w:w="28" w:type="dxa"/>
          <w:left w:w="28" w:type="dxa"/>
          <w:bottom w:w="28" w:type="dxa"/>
          <w:right w:w="28" w:type="dxa"/>
        </w:tblCellMar>
      </w:tblPr>
      <w:tblGrid>
        <w:gridCol w:w="571"/>
        <w:gridCol w:w="500"/>
        <w:gridCol w:w="503"/>
        <w:gridCol w:w="284"/>
        <w:gridCol w:w="1114"/>
        <w:gridCol w:w="147"/>
        <w:gridCol w:w="109"/>
        <w:gridCol w:w="109"/>
        <w:gridCol w:w="109"/>
        <w:gridCol w:w="281"/>
        <w:gridCol w:w="1103"/>
        <w:gridCol w:w="205"/>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Philippines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Revenues, net and Accounts Receivable, net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 to Note 3 - Segment Information to the consolidated financial statements for revenues disaggregated by reportable segments, service type, geography and industry verticals.</w:t>
      </w:r>
    </w:p>
    <w:p>
      <w:pPr>
        <w:pStyle w:val="TextBody"/>
        <w:bidi w:val="0"/>
        <w:spacing w:lineRule="auto" w:line="288" w:before="18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Contract balances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contract assets and contract liabilities from contracts with customers:</w:t>
      </w:r>
    </w:p>
    <w:tbl>
      <w:tblPr>
        <w:tblW w:w="8468" w:type="dxa"/>
        <w:jc w:val="left"/>
        <w:tblInd w:w="0" w:type="dxa"/>
        <w:tblLayout w:type="fixed"/>
        <w:tblCellMar>
          <w:top w:w="28" w:type="dxa"/>
          <w:left w:w="28" w:type="dxa"/>
          <w:bottom w:w="28" w:type="dxa"/>
          <w:right w:w="28" w:type="dxa"/>
        </w:tblCellMar>
      </w:tblPr>
      <w:tblGrid>
        <w:gridCol w:w="1693"/>
        <w:gridCol w:w="1489"/>
        <w:gridCol w:w="1498"/>
        <w:gridCol w:w="109"/>
        <w:gridCol w:w="109"/>
        <w:gridCol w:w="109"/>
        <w:gridCol w:w="284"/>
        <w:gridCol w:w="1114"/>
        <w:gridCol w:w="147"/>
        <w:gridCol w:w="109"/>
        <w:gridCol w:w="109"/>
        <w:gridCol w:w="109"/>
        <w:gridCol w:w="281"/>
        <w:gridCol w:w="1103"/>
        <w:gridCol w:w="205"/>
      </w:tblGrid>
      <w:tr>
        <w:trPr/>
        <w:tc>
          <w:tcPr>
            <w:tcW w:w="169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8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6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304,322 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 (consideration received in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Consideration received for process transition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includes $141,653 and $121,817 as of December 31, 2025 and 2024, respectively, representing unbilled receivables. The Company has accrued the unbilled receivables for work performed in accordance with the terms of contracts with customers and considers no performance risk associated with its unbilled receivables. Contract assets as of December 31, 2025 and 2024, includes receivables of $24,849 and $33,472, respectively, from payment integrity services. There are no performance risks associated with these contract assets.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significant cumulative catch-up impact or impairment related to contract assets as of December 31, 2025 and 2024.</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recognized during the years ended December 31, 2025 and 2024, which was included in the contract liabilities balance at the beginning of the respective periods:</w:t>
      </w:r>
    </w:p>
    <w:tbl>
      <w:tblPr>
        <w:tblW w:w="6894" w:type="dxa"/>
        <w:jc w:val="left"/>
        <w:tblInd w:w="0" w:type="dxa"/>
        <w:tblLayout w:type="fixed"/>
        <w:tblCellMar>
          <w:top w:w="28" w:type="dxa"/>
          <w:left w:w="28" w:type="dxa"/>
          <w:bottom w:w="28" w:type="dxa"/>
          <w:right w:w="28" w:type="dxa"/>
        </w:tblCellMar>
      </w:tblPr>
      <w:tblGrid>
        <w:gridCol w:w="1647"/>
        <w:gridCol w:w="1447"/>
        <w:gridCol w:w="1451"/>
        <w:gridCol w:w="211"/>
        <w:gridCol w:w="721"/>
        <w:gridCol w:w="109"/>
        <w:gridCol w:w="109"/>
        <w:gridCol w:w="109"/>
        <w:gridCol w:w="109"/>
        <w:gridCol w:w="211"/>
        <w:gridCol w:w="61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(consideration received in advance)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Consideration received for process transition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left"/>
        <w:rPr>
          <w:rFonts w:ascii="Times New Roman;serif" w:hAnsi="Times New Roman;serif"/>
          <w:b/>
          <w:color w:val="000000"/>
          <w:sz w:val="20"/>
          <w:u w:val="single"/>
        </w:rPr>
      </w:pPr>
      <w:r>
        <w:rPr>
          <w:rFonts w:ascii="Times New Roman;serif" w:hAnsi="Times New Roman;serif"/>
          <w:b/>
          <w:color w:val="000000"/>
          <w:sz w:val="20"/>
          <w:u w:val="single"/>
        </w:rPr>
        <w:t>Contract acquisition and fulfillment costs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Company’s contract acquisition and fulfillment costs:</w:t>
      </w:r>
    </w:p>
    <w:tbl>
      <w:tblPr>
        <w:tblW w:w="6808" w:type="dxa"/>
        <w:jc w:val="left"/>
        <w:tblInd w:w="0" w:type="dxa"/>
        <w:tblLayout w:type="fixed"/>
        <w:tblCellMar>
          <w:top w:w="28" w:type="dxa"/>
          <w:left w:w="28" w:type="dxa"/>
          <w:bottom w:w="28" w:type="dxa"/>
          <w:right w:w="28" w:type="dxa"/>
        </w:tblCellMar>
      </w:tblPr>
      <w:tblGrid>
        <w:gridCol w:w="543"/>
        <w:gridCol w:w="477"/>
        <w:gridCol w:w="479"/>
        <w:gridCol w:w="109"/>
        <w:gridCol w:w="109"/>
        <w:gridCol w:w="109"/>
        <w:gridCol w:w="211"/>
        <w:gridCol w:w="617"/>
        <w:gridCol w:w="109"/>
        <w:gridCol w:w="109"/>
        <w:gridCol w:w="109"/>
        <w:gridCol w:w="109"/>
        <w:gridCol w:w="211"/>
        <w:gridCol w:w="617"/>
        <w:gridCol w:w="109"/>
        <w:gridCol w:w="109"/>
        <w:gridCol w:w="109"/>
        <w:gridCol w:w="109"/>
        <w:gridCol w:w="211"/>
        <w:gridCol w:w="721"/>
        <w:gridCol w:w="109"/>
        <w:gridCol w:w="109"/>
        <w:gridCol w:w="109"/>
        <w:gridCol w:w="109"/>
        <w:gridCol w:w="211"/>
        <w:gridCol w:w="721"/>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 Fulfillment Costs</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was no significant impairment for contract acquisition and contract fulfillment costs as of December 31, 2025 and 2024.</w:t>
      </w:r>
    </w:p>
    <w:p>
      <w:pPr>
        <w:pStyle w:val="TextBody"/>
        <w:bidi w:val="0"/>
        <w:spacing w:before="180" w:after="18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47" w:before="180" w:after="180"/>
        <w:jc w:val="both"/>
        <w:rPr>
          <w:rFonts w:ascii="Times New Roman;serif" w:hAnsi="Times New Roman;serif"/>
          <w:b/>
          <w:color w:val="000000"/>
          <w:sz w:val="20"/>
        </w:rPr>
      </w:pPr>
      <w:r>
        <w:rPr>
          <w:rFonts w:ascii="Times New Roman;serif" w:hAnsi="Times New Roman;serif"/>
          <w:b/>
          <w:color w:val="000000"/>
          <w:sz w:val="20"/>
        </w:rPr>
        <w:t>Allowance for expected credit losses</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net of allowance for expected credit losses:</w:t>
      </w:r>
    </w:p>
    <w:tbl>
      <w:tblPr>
        <w:tblW w:w="8137" w:type="dxa"/>
        <w:jc w:val="left"/>
        <w:tblInd w:w="0" w:type="dxa"/>
        <w:tblLayout w:type="fixed"/>
        <w:tblCellMar>
          <w:top w:w="28" w:type="dxa"/>
          <w:left w:w="28" w:type="dxa"/>
          <w:bottom w:w="28" w:type="dxa"/>
          <w:right w:w="28" w:type="dxa"/>
        </w:tblCellMar>
      </w:tblPr>
      <w:tblGrid>
        <w:gridCol w:w="1574"/>
        <w:gridCol w:w="1385"/>
        <w:gridCol w:w="1390"/>
        <w:gridCol w:w="109"/>
        <w:gridCol w:w="109"/>
        <w:gridCol w:w="109"/>
        <w:gridCol w:w="284"/>
        <w:gridCol w:w="1114"/>
        <w:gridCol w:w="147"/>
        <w:gridCol w:w="109"/>
        <w:gridCol w:w="109"/>
        <w:gridCol w:w="109"/>
        <w:gridCol w:w="281"/>
        <w:gridCol w:w="1103"/>
        <w:gridCol w:w="205"/>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including unbilled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345,980 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343,105 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304,322 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movement in “Allowance for expected credit losses” was as follows:</w:t>
      </w:r>
    </w:p>
    <w:tbl>
      <w:tblPr>
        <w:tblW w:w="6771" w:type="dxa"/>
        <w:jc w:val="left"/>
        <w:tblInd w:w="0" w:type="dxa"/>
        <w:tblLayout w:type="fixed"/>
        <w:tblCellMar>
          <w:top w:w="28" w:type="dxa"/>
          <w:left w:w="28" w:type="dxa"/>
          <w:bottom w:w="28" w:type="dxa"/>
          <w:right w:w="28" w:type="dxa"/>
        </w:tblCellMar>
      </w:tblPr>
      <w:tblGrid>
        <w:gridCol w:w="1522"/>
        <w:gridCol w:w="1336"/>
        <w:gridCol w:w="1342"/>
        <w:gridCol w:w="109"/>
        <w:gridCol w:w="109"/>
        <w:gridCol w:w="109"/>
        <w:gridCol w:w="211"/>
        <w:gridCol w:w="616"/>
        <w:gridCol w:w="109"/>
        <w:gridCol w:w="109"/>
        <w:gridCol w:w="109"/>
        <w:gridCol w:w="109"/>
        <w:gridCol w:w="211"/>
        <w:gridCol w:w="61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Additions/(reductions)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due to write-off of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80"/>
        <w:ind w:left="0" w:right="0" w:firstLine="360"/>
        <w:jc w:val="both"/>
        <w:rPr>
          <w:rFonts w:ascii="Times New Roman;serif" w:hAnsi="Times New Roman;serif"/>
          <w:b/>
          <w:color w:val="000000"/>
          <w:sz w:val="20"/>
        </w:rPr>
      </w:pPr>
      <w:r>
        <w:rPr>
          <w:rFonts w:ascii="Times New Roman;serif" w:hAnsi="Times New Roman;serif"/>
          <w:b/>
          <w:color w:val="000000"/>
          <w:sz w:val="20"/>
        </w:rPr>
        <w:t>Customer and credit risk concentration</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single customer accounted for more than 10% of the Company's revenues, net during the years ended December 31, 2025 and 2024. The Company’s management believes that the loss of any of its top ten clients could have a material adverse effect on its financial performance.</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reduce credit risk, the Company conducts ongoing credit evaluations of its customers. No customer accounted for more than 10% of accounts receivable, net, as of December 31, 2025 and 2024.</w:t>
      </w:r>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2033"/>
        <w:gridCol w:w="1787"/>
        <w:gridCol w:w="1800"/>
        <w:gridCol w:w="241"/>
        <w:gridCol w:w="945"/>
        <w:gridCol w:w="109"/>
        <w:gridCol w:w="109"/>
        <w:gridCol w:w="109"/>
        <w:gridCol w:w="109"/>
        <w:gridCol w:w="241"/>
        <w:gridCol w:w="945"/>
        <w:gridCol w:w="109"/>
        <w:gridCol w:w="109"/>
        <w:gridCol w:w="109"/>
        <w:gridCol w:w="109"/>
        <w:gridCol w:w="241"/>
        <w:gridCol w:w="945"/>
        <w:gridCol w:w="155"/>
      </w:tblGrid>
      <w:tr>
        <w:trPr/>
        <w:tc>
          <w:tcPr>
            <w:tcW w:w="203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161,028,312 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162,718,840 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166,341,213 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awards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1,820,158 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162,481,586 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164,321,656 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168,161,371 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potentially dilutive shares considered anti-dilutive and not included in computing diluted earnings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entered into a master confirmation (the “Master Accelerated Share Repurchase Confirmation”) and a supplemental confirmation (together, the “2024 ASR Agreement”), with Citibank, N.A. (“Citibank”).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July 29, 2025, the Company entered into a new supplemental confirmation to the prior Master Accelerated Share Repurchase Confirmation (together, the “2025 ASR Agreement”). During the year ended December 31, 2025, the Company recorded the initial delivery and final settlement of shares in treasury stock, which resulted in an immediate reduction of its outstanding shares used to calculate the weighted average common shares outstanding for basic and diluted earnings per share.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privately repurchased shares from Orogen Echo LLC (an affiliate of The Orogen Group LLC, hereafter referred to as “Orogen”) under a Stock Purchase Agreement dated December 15, 2025, which also resulted in an immediate reduction of its outstanding shares used to calculate the weighted average common shares outstanding for basic and diluted earnings per share. Refer to Note 19 - Capital Structure to the consolidated financial statements for further details.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Other Income, Net</w:t>
      </w:r>
    </w:p>
    <w:p>
      <w:pPr>
        <w:pStyle w:val="TextBody"/>
        <w:bidi w:val="0"/>
        <w:spacing w:before="0" w:after="0"/>
        <w:ind w:left="0" w:right="0" w:firstLine="450"/>
        <w:jc w:val="left"/>
        <w:rPr/>
      </w:pPr>
      <w:r>
        <w:rPr/>
      </w:r>
    </w:p>
    <w:p>
      <w:pPr>
        <w:pStyle w:val="TextBody"/>
        <w:bidi w:val="0"/>
        <w:spacing w:lineRule="auto" w:line="27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Other income, net consists of the following:</w:t>
      </w:r>
    </w:p>
    <w:p>
      <w:pPr>
        <w:pStyle w:val="TextBody"/>
        <w:bidi w:val="0"/>
        <w:spacing w:before="0" w:after="0"/>
        <w:ind w:left="0" w:right="0" w:firstLine="450"/>
        <w:jc w:val="left"/>
        <w:rPr/>
      </w:pPr>
      <w:r>
        <w:rPr/>
      </w:r>
    </w:p>
    <w:tbl>
      <w:tblPr>
        <w:tblW w:w="8667" w:type="dxa"/>
        <w:jc w:val="left"/>
        <w:tblInd w:w="0" w:type="dxa"/>
        <w:tblLayout w:type="fixed"/>
        <w:tblCellMar>
          <w:top w:w="28" w:type="dxa"/>
          <w:left w:w="28" w:type="dxa"/>
          <w:bottom w:w="28" w:type="dxa"/>
          <w:right w:w="28" w:type="dxa"/>
        </w:tblCellMar>
      </w:tblPr>
      <w:tblGrid>
        <w:gridCol w:w="1756"/>
        <w:gridCol w:w="1543"/>
        <w:gridCol w:w="1546"/>
        <w:gridCol w:w="211"/>
        <w:gridCol w:w="721"/>
        <w:gridCol w:w="109"/>
        <w:gridCol w:w="109"/>
        <w:gridCol w:w="109"/>
        <w:gridCol w:w="109"/>
        <w:gridCol w:w="211"/>
        <w:gridCol w:w="721"/>
        <w:gridCol w:w="109"/>
        <w:gridCol w:w="109"/>
        <w:gridCol w:w="109"/>
        <w:gridCol w:w="109"/>
        <w:gridCol w:w="211"/>
        <w:gridCol w:w="721"/>
        <w:gridCol w:w="154"/>
      </w:tblGrid>
      <w:tr>
        <w:trPr/>
        <w:tc>
          <w:tcPr>
            <w:tcW w:w="175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and fair value mark-to-market on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changes of contingent consideration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Refer to Note 16 - Fair Value Measurements to the consolidated financial statements for further details.</w:t>
      </w:r>
    </w:p>
    <w:p>
      <w:pPr>
        <w:pStyle w:val="TextBody"/>
        <w:bidi w:val="0"/>
        <w:spacing w:before="0" w:after="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Cash, Cash Equivalents and Restricted Cash</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purposes of consolidated statements of cash flows, cash, cash equivalents and restricted cash consist of the following:</w:t>
      </w:r>
    </w:p>
    <w:p>
      <w:pPr>
        <w:pStyle w:val="TextBody"/>
        <w:bidi w:val="0"/>
        <w:spacing w:before="0" w:after="0"/>
        <w:ind w:left="0" w:right="0" w:firstLine="540"/>
        <w:jc w:val="left"/>
        <w:rPr/>
      </w:pPr>
      <w:r>
        <w:rPr/>
      </w:r>
    </w:p>
    <w:tbl>
      <w:tblPr>
        <w:tblW w:w="8842" w:type="dxa"/>
        <w:jc w:val="left"/>
        <w:tblInd w:w="0" w:type="dxa"/>
        <w:tblLayout w:type="fixed"/>
        <w:tblCellMar>
          <w:top w:w="28" w:type="dxa"/>
          <w:left w:w="28" w:type="dxa"/>
          <w:bottom w:w="28" w:type="dxa"/>
          <w:right w:w="28" w:type="dxa"/>
        </w:tblCellMar>
      </w:tblPr>
      <w:tblGrid>
        <w:gridCol w:w="1271"/>
        <w:gridCol w:w="1116"/>
        <w:gridCol w:w="1122"/>
        <w:gridCol w:w="284"/>
        <w:gridCol w:w="1114"/>
        <w:gridCol w:w="147"/>
        <w:gridCol w:w="109"/>
        <w:gridCol w:w="109"/>
        <w:gridCol w:w="109"/>
        <w:gridCol w:w="284"/>
        <w:gridCol w:w="1114"/>
        <w:gridCol w:w="147"/>
        <w:gridCol w:w="109"/>
        <w:gridCol w:w="109"/>
        <w:gridCol w:w="109"/>
        <w:gridCol w:w="281"/>
        <w:gridCol w:w="1103"/>
        <w:gridCol w:w="205"/>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146,326 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153,355 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136,953 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(current) </w:t>
            </w:r>
            <w:r>
              <w:rPr>
                <w:rFonts w:ascii="Times New Roman;serif" w:hAnsi="Times New Roman;serif"/>
                <w:b w:val="false"/>
                <w:color w:val="000000"/>
                <w:sz w:val="13"/>
              </w:rPr>
              <w:t>(1)</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(non-current) </w:t>
            </w:r>
            <w:r>
              <w:rPr>
                <w:rFonts w:ascii="Times New Roman;serif" w:hAnsi="Times New Roman;serif"/>
                <w:b w:val="false"/>
                <w:color w:val="000000"/>
                <w:sz w:val="13"/>
              </w:rPr>
              <w:t>(2)</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171,398 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(1) Restricted cash (current) primarily represents funds held on behalf of customers in dedicated bank accounts. The corresponding liability against the same is included under “Accrued expenses and other current liabilities.” Restricted cash also includes funds held as collateral in a dedicated bank account for irrevocable letters of credit issued in favor of third parties for facility leases.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(2) Restricted cash (non-current) represents deposits with banks against bank guarantees issued through banks in favor of relevant statutory authorities for equipment imports, deposits for obtaining indirect tax registrations and for demands against pending income tax and value added tax (“VAT”) assessments. Due to the associated restrictions, these deposits with banks are anticipated to mature one year after the balance sheet date.</w:t>
      </w:r>
    </w:p>
    <w:p>
      <w:pPr>
        <w:pStyle w:val="TextBody"/>
        <w:bidi w:val="0"/>
        <w:spacing w:before="0" w:after="0"/>
        <w:ind w:left="0" w:right="0" w:firstLine="540"/>
        <w:jc w:val="both"/>
        <w:rPr/>
      </w:pPr>
      <w:r>
        <w:rPr/>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2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Investments consist of the following:</w:t>
      </w:r>
    </w:p>
    <w:tbl>
      <w:tblPr>
        <w:tblW w:w="6044" w:type="dxa"/>
        <w:jc w:val="left"/>
        <w:tblInd w:w="0" w:type="dxa"/>
        <w:tblLayout w:type="fixed"/>
        <w:tblCellMar>
          <w:top w:w="28" w:type="dxa"/>
          <w:left w:w="28" w:type="dxa"/>
          <w:bottom w:w="28" w:type="dxa"/>
          <w:right w:w="28" w:type="dxa"/>
        </w:tblCellMar>
      </w:tblPr>
      <w:tblGrid>
        <w:gridCol w:w="895"/>
        <w:gridCol w:w="788"/>
        <w:gridCol w:w="791"/>
        <w:gridCol w:w="109"/>
        <w:gridCol w:w="759"/>
        <w:gridCol w:w="392"/>
        <w:gridCol w:w="394"/>
        <w:gridCol w:w="109"/>
        <w:gridCol w:w="109"/>
        <w:gridCol w:w="109"/>
        <w:gridCol w:w="706"/>
        <w:gridCol w:w="364"/>
        <w:gridCol w:w="51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108,251</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78,972</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187,223</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affiliate</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w:t>
            </w:r>
          </w:p>
        </w:tc>
      </w:tr>
    </w:tbl>
    <w:p>
      <w:pPr>
        <w:pStyle w:val="TextBody"/>
        <w:bidi w:val="0"/>
        <w:spacing w:before="0" w:after="0"/>
        <w:ind w:left="0" w:right="0" w:firstLine="180"/>
        <w:jc w:val="left"/>
        <w:rPr/>
      </w:pPr>
      <w:r>
        <w:rPr/>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Refer to Note 16 - Fair Value Measurements to the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9. Property and Equipment, net</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w:t>
      </w:r>
    </w:p>
    <w:tbl>
      <w:tblPr>
        <w:tblW w:w="10205" w:type="dxa"/>
        <w:jc w:val="left"/>
        <w:tblInd w:w="0" w:type="dxa"/>
        <w:tblLayout w:type="fixed"/>
        <w:tblCellMar>
          <w:top w:w="28" w:type="dxa"/>
          <w:left w:w="28" w:type="dxa"/>
          <w:bottom w:w="28" w:type="dxa"/>
          <w:right w:w="28" w:type="dxa"/>
        </w:tblCellMar>
      </w:tblPr>
      <w:tblGrid>
        <w:gridCol w:w="1485"/>
        <w:gridCol w:w="1298"/>
        <w:gridCol w:w="1302"/>
        <w:gridCol w:w="782"/>
        <w:gridCol w:w="782"/>
        <w:gridCol w:w="785"/>
        <w:gridCol w:w="109"/>
        <w:gridCol w:w="109"/>
        <w:gridCol w:w="109"/>
        <w:gridCol w:w="282"/>
        <w:gridCol w:w="1107"/>
        <w:gridCol w:w="146"/>
        <w:gridCol w:w="109"/>
        <w:gridCol w:w="109"/>
        <w:gridCol w:w="109"/>
        <w:gridCol w:w="279"/>
        <w:gridCol w:w="1096"/>
        <w:gridCol w:w="207"/>
      </w:tblGrid>
      <w:tr>
        <w:trPr/>
        <w:tc>
          <w:tcPr>
            <w:tcW w:w="148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Owned Assets:</w:t>
            </w:r>
          </w:p>
        </w:tc>
        <w:tc>
          <w:tcPr>
            <w:tcW w:w="2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equipment and computers</w:t>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Motor vehicles</w:t>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work in progress</w:t>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352,792 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(252,667)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ROU assets under finance leases:</w:t>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equipment and computers</w:t>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Motor vehicles</w:t>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101,837 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there were no material changes in estimated useful lives of property and equipment during the ordinary course of operations.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depreciation and amortization expense, excluding amortization of acquisition-related intangibles, recognized in the consolidated statements of income was as follows:</w:t>
      </w:r>
    </w:p>
    <w:tbl>
      <w:tblPr>
        <w:tblW w:w="7122" w:type="dxa"/>
        <w:jc w:val="left"/>
        <w:tblInd w:w="0" w:type="dxa"/>
        <w:tblLayout w:type="fixed"/>
        <w:tblCellMar>
          <w:top w:w="28" w:type="dxa"/>
          <w:left w:w="28" w:type="dxa"/>
          <w:bottom w:w="28" w:type="dxa"/>
          <w:right w:w="28" w:type="dxa"/>
        </w:tblCellMar>
      </w:tblPr>
      <w:tblGrid>
        <w:gridCol w:w="1195"/>
        <w:gridCol w:w="1051"/>
        <w:gridCol w:w="1054"/>
        <w:gridCol w:w="211"/>
        <w:gridCol w:w="721"/>
        <w:gridCol w:w="109"/>
        <w:gridCol w:w="109"/>
        <w:gridCol w:w="109"/>
        <w:gridCol w:w="109"/>
        <w:gridCol w:w="211"/>
        <w:gridCol w:w="721"/>
        <w:gridCol w:w="109"/>
        <w:gridCol w:w="109"/>
        <w:gridCol w:w="109"/>
        <w:gridCol w:w="109"/>
        <w:gridCol w:w="211"/>
        <w:gridCol w:w="721"/>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Internally developed software costs included in property and equipment were as follows:</w:t>
      </w:r>
    </w:p>
    <w:tbl>
      <w:tblPr>
        <w:tblW w:w="6340" w:type="dxa"/>
        <w:jc w:val="left"/>
        <w:tblInd w:w="0" w:type="dxa"/>
        <w:tblLayout w:type="fixed"/>
        <w:tblCellMar>
          <w:top w:w="28" w:type="dxa"/>
          <w:left w:w="28" w:type="dxa"/>
          <w:bottom w:w="28" w:type="dxa"/>
          <w:right w:w="28" w:type="dxa"/>
        </w:tblCellMar>
      </w:tblPr>
      <w:tblGrid>
        <w:gridCol w:w="1038"/>
        <w:gridCol w:w="917"/>
        <w:gridCol w:w="924"/>
        <w:gridCol w:w="313"/>
        <w:gridCol w:w="1070"/>
        <w:gridCol w:w="161"/>
        <w:gridCol w:w="109"/>
        <w:gridCol w:w="109"/>
        <w:gridCol w:w="109"/>
        <w:gridCol w:w="309"/>
        <w:gridCol w:w="1056"/>
        <w:gridCol w:w="225"/>
      </w:tblGrid>
      <w:tr>
        <w:trPr/>
        <w:tc>
          <w:tcPr>
            <w:tcW w:w="103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 Accumulated amortization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amortization expense on internally developed software recognized in the consolidated statements of income was as follows:</w:t>
      </w:r>
    </w:p>
    <w:tbl>
      <w:tblPr>
        <w:tblW w:w="5622" w:type="dxa"/>
        <w:jc w:val="left"/>
        <w:tblInd w:w="0" w:type="dxa"/>
        <w:tblLayout w:type="fixed"/>
        <w:tblCellMar>
          <w:top w:w="28" w:type="dxa"/>
          <w:left w:w="28" w:type="dxa"/>
          <w:bottom w:w="28" w:type="dxa"/>
          <w:right w:w="28" w:type="dxa"/>
        </w:tblCellMar>
      </w:tblPr>
      <w:tblGrid>
        <w:gridCol w:w="690"/>
        <w:gridCol w:w="606"/>
        <w:gridCol w:w="609"/>
        <w:gridCol w:w="211"/>
        <w:gridCol w:w="721"/>
        <w:gridCol w:w="109"/>
        <w:gridCol w:w="109"/>
        <w:gridCol w:w="109"/>
        <w:gridCol w:w="109"/>
        <w:gridCol w:w="211"/>
        <w:gridCol w:w="721"/>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performed an impairment test of its capitalized software for recoverability to determine whether the carrying values of certain software are fully recoverable or not. The Company recorded impairment charges amounting to $nil and $1,187 for the years ended December 31, 2025 and 2024, respectively under “Depreciation and amortization” expense in the consolidated statements of income.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Goodwill and Other Intangible Assets</w:t>
      </w:r>
    </w:p>
    <w:p>
      <w:pPr>
        <w:pStyle w:val="TextBody"/>
        <w:bidi w:val="0"/>
        <w:spacing w:lineRule="auto" w:line="268" w:before="180" w:after="18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the Company implemented operational and structural changes, which resulted in the realignment of its reporting segments. Refer to Note 3- Segment Information for further details. Goodwill has been re-allocated to reporting units based on the relative fair value approach.</w:t>
      </w:r>
    </w:p>
    <w:p>
      <w:pPr>
        <w:pStyle w:val="TextBody"/>
        <w:bidi w:val="0"/>
        <w:spacing w:lineRule="auto" w:line="288" w:before="0" w:after="0"/>
        <w:ind w:left="0" w:right="0" w:firstLine="450"/>
        <w:jc w:val="both"/>
        <w:rPr/>
      </w:pPr>
      <w:r>
        <w:rPr>
          <w:rFonts w:ascii="Times New Roman;serif" w:hAnsi="Times New Roman;serif"/>
          <w:b w:val="false"/>
          <w:color w:val="000000"/>
          <w:sz w:val="20"/>
        </w:rPr>
        <w:t>The Company tested goodwill for impairment prior to the segment realignment and immediately thereafter, for events and conditions identified in accordance with the guidance in ASC Topic 350,</w:t>
      </w:r>
      <w:r>
        <w:rPr>
          <w:color w:val="000000"/>
        </w:rPr>
        <w:t xml:space="preserve"> </w:t>
      </w:r>
      <w:r>
        <w:rPr>
          <w:rFonts w:ascii="Times New Roman;serif" w:hAnsi="Times New Roman;serif"/>
          <w:b w:val="false"/>
          <w:i/>
          <w:color w:val="000000"/>
          <w:sz w:val="20"/>
        </w:rPr>
        <w:t>Intangibles- Goodwill and Other</w:t>
      </w:r>
      <w:r>
        <w:rPr>
          <w:rFonts w:ascii="Times New Roman;serif" w:hAnsi="Times New Roman;serif"/>
          <w:b w:val="false"/>
          <w:color w:val="000000"/>
          <w:sz w:val="20"/>
        </w:rPr>
        <w:t>. The fair value of the reporting units was calculated using a discounted cash flow model using estimated future cash flows. The results of the evaluation demonstrated that the fair value of each reporting unit exceeded its book value as of the date of the segment realignment</w:t>
      </w:r>
      <w:r>
        <w:rPr>
          <w:rFonts w:ascii="Times New Roman;serif" w:hAnsi="Times New Roman;serif"/>
          <w:b w:val="false"/>
          <w:i/>
          <w:color w:val="000000"/>
          <w:sz w:val="20"/>
        </w:rPr>
        <w:t xml:space="preserve">.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details of changes in goodwill by reportable segment of the Company:</w:t>
      </w:r>
    </w:p>
    <w:tbl>
      <w:tblPr>
        <w:tblW w:w="10205" w:type="dxa"/>
        <w:jc w:val="left"/>
        <w:tblInd w:w="0" w:type="dxa"/>
        <w:tblLayout w:type="fixed"/>
        <w:tblCellMar>
          <w:top w:w="28" w:type="dxa"/>
          <w:left w:w="28" w:type="dxa"/>
          <w:bottom w:w="28" w:type="dxa"/>
          <w:right w:w="28" w:type="dxa"/>
        </w:tblCellMar>
      </w:tblPr>
      <w:tblGrid>
        <w:gridCol w:w="735"/>
        <w:gridCol w:w="466"/>
        <w:gridCol w:w="469"/>
        <w:gridCol w:w="211"/>
        <w:gridCol w:w="721"/>
        <w:gridCol w:w="109"/>
        <w:gridCol w:w="109"/>
        <w:gridCol w:w="109"/>
        <w:gridCol w:w="109"/>
        <w:gridCol w:w="270"/>
        <w:gridCol w:w="1061"/>
        <w:gridCol w:w="139"/>
        <w:gridCol w:w="109"/>
        <w:gridCol w:w="109"/>
        <w:gridCol w:w="109"/>
        <w:gridCol w:w="371"/>
        <w:gridCol w:w="1454"/>
        <w:gridCol w:w="191"/>
        <w:gridCol w:w="109"/>
        <w:gridCol w:w="109"/>
        <w:gridCol w:w="109"/>
        <w:gridCol w:w="304"/>
        <w:gridCol w:w="1041"/>
        <w:gridCol w:w="159"/>
        <w:gridCol w:w="109"/>
        <w:gridCol w:w="109"/>
        <w:gridCol w:w="109"/>
        <w:gridCol w:w="211"/>
        <w:gridCol w:w="826"/>
        <w:gridCol w:w="159"/>
      </w:tblGrid>
      <w:tr>
        <w:trPr/>
        <w:tc>
          <w:tcPr>
            <w:tcW w:w="7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Healthcare and Life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Banking, Capital Markets and Diversified Industries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 Growth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189,352 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92,545 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189,621 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performs its annual goodwill impairment assessment during the fourth quarter, to determine whether events or circumstances exist that may lead to a determination that it is more likely than not that the fair value of a reporting unit is less than its carrying amount. Based on such assessment, the Company concluded that there was no impairment on goodwill as of December 31, 2025 and 2024.</w:t>
      </w:r>
    </w:p>
    <w:p>
      <w:pPr>
        <w:pStyle w:val="TextBody"/>
        <w:bidi w:val="0"/>
        <w:spacing w:before="180" w:after="180"/>
        <w:ind w:left="0" w:right="0" w:firstLine="450"/>
        <w:jc w:val="both"/>
        <w:rPr/>
      </w:pPr>
      <w:r>
        <w:rPr/>
      </w:r>
    </w:p>
    <w:p>
      <w:pPr>
        <w:pStyle w:val="TextBody"/>
        <w:bidi w:val="0"/>
        <w:spacing w:before="18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180" w:after="80"/>
        <w:ind w:left="0" w:right="0" w:firstLine="450"/>
        <w:jc w:val="both"/>
        <w:rPr/>
      </w:pPr>
      <w:r>
        <w:rPr/>
      </w:r>
    </w:p>
    <w:p>
      <w:pPr>
        <w:pStyle w:val="TextBody"/>
        <w:bidi w:val="0"/>
        <w:spacing w:before="180" w:after="80"/>
        <w:ind w:left="0" w:right="0" w:firstLine="450"/>
        <w:jc w:val="both"/>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Other Intangible Assets</w:t>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Information regarding the Company’s intangible assets is set forth below:</w:t>
      </w:r>
    </w:p>
    <w:tbl>
      <w:tblPr>
        <w:tblW w:w="10205" w:type="dxa"/>
        <w:jc w:val="left"/>
        <w:tblInd w:w="0" w:type="dxa"/>
        <w:tblLayout w:type="fixed"/>
        <w:tblCellMar>
          <w:top w:w="28" w:type="dxa"/>
          <w:left w:w="28" w:type="dxa"/>
          <w:bottom w:w="28" w:type="dxa"/>
          <w:right w:w="28" w:type="dxa"/>
        </w:tblCellMar>
      </w:tblPr>
      <w:tblGrid>
        <w:gridCol w:w="771"/>
        <w:gridCol w:w="450"/>
        <w:gridCol w:w="451"/>
        <w:gridCol w:w="211"/>
        <w:gridCol w:w="826"/>
        <w:gridCol w:w="109"/>
        <w:gridCol w:w="109"/>
        <w:gridCol w:w="109"/>
        <w:gridCol w:w="109"/>
        <w:gridCol w:w="224"/>
        <w:gridCol w:w="786"/>
        <w:gridCol w:w="118"/>
        <w:gridCol w:w="109"/>
        <w:gridCol w:w="109"/>
        <w:gridCol w:w="109"/>
        <w:gridCol w:w="211"/>
        <w:gridCol w:w="721"/>
        <w:gridCol w:w="109"/>
        <w:gridCol w:w="109"/>
        <w:gridCol w:w="109"/>
        <w:gridCol w:w="109"/>
        <w:gridCol w:w="217"/>
        <w:gridCol w:w="851"/>
        <w:gridCol w:w="112"/>
        <w:gridCol w:w="109"/>
        <w:gridCol w:w="109"/>
        <w:gridCol w:w="109"/>
        <w:gridCol w:w="260"/>
        <w:gridCol w:w="916"/>
        <w:gridCol w:w="137"/>
        <w:gridCol w:w="109"/>
        <w:gridCol w:w="109"/>
        <w:gridCol w:w="109"/>
        <w:gridCol w:w="211"/>
        <w:gridCol w:w="721"/>
        <w:gridCol w:w="158"/>
      </w:tblGrid>
      <w:tr>
        <w:trPr/>
        <w:tc>
          <w:tcPr>
            <w:tcW w:w="77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w:t>
              <w:br/>
              <w:t>Carrying</w:t>
              <w:br/>
              <w:t>Amount</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Finite-lived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114,979 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(65,648)</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ind w:left="0" w:right="0" w:firstLine="360"/>
        <w:jc w:val="center"/>
        <w:rPr/>
      </w:pPr>
      <w:r>
        <w:rPr/>
      </w:r>
    </w:p>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amortization expense recognized in the consolidated statements of income was as follows:</w:t>
      </w:r>
    </w:p>
    <w:tbl>
      <w:tblPr>
        <w:tblW w:w="5727" w:type="dxa"/>
        <w:jc w:val="left"/>
        <w:tblInd w:w="0" w:type="dxa"/>
        <w:tblLayout w:type="fixed"/>
        <w:tblCellMar>
          <w:top w:w="28" w:type="dxa"/>
          <w:left w:w="28" w:type="dxa"/>
          <w:bottom w:w="28" w:type="dxa"/>
          <w:right w:w="28" w:type="dxa"/>
        </w:tblCellMar>
      </w:tblPr>
      <w:tblGrid>
        <w:gridCol w:w="690"/>
        <w:gridCol w:w="606"/>
        <w:gridCol w:w="609"/>
        <w:gridCol w:w="211"/>
        <w:gridCol w:w="721"/>
        <w:gridCol w:w="109"/>
        <w:gridCol w:w="109"/>
        <w:gridCol w:w="109"/>
        <w:gridCol w:w="109"/>
        <w:gridCol w:w="211"/>
        <w:gridCol w:w="721"/>
        <w:gridCol w:w="109"/>
        <w:gridCol w:w="109"/>
        <w:gridCol w:w="109"/>
        <w:gridCol w:w="109"/>
        <w:gridCol w:w="211"/>
        <w:gridCol w:w="72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performed an impairment test of its intangible assets for recoverability to determine whether the carrying values of certain software are fully recoverable or not. The Company recorded impairment charges amounting to $nil and $429 for the years ended December 31, 2025 and 2024, respectively under “Depreciation and amortization” expense in the consolidated statements of income.</w:t>
      </w:r>
    </w:p>
    <w:p>
      <w:pPr>
        <w:pStyle w:val="TextBody"/>
        <w:bidi w:val="0"/>
        <w:spacing w:before="180" w:after="80"/>
        <w:ind w:left="0" w:right="0" w:firstLine="45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Estimated future amortization expense related to finite-lived intangible assets as of December 31, 2025 was as follows:</w:t>
      </w:r>
    </w:p>
    <w:p>
      <w:pPr>
        <w:pStyle w:val="TextBody"/>
        <w:bidi w:val="0"/>
        <w:spacing w:before="0" w:after="0"/>
        <w:ind w:left="0" w:right="0" w:firstLine="180"/>
        <w:jc w:val="left"/>
        <w:rPr/>
      </w:pPr>
      <w:r>
        <w:rPr/>
      </w:r>
    </w:p>
    <w:tbl>
      <w:tblPr>
        <w:tblW w:w="1642" w:type="dxa"/>
        <w:jc w:val="left"/>
        <w:tblInd w:w="0" w:type="dxa"/>
        <w:tblLayout w:type="fixed"/>
        <w:tblCellMar>
          <w:top w:w="28" w:type="dxa"/>
          <w:left w:w="28" w:type="dxa"/>
          <w:bottom w:w="28" w:type="dxa"/>
          <w:right w:w="28" w:type="dxa"/>
        </w:tblCellMar>
      </w:tblPr>
      <w:tblGrid>
        <w:gridCol w:w="201"/>
        <w:gridCol w:w="176"/>
        <w:gridCol w:w="179"/>
        <w:gridCol w:w="211"/>
        <w:gridCol w:w="721"/>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80" w:after="80"/>
        <w:jc w:val="left"/>
        <w:rPr/>
      </w:pPr>
      <w:r>
        <w:rPr/>
      </w:r>
    </w:p>
    <w:p>
      <w:pPr>
        <w:pStyle w:val="TextBody"/>
        <w:bidi w:val="0"/>
        <w:spacing w:lineRule="auto" w:line="288" w:before="80" w:after="80"/>
        <w:jc w:val="left"/>
        <w:rPr>
          <w:rFonts w:ascii="Times New Roman;serif" w:hAnsi="Times New Roman;serif"/>
          <w:b/>
          <w:color w:val="000000"/>
          <w:sz w:val="20"/>
        </w:rPr>
      </w:pPr>
      <w:r>
        <w:rPr>
          <w:rFonts w:ascii="Times New Roman;serif" w:hAnsi="Times New Roman;serif"/>
          <w:b/>
          <w:color w:val="000000"/>
          <w:sz w:val="20"/>
        </w:rPr>
        <w:t>11. Other Current Assets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current assets consist of the following:</w:t>
      </w:r>
    </w:p>
    <w:tbl>
      <w:tblPr>
        <w:tblW w:w="6670" w:type="dxa"/>
        <w:jc w:val="left"/>
        <w:tblInd w:w="0" w:type="dxa"/>
        <w:tblLayout w:type="fixed"/>
        <w:tblCellMar>
          <w:top w:w="28" w:type="dxa"/>
          <w:left w:w="28" w:type="dxa"/>
          <w:bottom w:w="28" w:type="dxa"/>
          <w:right w:w="28" w:type="dxa"/>
        </w:tblCellMar>
      </w:tblPr>
      <w:tblGrid>
        <w:gridCol w:w="1160"/>
        <w:gridCol w:w="1023"/>
        <w:gridCol w:w="1026"/>
        <w:gridCol w:w="284"/>
        <w:gridCol w:w="1114"/>
        <w:gridCol w:w="147"/>
        <w:gridCol w:w="109"/>
        <w:gridCol w:w="109"/>
        <w:gridCol w:w="109"/>
        <w:gridCol w:w="281"/>
        <w:gridCol w:w="1103"/>
        <w:gridCol w:w="205"/>
      </w:tblGrid>
      <w:tr>
        <w:trPr/>
        <w:tc>
          <w:tcPr>
            <w:tcW w:w="11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income tax, net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statutory authorities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fulfillment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146,093 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140,317 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Other Assets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assets consist of the following:</w:t>
      </w:r>
    </w:p>
    <w:tbl>
      <w:tblPr>
        <w:tblW w:w="6698" w:type="dxa"/>
        <w:jc w:val="left"/>
        <w:tblInd w:w="0" w:type="dxa"/>
        <w:tblLayout w:type="fixed"/>
        <w:tblCellMar>
          <w:top w:w="28" w:type="dxa"/>
          <w:left w:w="28" w:type="dxa"/>
          <w:bottom w:w="28" w:type="dxa"/>
          <w:right w:w="28" w:type="dxa"/>
        </w:tblCellMar>
      </w:tblPr>
      <w:tblGrid>
        <w:gridCol w:w="1054"/>
        <w:gridCol w:w="925"/>
        <w:gridCol w:w="931"/>
        <w:gridCol w:w="109"/>
        <w:gridCol w:w="109"/>
        <w:gridCol w:w="109"/>
        <w:gridCol w:w="313"/>
        <w:gridCol w:w="1070"/>
        <w:gridCol w:w="161"/>
        <w:gridCol w:w="109"/>
        <w:gridCol w:w="109"/>
        <w:gridCol w:w="109"/>
        <w:gridCol w:w="309"/>
        <w:gridCol w:w="1056"/>
        <w:gridCol w:w="225"/>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fulfillment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 statutory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Accrued Expenses and Other Current Liabilities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7286" w:type="dxa"/>
        <w:jc w:val="left"/>
        <w:tblInd w:w="0" w:type="dxa"/>
        <w:tblLayout w:type="fixed"/>
        <w:tblCellMar>
          <w:top w:w="28" w:type="dxa"/>
          <w:left w:w="28" w:type="dxa"/>
          <w:bottom w:w="28" w:type="dxa"/>
          <w:right w:w="28" w:type="dxa"/>
        </w:tblCellMar>
      </w:tblPr>
      <w:tblGrid>
        <w:gridCol w:w="1385"/>
        <w:gridCol w:w="1215"/>
        <w:gridCol w:w="1225"/>
        <w:gridCol w:w="284"/>
        <w:gridCol w:w="1114"/>
        <w:gridCol w:w="147"/>
        <w:gridCol w:w="109"/>
        <w:gridCol w:w="109"/>
        <w:gridCol w:w="109"/>
        <w:gridCol w:w="281"/>
        <w:gridCol w:w="1103"/>
        <w:gridCol w:w="205"/>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statutory authorities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liabilities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14. Other Non-Current Liabilities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 of the following:</w:t>
      </w:r>
    </w:p>
    <w:tbl>
      <w:tblPr>
        <w:tblW w:w="5845" w:type="dxa"/>
        <w:jc w:val="left"/>
        <w:tblInd w:w="0" w:type="dxa"/>
        <w:tblLayout w:type="fixed"/>
        <w:tblCellMar>
          <w:top w:w="28" w:type="dxa"/>
          <w:left w:w="28" w:type="dxa"/>
          <w:bottom w:w="28" w:type="dxa"/>
          <w:right w:w="28" w:type="dxa"/>
        </w:tblCellMar>
      </w:tblPr>
      <w:tblGrid>
        <w:gridCol w:w="865"/>
        <w:gridCol w:w="758"/>
        <w:gridCol w:w="761"/>
        <w:gridCol w:w="313"/>
        <w:gridCol w:w="1070"/>
        <w:gridCol w:w="161"/>
        <w:gridCol w:w="109"/>
        <w:gridCol w:w="109"/>
        <w:gridCol w:w="109"/>
        <w:gridCol w:w="309"/>
        <w:gridCol w:w="1056"/>
        <w:gridCol w:w="225"/>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transition revenue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15. Accumulated Other Comprehensive Income/(Loss)</w:t>
      </w:r>
    </w:p>
    <w:p>
      <w:pPr>
        <w:pStyle w:val="TextBody"/>
        <w:bidi w:val="0"/>
        <w:spacing w:lineRule="auto" w:line="26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AOCI during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343"/>
        <w:gridCol w:w="905"/>
        <w:gridCol w:w="911"/>
        <w:gridCol w:w="307"/>
        <w:gridCol w:w="1274"/>
        <w:gridCol w:w="158"/>
        <w:gridCol w:w="109"/>
        <w:gridCol w:w="109"/>
        <w:gridCol w:w="109"/>
        <w:gridCol w:w="365"/>
        <w:gridCol w:w="1341"/>
        <w:gridCol w:w="188"/>
        <w:gridCol w:w="109"/>
        <w:gridCol w:w="109"/>
        <w:gridCol w:w="109"/>
        <w:gridCol w:w="256"/>
        <w:gridCol w:w="809"/>
        <w:gridCol w:w="132"/>
        <w:gridCol w:w="109"/>
        <w:gridCol w:w="109"/>
        <w:gridCol w:w="109"/>
        <w:gridCol w:w="211"/>
        <w:gridCol w:w="863"/>
        <w:gridCol w:w="161"/>
      </w:tblGrid>
      <w:tr>
        <w:trPr/>
        <w:tc>
          <w:tcPr>
            <w:tcW w:w="134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Income/(Loss)</w:t>
            </w:r>
          </w:p>
        </w:tc>
      </w:tr>
      <w:tr>
        <w:trPr/>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gain/(loss)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2022</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recognized during the year</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Reclassification to net income </w:t>
            </w:r>
            <w:r>
              <w:rPr>
                <w:rFonts w:ascii="Times New Roman;serif" w:hAnsi="Times New Roman;serif"/>
                <w:b w:val="false"/>
                <w:color w:val="000000"/>
                <w:sz w:val="13"/>
              </w:rPr>
              <w:t>(1)</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effects </w:t>
            </w:r>
            <w:r>
              <w:rPr>
                <w:rFonts w:ascii="Times New Roman;serif" w:hAnsi="Times New Roman;serif"/>
                <w:b w:val="false"/>
                <w:color w:val="000000"/>
                <w:sz w:val="13"/>
              </w:rPr>
              <w:t>(2)</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as of December 31, 2023</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(132,643)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(127,040)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recognized during the year</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Reclassification to net income </w:t>
            </w:r>
            <w:r>
              <w:rPr>
                <w:rFonts w:ascii="Times New Roman;serif" w:hAnsi="Times New Roman;serif"/>
                <w:b w:val="false"/>
                <w:color w:val="000000"/>
                <w:sz w:val="13"/>
              </w:rPr>
              <w:t>(1)</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effects </w:t>
            </w:r>
            <w:r>
              <w:rPr>
                <w:rFonts w:ascii="Times New Roman;serif" w:hAnsi="Times New Roman;serif"/>
                <w:b w:val="false"/>
                <w:color w:val="000000"/>
                <w:sz w:val="13"/>
              </w:rPr>
              <w:t>(2)</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as of December 31, 2024</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recognized during the year</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Reclassification to net income </w:t>
            </w:r>
            <w:r>
              <w:rPr>
                <w:rFonts w:ascii="Times New Roman;serif" w:hAnsi="Times New Roman;serif"/>
                <w:b w:val="false"/>
                <w:color w:val="000000"/>
                <w:sz w:val="13"/>
              </w:rPr>
              <w:t>(1)</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effects </w:t>
            </w:r>
            <w:r>
              <w:rPr>
                <w:rFonts w:ascii="Times New Roman;serif" w:hAnsi="Times New Roman;serif"/>
                <w:b w:val="false"/>
                <w:color w:val="000000"/>
                <w:sz w:val="13"/>
              </w:rPr>
              <w:t>(2)</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as of December 31, 2025</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(180,727)</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Refer to Note 17 - Derivatives and Hedge Accounting and Note 20 - Employee Benefit Plans to the consolidated financial statements for reclassification to net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These are income tax effects recognized on currency translation adjustments, cash flow hedges and retirement benefits. Refer to Note 22 - Income Taxes to the consolidated financial statements.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16. Fair Value Measurements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assets and liabilities that were recognized at fair value:</w:t>
      </w:r>
    </w:p>
    <w:tbl>
      <w:tblPr>
        <w:tblW w:w="10205" w:type="dxa"/>
        <w:jc w:val="left"/>
        <w:tblInd w:w="0" w:type="dxa"/>
        <w:tblLayout w:type="fixed"/>
        <w:tblCellMar>
          <w:top w:w="28" w:type="dxa"/>
          <w:left w:w="28" w:type="dxa"/>
          <w:bottom w:w="28" w:type="dxa"/>
          <w:right w:w="28" w:type="dxa"/>
        </w:tblCellMar>
      </w:tblPr>
      <w:tblGrid>
        <w:gridCol w:w="876"/>
        <w:gridCol w:w="570"/>
        <w:gridCol w:w="572"/>
        <w:gridCol w:w="109"/>
        <w:gridCol w:w="109"/>
        <w:gridCol w:w="109"/>
        <w:gridCol w:w="399"/>
        <w:gridCol w:w="1562"/>
        <w:gridCol w:w="206"/>
        <w:gridCol w:w="109"/>
        <w:gridCol w:w="109"/>
        <w:gridCol w:w="109"/>
        <w:gridCol w:w="339"/>
        <w:gridCol w:w="1160"/>
        <w:gridCol w:w="175"/>
        <w:gridCol w:w="109"/>
        <w:gridCol w:w="109"/>
        <w:gridCol w:w="109"/>
        <w:gridCol w:w="413"/>
        <w:gridCol w:w="1212"/>
        <w:gridCol w:w="217"/>
        <w:gridCol w:w="109"/>
        <w:gridCol w:w="109"/>
        <w:gridCol w:w="109"/>
        <w:gridCol w:w="211"/>
        <w:gridCol w:w="826"/>
        <w:gridCol w:w="159"/>
      </w:tblGrid>
      <w:tr>
        <w:trPr/>
        <w:tc>
          <w:tcPr>
            <w:tcW w:w="87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Quoted Prices in Active Markets for Identical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Significant Other Unobservable Inputs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 Money market funds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Mutual funds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180,520 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consideration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Quoted Prices in Active Markets for Identical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Significant Other Unobservable Inputs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 Money market funds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Mutual funds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163,176 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consideration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495"/>
        <w:jc w:val="both"/>
        <w:rPr/>
      </w:pPr>
      <w:r>
        <w:rPr>
          <w:rFonts w:ascii="Times New Roman;serif" w:hAnsi="Times New Roman;serif"/>
          <w:b w:val="false"/>
          <w:color w:val="000000"/>
          <w:sz w:val="20"/>
        </w:rPr>
        <w:t xml:space="preserve">(1) Represents money market funds and short-term investments which are carried at the fair value option under ASC Topic 825 </w:t>
      </w:r>
      <w:r>
        <w:rPr>
          <w:color w:val="000000"/>
        </w:rPr>
        <w:t>“</w:t>
      </w:r>
      <w:r>
        <w:rPr>
          <w:rFonts w:ascii="Times New Roman;serif" w:hAnsi="Times New Roman;serif"/>
          <w:b w:val="false"/>
          <w:i/>
          <w:color w:val="000000"/>
          <w:sz w:val="20"/>
        </w:rPr>
        <w:t>Financial Instruments”</w:t>
      </w:r>
      <w:r>
        <w:rPr>
          <w:rFonts w:ascii="Times New Roman;serif" w:hAnsi="Times New Roman;serif"/>
          <w:b w:val="false"/>
          <w:color w:val="000000"/>
          <w:sz w:val="20"/>
        </w:rPr>
        <w:t>.</w:t>
      </w:r>
    </w:p>
    <w:p>
      <w:pPr>
        <w:pStyle w:val="TextBody"/>
        <w:bidi w:val="0"/>
        <w:spacing w:before="20" w:after="283"/>
        <w:ind w:left="0" w:right="0" w:firstLine="495"/>
        <w:jc w:val="both"/>
        <w:rPr/>
      </w:pPr>
      <w:r>
        <w:rPr/>
      </w:r>
    </w:p>
    <w:p>
      <w:pPr>
        <w:pStyle w:val="TextBody"/>
        <w:bidi w:val="0"/>
        <w:spacing w:lineRule="auto" w:line="288" w:before="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Contingent consideration is presented under “Accrued expenses and Other current liabilities” and “Other non-current liabilities”, as applicable in the consolidated balance sheets.</w:t>
      </w:r>
    </w:p>
    <w:p>
      <w:pPr>
        <w:pStyle w:val="TextBody"/>
        <w:bidi w:val="0"/>
        <w:spacing w:before="0" w:after="0"/>
        <w:ind w:left="0" w:right="0" w:firstLine="495"/>
        <w:jc w:val="left"/>
        <w:rPr/>
      </w:pPr>
      <w:r>
        <w:rPr/>
      </w:r>
    </w:p>
    <w:p>
      <w:pPr>
        <w:pStyle w:val="TextBody"/>
        <w:bidi w:val="0"/>
        <w:spacing w:lineRule="auto" w:line="276" w:before="0" w:after="0"/>
        <w:jc w:val="both"/>
        <w:rPr/>
      </w:pPr>
      <w:r>
        <w:rPr>
          <w:rFonts w:ascii="Times New Roman;serif" w:hAnsi="Times New Roman;serif"/>
          <w:b w:val="false"/>
          <w:i/>
          <w:color w:val="000000"/>
          <w:sz w:val="20"/>
        </w:rPr>
        <w:t>Fair Value of Derivative Financial Instruments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values for derivative financial instruments are based on independent sources including highly rated financial institutions and are classified as Level 2. Refer to Note 17 - Derivatives and Hedge Accounting to the consolidated financial statements for further details.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Fair Value of Contingent Consideration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measurement of contingent consideration is determined using Level 3 inputs. The Company’s contingent consideration represents a component of the total purchase consideration for business acquisitions. The measurement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calculated using unobservable inputs based on the Company’s own assessment of achievement of certain performance goals. The Company estimated the fair value of the contingent consideration based on the Monte Carlo simulation model.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fair value of contingent consideration:</w:t>
      </w:r>
    </w:p>
    <w:tbl>
      <w:tblPr>
        <w:tblW w:w="3983" w:type="dxa"/>
        <w:jc w:val="left"/>
        <w:tblInd w:w="0" w:type="dxa"/>
        <w:tblLayout w:type="fixed"/>
        <w:tblCellMar>
          <w:top w:w="28" w:type="dxa"/>
          <w:left w:w="28" w:type="dxa"/>
          <w:bottom w:w="28" w:type="dxa"/>
          <w:right w:w="28" w:type="dxa"/>
        </w:tblCellMar>
      </w:tblPr>
      <w:tblGrid>
        <w:gridCol w:w="592"/>
        <w:gridCol w:w="520"/>
        <w:gridCol w:w="522"/>
        <w:gridCol w:w="211"/>
        <w:gridCol w:w="616"/>
        <w:gridCol w:w="109"/>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6"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there were no transfers among Level 1, Level 2 and Level 3.</w:t>
      </w:r>
    </w:p>
    <w:p>
      <w:pPr>
        <w:pStyle w:val="TextBody"/>
        <w:bidi w:val="0"/>
        <w:spacing w:lineRule="auto" w:line="288" w:before="240" w:after="283"/>
        <w:jc w:val="both"/>
        <w:rPr/>
      </w:pPr>
      <w:r>
        <w:rPr>
          <w:rFonts w:ascii="Times New Roman;serif" w:hAnsi="Times New Roman;serif"/>
          <w:b w:val="false"/>
          <w:i/>
          <w:color w:val="000000"/>
          <w:sz w:val="20"/>
        </w:rPr>
        <w:t>Financial Instruments Not Carried at Fair Value</w:t>
      </w:r>
      <w:r>
        <w:rPr>
          <w:rFonts w:ascii="Times New Roman;serif" w:hAnsi="Times New Roman;serif"/>
          <w:b w:val="false"/>
          <w:color w:val="000000"/>
          <w:sz w:val="20"/>
        </w:rPr>
        <w:t xml:space="preserve">: </w:t>
      </w:r>
    </w:p>
    <w:p>
      <w:pPr>
        <w:pStyle w:val="TextBody"/>
        <w:bidi w:val="0"/>
        <w:spacing w:before="0" w:after="0"/>
        <w:ind w:left="0" w:right="0" w:firstLine="450"/>
        <w:jc w:val="left"/>
        <w:rPr/>
      </w:pPr>
      <w:r>
        <w:rPr/>
      </w:r>
    </w:p>
    <w:p>
      <w:pPr>
        <w:pStyle w:val="TextBody"/>
        <w:bidi w:val="0"/>
        <w:spacing w:lineRule="auto" w:line="26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and term loan facility approximates its fair value because the Company’s interest rate yield is near current market rates for comparable debt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17. Derivatives and Hedge Accounting</w:t>
      </w:r>
    </w:p>
    <w:p>
      <w:pPr>
        <w:pStyle w:val="TextBody"/>
        <w:bidi w:val="0"/>
        <w:spacing w:lineRule="auto" w:line="276" w:before="0" w:after="0"/>
        <w:ind w:left="0" w:right="0" w:firstLine="495"/>
        <w:jc w:val="both"/>
        <w:rPr/>
      </w:pPr>
      <w:r>
        <w:rPr>
          <w:rFonts w:ascii="Times New Roman;serif" w:hAnsi="Times New Roman;serif"/>
          <w:b w:val="false"/>
          <w:color w:val="000000"/>
          <w:sz w:val="20"/>
        </w:rPr>
        <w:t xml:space="preserve">The Company uses derivative instruments to mitigate cash flow volatility from risk of fluctuations in foreign currency exchange rates and interest rates. The Company enters into foreign currency forward contracts to hedge cash flow risks from forecasted revenues and other transactions denominated in certain foreign currencies. These contracts qualify as cash flow hedges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and are with counterparties that are highly rated financial institutions.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aggregate notional amount of derivatives in cash flow hedging relationship:</w:t>
      </w:r>
    </w:p>
    <w:tbl>
      <w:tblPr>
        <w:tblW w:w="8362" w:type="dxa"/>
        <w:jc w:val="left"/>
        <w:tblInd w:w="0" w:type="dxa"/>
        <w:tblLayout w:type="fixed"/>
        <w:tblCellMar>
          <w:top w:w="28" w:type="dxa"/>
          <w:left w:w="28" w:type="dxa"/>
          <w:bottom w:w="28" w:type="dxa"/>
          <w:right w:w="28" w:type="dxa"/>
        </w:tblCellMar>
      </w:tblPr>
      <w:tblGrid>
        <w:gridCol w:w="1655"/>
        <w:gridCol w:w="1456"/>
        <w:gridCol w:w="1463"/>
        <w:gridCol w:w="109"/>
        <w:gridCol w:w="109"/>
        <w:gridCol w:w="109"/>
        <w:gridCol w:w="514"/>
        <w:gridCol w:w="514"/>
        <w:gridCol w:w="516"/>
        <w:gridCol w:w="109"/>
        <w:gridCol w:w="109"/>
        <w:gridCol w:w="109"/>
        <w:gridCol w:w="465"/>
        <w:gridCol w:w="465"/>
        <w:gridCol w:w="660"/>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forward contracts denominated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U.S. dollar (USD)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1,134,800 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984,300 </w:t>
            </w:r>
          </w:p>
        </w:tc>
        <w:tc>
          <w:tcPr>
            <w:tcW w:w="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U.S. dollar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estimates that approximately $10,939 of derivative loss, net, excluding tax effects, included in AOCI, representing changes in the value of cash flow hedges based on exchange rates prevailing as of December 31, 2025, could be reclassified into earnings within the next twelve months. As of December 31, 2025, the maximum outstanding term of the cash flow hedges was approximately 42 months.</w:t>
      </w:r>
    </w:p>
    <w:p>
      <w:pPr>
        <w:pStyle w:val="TextBody"/>
        <w:bidi w:val="0"/>
        <w:spacing w:lineRule="auto" w:line="268" w:before="0" w:after="0"/>
        <w:ind w:left="0" w:right="0" w:firstLine="495"/>
        <w:jc w:val="both"/>
        <w:rPr/>
      </w:pPr>
      <w:r>
        <w:rPr>
          <w:rFonts w:ascii="Times New Roman;serif" w:hAnsi="Times New Roman;serif"/>
          <w:b w:val="false"/>
          <w:color w:val="000000"/>
          <w:sz w:val="20"/>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Changes in the fair value of these financial instruments are recognized in the consolidated statements of income and are included in the foreign exchange gain/(loss), net line item.</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aggregate notional principal amounts of outstanding foreign currency forward contracts for derivatives not designated as hedging instruments:</w:t>
      </w:r>
    </w:p>
    <w:tbl>
      <w:tblPr>
        <w:tblW w:w="7942" w:type="dxa"/>
        <w:jc w:val="left"/>
        <w:tblInd w:w="0" w:type="dxa"/>
        <w:tblLayout w:type="fixed"/>
        <w:tblCellMar>
          <w:top w:w="28" w:type="dxa"/>
          <w:left w:w="28" w:type="dxa"/>
          <w:bottom w:w="28" w:type="dxa"/>
          <w:right w:w="28" w:type="dxa"/>
        </w:tblCellMar>
      </w:tblPr>
      <w:tblGrid>
        <w:gridCol w:w="1505"/>
        <w:gridCol w:w="1321"/>
        <w:gridCol w:w="1328"/>
        <w:gridCol w:w="109"/>
        <w:gridCol w:w="109"/>
        <w:gridCol w:w="109"/>
        <w:gridCol w:w="514"/>
        <w:gridCol w:w="514"/>
        <w:gridCol w:w="516"/>
        <w:gridCol w:w="109"/>
        <w:gridCol w:w="109"/>
        <w:gridCol w:w="109"/>
        <w:gridCol w:w="465"/>
        <w:gridCol w:w="465"/>
        <w:gridCol w:w="660"/>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forward contracts denominated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217,040 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179,491 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AUD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Buy USD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This includes $1,130 related to USD purchases against sale of CAD 1,545 as of December 31, 2025 and $10,006 related to USD purchases against sale of ZAR 188,373 as of December 31, 2024.</w:t>
      </w:r>
    </w:p>
    <w:p>
      <w:pPr>
        <w:pStyle w:val="TextBody"/>
        <w:bidi w:val="0"/>
        <w:spacing w:lineRule="auto" w:line="26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foreign currency forward contracts and their location on the consolidated balance sheets:</w:t>
      </w:r>
    </w:p>
    <w:tbl>
      <w:tblPr>
        <w:tblW w:w="10205" w:type="dxa"/>
        <w:jc w:val="left"/>
        <w:tblInd w:w="0" w:type="dxa"/>
        <w:tblLayout w:type="fixed"/>
        <w:tblCellMar>
          <w:top w:w="28" w:type="dxa"/>
          <w:left w:w="28" w:type="dxa"/>
          <w:bottom w:w="28" w:type="dxa"/>
          <w:right w:w="28" w:type="dxa"/>
        </w:tblCellMar>
      </w:tblPr>
      <w:tblGrid>
        <w:gridCol w:w="1131"/>
        <w:gridCol w:w="890"/>
        <w:gridCol w:w="898"/>
        <w:gridCol w:w="109"/>
        <w:gridCol w:w="109"/>
        <w:gridCol w:w="109"/>
        <w:gridCol w:w="291"/>
        <w:gridCol w:w="996"/>
        <w:gridCol w:w="150"/>
        <w:gridCol w:w="150"/>
        <w:gridCol w:w="150"/>
        <w:gridCol w:w="150"/>
        <w:gridCol w:w="303"/>
        <w:gridCol w:w="885"/>
        <w:gridCol w:w="156"/>
        <w:gridCol w:w="109"/>
        <w:gridCol w:w="109"/>
        <w:gridCol w:w="109"/>
        <w:gridCol w:w="390"/>
        <w:gridCol w:w="800"/>
        <w:gridCol w:w="187"/>
        <w:gridCol w:w="187"/>
        <w:gridCol w:w="187"/>
        <w:gridCol w:w="187"/>
        <w:gridCol w:w="390"/>
        <w:gridCol w:w="800"/>
        <w:gridCol w:w="273"/>
      </w:tblGrid>
      <w:tr>
        <w:trPr/>
        <w:tc>
          <w:tcPr>
            <w:tcW w:w="113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effect of foreign currency forward contracts and interest rate swaps on AOCI and the consolidated statements of income:</w:t>
      </w:r>
    </w:p>
    <w:tbl>
      <w:tblPr>
        <w:tblW w:w="10205" w:type="dxa"/>
        <w:jc w:val="left"/>
        <w:tblInd w:w="0" w:type="dxa"/>
        <w:tblLayout w:type="fixed"/>
        <w:tblCellMar>
          <w:top w:w="28" w:type="dxa"/>
          <w:left w:w="28" w:type="dxa"/>
          <w:bottom w:w="28" w:type="dxa"/>
          <w:right w:w="28" w:type="dxa"/>
        </w:tblCellMar>
      </w:tblPr>
      <w:tblGrid>
        <w:gridCol w:w="2164"/>
        <w:gridCol w:w="1870"/>
        <w:gridCol w:w="1881"/>
        <w:gridCol w:w="109"/>
        <w:gridCol w:w="109"/>
        <w:gridCol w:w="109"/>
        <w:gridCol w:w="211"/>
        <w:gridCol w:w="790"/>
        <w:gridCol w:w="109"/>
        <w:gridCol w:w="109"/>
        <w:gridCol w:w="109"/>
        <w:gridCol w:w="109"/>
        <w:gridCol w:w="211"/>
        <w:gridCol w:w="790"/>
        <w:gridCol w:w="109"/>
        <w:gridCol w:w="109"/>
        <w:gridCol w:w="109"/>
        <w:gridCol w:w="109"/>
        <w:gridCol w:w="211"/>
        <w:gridCol w:w="721"/>
        <w:gridCol w:w="157"/>
      </w:tblGrid>
      <w:tr>
        <w:trPr/>
        <w:tc>
          <w:tcPr>
            <w:tcW w:w="216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gain/(loss) recognized in other comprehensive income (“OCI”)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Gain/(loss) recognized in consolidated statements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ind w:left="0" w:right="0" w:firstLine="360"/>
        <w:jc w:val="center"/>
        <w:rPr/>
      </w:pPr>
      <w:r>
        <w:rPr/>
      </w:r>
    </w:p>
    <w:p>
      <w:pPr>
        <w:pStyle w:val="TextBody"/>
        <w:bidi w:val="0"/>
        <w:spacing w:before="180" w:after="80"/>
        <w:jc w:val="center"/>
        <w:rPr/>
      </w:pPr>
      <w:r>
        <w:rPr/>
      </w:r>
    </w:p>
    <w:p>
      <w:pPr>
        <w:pStyle w:val="TextBody"/>
        <w:bidi w:val="0"/>
        <w:spacing w:before="180" w:after="80"/>
        <w:jc w:val="center"/>
        <w:rPr/>
      </w:pPr>
      <w:r>
        <w:rPr/>
      </w:r>
    </w:p>
    <w:p>
      <w:pPr>
        <w:pStyle w:val="TextBody"/>
        <w:bidi w:val="0"/>
        <w:spacing w:before="180" w:after="80"/>
        <w:jc w:val="center"/>
        <w:rPr/>
      </w:pPr>
      <w:r>
        <w:rPr/>
      </w:r>
    </w:p>
    <w:p>
      <w:pPr>
        <w:pStyle w:val="TextBody"/>
        <w:bidi w:val="0"/>
        <w:spacing w:before="180" w:after="80"/>
        <w:jc w:val="center"/>
        <w:rPr/>
      </w:pPr>
      <w:r>
        <w:rPr/>
      </w:r>
    </w:p>
    <w:p>
      <w:pPr>
        <w:pStyle w:val="TextBody"/>
        <w:bidi w:val="0"/>
        <w:spacing w:before="180" w:after="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180" w:after="80"/>
        <w:ind w:left="0" w:right="0" w:firstLine="450"/>
        <w:jc w:val="center"/>
        <w:rPr/>
      </w:pPr>
      <w:r>
        <w:rPr/>
      </w:r>
    </w:p>
    <w:p>
      <w:pPr>
        <w:pStyle w:val="TextBody"/>
        <w:bidi w:val="0"/>
        <w:spacing w:lineRule="auto" w:line="288" w:before="180" w:after="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location and amount of gain/(loss) recognized in consolidated statements of income for derivatives in cash flow hedging relationships and derivatives not designated as hedging instruments:</w:t>
      </w:r>
    </w:p>
    <w:tbl>
      <w:tblPr>
        <w:tblW w:w="10314" w:type="dxa"/>
        <w:jc w:val="left"/>
        <w:tblInd w:w="0" w:type="dxa"/>
        <w:tblLayout w:type="fixed"/>
        <w:tblCellMar>
          <w:top w:w="28" w:type="dxa"/>
          <w:left w:w="28" w:type="dxa"/>
          <w:bottom w:w="28" w:type="dxa"/>
          <w:right w:w="28" w:type="dxa"/>
        </w:tblCellMar>
      </w:tblPr>
      <w:tblGrid>
        <w:gridCol w:w="515"/>
        <w:gridCol w:w="387"/>
        <w:gridCol w:w="389"/>
        <w:gridCol w:w="109"/>
        <w:gridCol w:w="109"/>
        <w:gridCol w:w="109"/>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229"/>
        <w:gridCol w:w="687"/>
        <w:gridCol w:w="120"/>
        <w:gridCol w:w="109"/>
        <w:gridCol w:w="109"/>
        <w:gridCol w:w="109"/>
        <w:gridCol w:w="211"/>
        <w:gridCol w:w="976"/>
        <w:gridCol w:w="109"/>
        <w:gridCol w:w="109"/>
        <w:gridCol w:w="109"/>
        <w:gridCol w:w="109"/>
        <w:gridCol w:w="229"/>
        <w:gridCol w:w="684"/>
        <w:gridCol w:w="168"/>
      </w:tblGrid>
      <w:tr>
        <w:trPr/>
        <w:tc>
          <w:tcPr>
            <w:tcW w:w="5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6" w:type="dxa"/>
            <w:gridSpan w:val="3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per consolidated statements of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Gain/(loss)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per consolidated statements of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Gain/(loss)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per consolidated statements of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Gain/(loss) on derivative financial instruments</w:t>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in consolidated statements of income where gain/(loss) was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on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in consolidated statements of income where gain/(loss) was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ind w:left="0" w:right="0" w:firstLine="360"/>
        <w:jc w:val="left"/>
        <w:rPr/>
      </w:pPr>
      <w:r>
        <w:rPr/>
      </w:r>
    </w:p>
    <w:p>
      <w:pPr>
        <w:pStyle w:val="TextBody"/>
        <w:bidi w:val="0"/>
        <w:spacing w:before="180" w:after="80"/>
        <w:ind w:left="0" w:right="0" w:firstLine="360"/>
        <w:jc w:val="left"/>
        <w:rPr/>
      </w:pPr>
      <w:r>
        <w:rPr/>
      </w:r>
    </w:p>
    <w:p>
      <w:pPr>
        <w:pStyle w:val="TextBody"/>
        <w:bidi w:val="0"/>
        <w:spacing w:before="180" w:after="80"/>
        <w:ind w:left="0" w:right="0" w:firstLine="360"/>
        <w:jc w:val="left"/>
        <w:rPr/>
      </w:pPr>
      <w:r>
        <w:rPr/>
      </w:r>
    </w:p>
    <w:p>
      <w:pPr>
        <w:pStyle w:val="TextBody"/>
        <w:bidi w:val="0"/>
        <w:spacing w:before="180" w:after="80"/>
        <w:ind w:left="0" w:right="0" w:firstLine="360"/>
        <w:jc w:val="left"/>
        <w:rPr/>
      </w:pPr>
      <w:r>
        <w:rPr/>
      </w:r>
    </w:p>
    <w:p>
      <w:pPr>
        <w:pStyle w:val="TextBody"/>
        <w:bidi w:val="0"/>
        <w:spacing w:before="180" w:after="80"/>
        <w:ind w:left="0" w:right="0" w:firstLine="360"/>
        <w:jc w:val="left"/>
        <w:rPr/>
      </w:pPr>
      <w:r>
        <w:rPr/>
      </w:r>
    </w:p>
    <w:p>
      <w:pPr>
        <w:pStyle w:val="TextBody"/>
        <w:bidi w:val="0"/>
        <w:spacing w:before="180" w:after="80"/>
        <w:ind w:left="0" w:right="0" w:firstLine="360"/>
        <w:jc w:val="left"/>
        <w:rPr/>
      </w:pPr>
      <w:r>
        <w:rPr/>
      </w:r>
    </w:p>
    <w:p>
      <w:pPr>
        <w:pStyle w:val="TextBody"/>
        <w:bidi w:val="0"/>
        <w:spacing w:before="180" w:after="80"/>
        <w:ind w:left="0" w:right="0" w:firstLine="360"/>
        <w:jc w:val="left"/>
        <w:rPr/>
      </w:pPr>
      <w:r>
        <w:rPr/>
      </w:r>
    </w:p>
    <w:p>
      <w:pPr>
        <w:pStyle w:val="TextBody"/>
        <w:bidi w:val="0"/>
        <w:spacing w:before="180" w:after="80"/>
        <w:ind w:left="0" w:right="0" w:firstLine="360"/>
        <w:jc w:val="left"/>
        <w:rPr/>
      </w:pPr>
      <w:r>
        <w:rPr/>
      </w:r>
    </w:p>
    <w:p>
      <w:pPr>
        <w:pStyle w:val="TextBody"/>
        <w:bidi w:val="0"/>
        <w:spacing w:before="180" w:after="80"/>
        <w:ind w:left="0" w:right="0" w:firstLine="360"/>
        <w:jc w:val="left"/>
        <w:rPr/>
      </w:pPr>
      <w:r>
        <w:rPr/>
      </w:r>
    </w:p>
    <w:p>
      <w:pPr>
        <w:pStyle w:val="TextBody"/>
        <w:bidi w:val="0"/>
        <w:spacing w:before="180" w:after="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18. Borrowings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summarizes the Company’s debt position:</w:t>
      </w:r>
    </w:p>
    <w:tbl>
      <w:tblPr>
        <w:tblW w:w="10205" w:type="dxa"/>
        <w:jc w:val="left"/>
        <w:tblInd w:w="0" w:type="dxa"/>
        <w:tblLayout w:type="fixed"/>
        <w:tblCellMar>
          <w:top w:w="28" w:type="dxa"/>
          <w:left w:w="28" w:type="dxa"/>
          <w:bottom w:w="28" w:type="dxa"/>
          <w:right w:w="28" w:type="dxa"/>
        </w:tblCellMar>
      </w:tblPr>
      <w:tblGrid>
        <w:gridCol w:w="623"/>
        <w:gridCol w:w="447"/>
        <w:gridCol w:w="448"/>
        <w:gridCol w:w="231"/>
        <w:gridCol w:w="905"/>
        <w:gridCol w:w="119"/>
        <w:gridCol w:w="109"/>
        <w:gridCol w:w="109"/>
        <w:gridCol w:w="109"/>
        <w:gridCol w:w="223"/>
        <w:gridCol w:w="762"/>
        <w:gridCol w:w="115"/>
        <w:gridCol w:w="109"/>
        <w:gridCol w:w="109"/>
        <w:gridCol w:w="109"/>
        <w:gridCol w:w="211"/>
        <w:gridCol w:w="826"/>
        <w:gridCol w:w="109"/>
        <w:gridCol w:w="109"/>
        <w:gridCol w:w="109"/>
        <w:gridCol w:w="109"/>
        <w:gridCol w:w="231"/>
        <w:gridCol w:w="905"/>
        <w:gridCol w:w="119"/>
        <w:gridCol w:w="109"/>
        <w:gridCol w:w="109"/>
        <w:gridCol w:w="109"/>
        <w:gridCol w:w="223"/>
        <w:gridCol w:w="762"/>
        <w:gridCol w:w="115"/>
        <w:gridCol w:w="109"/>
        <w:gridCol w:w="109"/>
        <w:gridCol w:w="109"/>
        <w:gridCol w:w="211"/>
        <w:gridCol w:w="826"/>
        <w:gridCol w:w="159"/>
      </w:tblGrid>
      <w:tr>
        <w:trPr/>
        <w:tc>
          <w:tcPr>
            <w:tcW w:w="62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borrowings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borrowings</w:t>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Long-term borrowings</w:t>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283,598 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Borrowings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98,484 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288,484 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Unamortized debt issuance costs for the Company’s revolving credit facility of $507 and $895 as of December 31, 2025 and 2024, respectively, are presented under “Other current assets” and “Other assets,” as applicable, in the consolidated balance sheets. </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held a $300,000 revolving credit facility pursuant to its credit agreement (the “Credit Agreement”), dated as of November 21, 2017 with certain lenders and Citibank N.A. as Administrative Agent. This agreement was amended and restated in April 2022, followed by the First Amendment to Amended and Restated Credit Agreement in August 2024 (the “2024 Credit Agreement”). Among other things, the 2024 Credit Agreement increased revolving credit commitments to $500,000 and provided a new term loan facility of $100,000 with an annual repayment amount of 5%. The increased revolving credit facility and the new term loan facility both mature on April 18, 2027.</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2024 Credit Agreement, obligations are guaranteed by the Company’s wholly-owned material domestic subsidiaries and secured by substantially all of the assets of the Company and its material domestic subsidiaries. The agreement includes a letter of credit sub-facility, permits voluntary prepayments without premium or penalty, and allows borrowings to be used for working capital, general corporate purposes, and permitted acquisitions.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2024 Credit Agreement contains customary affirmative and negative covenants, including, but not limited to, restrictions on the ability to incur indebtedness, create liens, make certain investments, make certain dividends and distributions, enter into, or undertake, certain liquidations, mergers, consolidations or acquisitions and dispose of certain assets or subsidiaries. In addition, the 2024 Credit Agreement contains a covenant to not permit the interest coverage ratio or the total net leverage ratio for the four consecutive quarter period ending on the last day of each fiscal quarter, to be less than 3.0 to 1.0 or more than 3.5 to 1.0, respectively. As of December 31, 2025 and 2024, the Company was in compliance with the financial covenants under the 2024 Credit Agreement.</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2024 Credit Agreement, obligations bear interest at a rate equal to either the specified prime rate (alternate base rate) or the adjusted secured overnight financing rate (SOFR), in each case plus an applicable margin tied to the Company’s total net leverage ratio. The applicable margin on the revolving credit facility ranges from 0% to 0.75% per annum on loans pegged to the specified prime rate and 0.88% to 1.75% per annum on loans pegged to the adjusted SOFR, while the margin on the term loan facility ranges from 0.13% to 1.00% per annum on loans pegged to the specified prime rate, and 1.13% to 2.00% per annum on loans pegged to the adjusted SOFR. The revolving credit commitments under the 2024 Credit Agreement are subject to a commitment fee which is also tied to the Company’s total net leverage ratio, and ranges from 0.13% to 0.28% per annum on the average daily amount by which the aggregate revolving commitments exceed the sum of outstanding revolving loans and letter of credit obligations.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rates of the revolving credit facility and the term loan facility are as follows:</w:t>
      </w:r>
    </w:p>
    <w:tbl>
      <w:tblPr>
        <w:tblW w:w="4859" w:type="dxa"/>
        <w:jc w:val="left"/>
        <w:tblInd w:w="0" w:type="dxa"/>
        <w:tblLayout w:type="fixed"/>
        <w:tblCellMar>
          <w:top w:w="28" w:type="dxa"/>
          <w:left w:w="28" w:type="dxa"/>
          <w:bottom w:w="28" w:type="dxa"/>
          <w:right w:w="28" w:type="dxa"/>
        </w:tblCellMar>
      </w:tblPr>
      <w:tblGrid>
        <w:gridCol w:w="771"/>
        <w:gridCol w:w="677"/>
        <w:gridCol w:w="681"/>
        <w:gridCol w:w="203"/>
        <w:gridCol w:w="203"/>
        <w:gridCol w:w="271"/>
        <w:gridCol w:w="109"/>
        <w:gridCol w:w="109"/>
        <w:gridCol w:w="109"/>
        <w:gridCol w:w="203"/>
        <w:gridCol w:w="203"/>
        <w:gridCol w:w="271"/>
        <w:gridCol w:w="109"/>
        <w:gridCol w:w="109"/>
        <w:gridCol w:w="109"/>
        <w:gridCol w:w="203"/>
        <w:gridCol w:w="203"/>
        <w:gridCol w:w="316"/>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maturity profile of the Company’s long-term borrowings, excluding debt issuance costs, outstanding as of December 31, 2025 was as follows:</w:t>
      </w:r>
    </w:p>
    <w:tbl>
      <w:tblPr>
        <w:tblW w:w="4505" w:type="dxa"/>
        <w:jc w:val="left"/>
        <w:tblInd w:w="0" w:type="dxa"/>
        <w:tblLayout w:type="fixed"/>
        <w:tblCellMar>
          <w:top w:w="28" w:type="dxa"/>
          <w:left w:w="28" w:type="dxa"/>
          <w:bottom w:w="28" w:type="dxa"/>
          <w:right w:w="28" w:type="dxa"/>
        </w:tblCellMar>
      </w:tblPr>
      <w:tblGrid>
        <w:gridCol w:w="201"/>
        <w:gridCol w:w="176"/>
        <w:gridCol w:w="179"/>
        <w:gridCol w:w="350"/>
        <w:gridCol w:w="1373"/>
        <w:gridCol w:w="181"/>
        <w:gridCol w:w="109"/>
        <w:gridCol w:w="109"/>
        <w:gridCol w:w="109"/>
        <w:gridCol w:w="295"/>
        <w:gridCol w:w="1008"/>
        <w:gridCol w:w="152"/>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provides standby letters of credit to third parties primarily for facility leases. As of December 31, 2025 and 2024, the Company had outstanding letters of credit of $1,598 and $761, respectively, that were not recognized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19. Capital Structure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one class of common stock outstanding. Holders of the Company's common stock are entitled to one vote per share. Upon the liquidation or dissolution of the Company, its common stockholders are entitled to receive a ratable share of the available net assets of the Company after payment of all debts and other liabilities. The Company's shares of common stock have no preemptive, subscription, redemption or conversion rights.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76"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purchased shares of its common stock from certain employees in connection with withholding tax payments related to the vesting of restricted stock units and performance-based restricted stock units, as below:</w:t>
      </w:r>
    </w:p>
    <w:tbl>
      <w:tblPr>
        <w:tblW w:w="10205" w:type="dxa"/>
        <w:jc w:val="left"/>
        <w:tblInd w:w="0" w:type="dxa"/>
        <w:tblLayout w:type="fixed"/>
        <w:tblCellMar>
          <w:top w:w="28" w:type="dxa"/>
          <w:left w:w="28" w:type="dxa"/>
          <w:bottom w:w="28" w:type="dxa"/>
          <w:right w:w="28" w:type="dxa"/>
        </w:tblCellMar>
      </w:tblPr>
      <w:tblGrid>
        <w:gridCol w:w="925"/>
        <w:gridCol w:w="812"/>
        <w:gridCol w:w="818"/>
        <w:gridCol w:w="109"/>
        <w:gridCol w:w="109"/>
        <w:gridCol w:w="109"/>
        <w:gridCol w:w="539"/>
        <w:gridCol w:w="533"/>
        <w:gridCol w:w="535"/>
        <w:gridCol w:w="109"/>
        <w:gridCol w:w="109"/>
        <w:gridCol w:w="109"/>
        <w:gridCol w:w="316"/>
        <w:gridCol w:w="1083"/>
        <w:gridCol w:w="164"/>
        <w:gridCol w:w="109"/>
        <w:gridCol w:w="109"/>
        <w:gridCol w:w="109"/>
        <w:gridCol w:w="751"/>
        <w:gridCol w:w="2194"/>
        <w:gridCol w:w="554"/>
      </w:tblGrid>
      <w:tr>
        <w:trPr/>
        <w:tc>
          <w:tcPr>
            <w:tcW w:w="9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purchase price per share </w:t>
            </w:r>
            <w:r>
              <w:rPr>
                <w:rFonts w:ascii="Times New Roman;serif" w:hAnsi="Times New Roman;serif"/>
                <w:b/>
                <w:color w:val="000000"/>
                <w:sz w:val="12"/>
              </w:rPr>
              <w:t>(1)</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229,483 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303,836 </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237,047 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ind w:left="0" w:right="0" w:firstLine="495"/>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weighted average purchase price per share is based on the closing price of the Company’s common stock on the Nasdaq Global Select Market on the trading day prior to the applicable vesting date of the restricted stock units.</w:t>
      </w:r>
    </w:p>
    <w:p>
      <w:pPr>
        <w:pStyle w:val="TextBody"/>
        <w:bidi w:val="0"/>
        <w:spacing w:lineRule="auto" w:line="276"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February 26, 2024, the Company’s board of directors authorized a $500,000 (excluding excise tax) common stock repurchase program beginning March 1, 2024 (the “2024 Repurchase Program”), and, on February 29, 2024, terminated the previous repurchase program, which had been effective since the beginning of 2022.</w:t>
      </w:r>
    </w:p>
    <w:p>
      <w:pPr>
        <w:pStyle w:val="TextBody"/>
        <w:bidi w:val="0"/>
        <w:spacing w:lineRule="auto" w:line="276"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entered into the 2024 ASR Agreement with Citibank to repurchase shares of its common stock for an aggregate purchase price of $125,000 under the 2024 Repurchase Program. The Company received an initial delivery of 3,350,084 shares in March 2024, representing 80% of the aggregate purchase price, which was recorded in treasury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stock, while a prepayment of $25,000 was recorded in additional paid-in capital to reflect the pending settlement. The Company received an additional 820,433 shares upon final settlement in July 2024.</w:t>
      </w:r>
    </w:p>
    <w:p>
      <w:pPr>
        <w:pStyle w:val="TextBody"/>
        <w:bidi w:val="0"/>
        <w:spacing w:lineRule="auto" w:line="276" w:before="240" w:after="283"/>
        <w:ind w:left="0" w:right="0" w:firstLine="495"/>
        <w:jc w:val="both"/>
        <w:rPr/>
      </w:pPr>
      <w:r>
        <w:rPr>
          <w:rFonts w:ascii="Times New Roman;serif" w:hAnsi="Times New Roman;serif"/>
          <w:b w:val="false"/>
          <w:color w:val="000000"/>
          <w:sz w:val="20"/>
        </w:rPr>
        <w:t xml:space="preserve">On July 29, 2025, the Company entered into the 2025 ASR Agreement with Citibank to repurchase shares of its common stock for an aggregate purchase price of $125,000, as part of the Company’s 2024 Repurchase Program. Upon payment of the aggregate purchase price of $125,000, the Company received an initial delivery of 2,302,556 shares of its common stock at an initial price of $43.43 per share, representing 80% of the aggregate purchase price. The Company funded the repurchase with available cash on hand and borrowing from its revolving credit facility. The 2025 ASR Agreement was accounted for as a treasury stock transaction and forward stock purchase agreement indexed to the Company’s common stock. The forward stock purchase agreement was classified as an equity instrument under ASC Topic 815-40, </w:t>
      </w:r>
      <w:r>
        <w:rPr>
          <w:rFonts w:ascii="Times New Roman;serif" w:hAnsi="Times New Roman;serif"/>
          <w:b w:val="false"/>
          <w:i/>
          <w:color w:val="000000"/>
          <w:sz w:val="20"/>
        </w:rPr>
        <w:t>Contracts in Entity's Own Equity</w:t>
      </w:r>
      <w:r>
        <w:rPr>
          <w:rFonts w:ascii="Times New Roman;serif" w:hAnsi="Times New Roman;serif"/>
          <w:b w:val="false"/>
          <w:color w:val="000000"/>
          <w:sz w:val="20"/>
        </w:rPr>
        <w:t>, and deemed to have a fair value of zero at the effective date. The prepayment of $25,000 was initially recorded in additional paid-in capital, which reflected the pending settlement of the 2025 ASR Agreement. Under the terms of the 2025 ASR Agreement, the ultimate number of shares of Common Stock that the Company repurchased was based on the average of the daily volume-weighted average prices of the Common Stock during the term of the 2025 ASR Agreement, less a discount and subject to adjustments pursuant to the terms and conditions of the 2025 ASR Agreement.</w:t>
      </w:r>
    </w:p>
    <w:p>
      <w:pPr>
        <w:pStyle w:val="TextBody"/>
        <w:bidi w:val="0"/>
        <w:spacing w:lineRule="auto" w:line="276"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31, 2025, upon final settlement of the 2025 ASR Agreement, the Company received 678,980 additional shares of its common stock based on a daily volume-weighted average price of $41.92 per share during the term of the 2025 ASR Agreement. The additional shares received were recorded as treasury stock at a fair market value of $39.10 per share, and $1,548 was recorded in additional paid-in capital. </w:t>
      </w:r>
    </w:p>
    <w:p>
      <w:pPr>
        <w:pStyle w:val="TextBody"/>
        <w:bidi w:val="0"/>
        <w:spacing w:lineRule="auto" w:line="276"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Under the Company’s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purchased shares of its common stock, for a total consideration including commissions but excluding excise tax, under its repurchase programs, as below:</w:t>
      </w:r>
    </w:p>
    <w:tbl>
      <w:tblPr>
        <w:tblW w:w="10205" w:type="dxa"/>
        <w:jc w:val="left"/>
        <w:tblInd w:w="0" w:type="dxa"/>
        <w:tblLayout w:type="fixed"/>
        <w:tblCellMar>
          <w:top w:w="28" w:type="dxa"/>
          <w:left w:w="28" w:type="dxa"/>
          <w:bottom w:w="28" w:type="dxa"/>
          <w:right w:w="28" w:type="dxa"/>
        </w:tblCellMar>
      </w:tblPr>
      <w:tblGrid>
        <w:gridCol w:w="948"/>
        <w:gridCol w:w="833"/>
        <w:gridCol w:w="839"/>
        <w:gridCol w:w="109"/>
        <w:gridCol w:w="109"/>
        <w:gridCol w:w="109"/>
        <w:gridCol w:w="540"/>
        <w:gridCol w:w="540"/>
        <w:gridCol w:w="542"/>
        <w:gridCol w:w="109"/>
        <w:gridCol w:w="109"/>
        <w:gridCol w:w="109"/>
        <w:gridCol w:w="290"/>
        <w:gridCol w:w="1139"/>
        <w:gridCol w:w="150"/>
        <w:gridCol w:w="109"/>
        <w:gridCol w:w="109"/>
        <w:gridCol w:w="109"/>
        <w:gridCol w:w="731"/>
        <w:gridCol w:w="2135"/>
        <w:gridCol w:w="537"/>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purchase price per share</w:t>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253,208 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6,273,381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15, 2025, the Company repurchased 1,551,970 shares of the Company’s common stock from Orogen for an aggregate purchase price of $63,374, based on a purchase price per share of $40.83, which is the volume weighted average price over the 5 days prior to settlement. The shares were privately repurchased from Orogen under a Stock Purchase Agreement dated December 15, 2025, which is separate from the Company’s 2024 Repurchase Program.</w:t>
      </w:r>
    </w:p>
    <w:p>
      <w:pPr>
        <w:pStyle w:val="TextBody"/>
        <w:bidi w:val="0"/>
        <w:spacing w:lineRule="auto" w:line="276"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Repurchased shares have been recorded as treasury shares and will be held until the Company’s board of directors designates that these shares be retired or used for other purposes.</w:t>
      </w:r>
    </w:p>
    <w:p>
      <w:pPr>
        <w:pStyle w:val="TextBody"/>
        <w:bidi w:val="0"/>
        <w:spacing w:lineRule="auto" w:line="276"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Inflation Reduction Act, the Company is required to pay a 1% excise tax on the fair market value of each share of common stock repurchased, net of stock issuances. The Company recognized excise tax of $1,934 and $1,096 during the years ended December 31, 2025 and 2024, respectively.</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not paid or declared any cash dividends on its common stock during the years ended December 31, 2025, 2024 and 2023. The Company’s borrowings under its 2024 Credit Agreement could restrict its ability to declare or make any dividends or similar distributions.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20. Employee Benefit Plans</w:t>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pStyle w:val="TextBody"/>
        <w:bidi w:val="0"/>
        <w:spacing w:before="0" w:after="0"/>
        <w:ind w:left="0" w:right="0" w:firstLine="495"/>
        <w:jc w:val="both"/>
        <w:rPr/>
      </w:pPr>
      <w:r>
        <w:rPr/>
      </w:r>
    </w:p>
    <w:p>
      <w:pPr>
        <w:pStyle w:val="TextBody"/>
        <w:bidi w:val="0"/>
        <w:spacing w:lineRule="auto" w:line="288" w:before="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 Company earned a return of approximately 7.0% per annum on the India Plan for the year ended December 31, 2025.</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benefit obligation has been measured as of December 31, 2025 and 2024. The following table sets forth the activity and the funded status of the gratuity plans and the amounts recognized in the Company’s consolidated financial statements:</w:t>
      </w:r>
    </w:p>
    <w:tbl>
      <w:tblPr>
        <w:tblW w:w="9035" w:type="dxa"/>
        <w:jc w:val="left"/>
        <w:tblInd w:w="0" w:type="dxa"/>
        <w:tblLayout w:type="fixed"/>
        <w:tblCellMar>
          <w:top w:w="28" w:type="dxa"/>
          <w:left w:w="28" w:type="dxa"/>
          <w:bottom w:w="28" w:type="dxa"/>
          <w:right w:w="28" w:type="dxa"/>
        </w:tblCellMar>
      </w:tblPr>
      <w:tblGrid>
        <w:gridCol w:w="2267"/>
        <w:gridCol w:w="1986"/>
        <w:gridCol w:w="2001"/>
        <w:gridCol w:w="109"/>
        <w:gridCol w:w="109"/>
        <w:gridCol w:w="109"/>
        <w:gridCol w:w="211"/>
        <w:gridCol w:w="721"/>
        <w:gridCol w:w="109"/>
        <w:gridCol w:w="109"/>
        <w:gridCol w:w="109"/>
        <w:gridCol w:w="109"/>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Change in projected benefit obligation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as of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Prior service cost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Actuarial loss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as of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assets as of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assets 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Unfunded status 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the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(included under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(included under 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 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assets in shortfall of accumulated benefit obligation as of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Effective November 21, 2025, the Government of India has consolidated multiple existing labor legislations into a unified framework comprising four labor codes collectively referred to as the new “Labor Codes”. The Labor Codes, amongst other things introduces changes, including a uniform definition of wages. These legislative changes have resulted in an increase in the projected benefit obligation and the same has been recognized as prior service cost in OCI.</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During the years ended December 31, 2025 and 2024, actuarial loss was driven by changes in actuarial assumptions, offset by experience adjustments on present value of benefit obligations.</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Components of net periodic benefit costs recognized in consolidated statements of income and retirement benefits reclassified from AOCI, were as follows:</w:t>
      </w:r>
    </w:p>
    <w:tbl>
      <w:tblPr>
        <w:tblW w:w="8651" w:type="dxa"/>
        <w:jc w:val="center"/>
        <w:tblInd w:w="0" w:type="dxa"/>
        <w:tblLayout w:type="fixed"/>
        <w:tblCellMar>
          <w:top w:w="28" w:type="dxa"/>
          <w:left w:w="28" w:type="dxa"/>
          <w:bottom w:w="28" w:type="dxa"/>
          <w:right w:w="28" w:type="dxa"/>
        </w:tblCellMar>
      </w:tblPr>
      <w:tblGrid>
        <w:gridCol w:w="1860"/>
        <w:gridCol w:w="1635"/>
        <w:gridCol w:w="1649"/>
        <w:gridCol w:w="211"/>
        <w:gridCol w:w="616"/>
        <w:gridCol w:w="109"/>
        <w:gridCol w:w="109"/>
        <w:gridCol w:w="109"/>
        <w:gridCol w:w="109"/>
        <w:gridCol w:w="211"/>
        <w:gridCol w:w="616"/>
        <w:gridCol w:w="109"/>
        <w:gridCol w:w="109"/>
        <w:gridCol w:w="109"/>
        <w:gridCol w:w="109"/>
        <w:gridCol w:w="211"/>
        <w:gridCol w:w="616"/>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retirement benefits from AOCI:</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retirement benefits from AOCI, gross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retirement benefits from AOCI,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retirement benefits included in AOCI, excluding tax effects, were as follows:</w:t>
      </w:r>
    </w:p>
    <w:tbl>
      <w:tblPr>
        <w:tblW w:w="7841" w:type="dxa"/>
        <w:jc w:val="left"/>
        <w:tblInd w:w="0" w:type="dxa"/>
        <w:tblLayout w:type="fixed"/>
        <w:tblCellMar>
          <w:top w:w="28" w:type="dxa"/>
          <w:left w:w="28" w:type="dxa"/>
          <w:bottom w:w="28" w:type="dxa"/>
          <w:right w:w="28" w:type="dxa"/>
        </w:tblCellMar>
      </w:tblPr>
      <w:tblGrid>
        <w:gridCol w:w="1531"/>
        <w:gridCol w:w="1346"/>
        <w:gridCol w:w="1352"/>
        <w:gridCol w:w="211"/>
        <w:gridCol w:w="796"/>
        <w:gridCol w:w="109"/>
        <w:gridCol w:w="109"/>
        <w:gridCol w:w="109"/>
        <w:gridCol w:w="109"/>
        <w:gridCol w:w="211"/>
        <w:gridCol w:w="691"/>
        <w:gridCol w:w="109"/>
        <w:gridCol w:w="109"/>
        <w:gridCol w:w="109"/>
        <w:gridCol w:w="109"/>
        <w:gridCol w:w="211"/>
        <w:gridCol w:w="46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gain/(loss)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prior service cost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recognized in AOCI, excluding tax effects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it will make contributions of $10,000 during the year ending on December 31, 2026 for the defined benefit plans.</w:t>
      </w:r>
    </w:p>
    <w:p>
      <w:pPr>
        <w:pStyle w:val="TextBody"/>
        <w:bidi w:val="0"/>
        <w:spacing w:lineRule="auto" w:line="288" w:before="180" w:after="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 average actuarial assumptions used to determine benefit obligations and net periodic benefit cost were:</w:t>
      </w:r>
    </w:p>
    <w:tbl>
      <w:tblPr>
        <w:tblW w:w="7604" w:type="dxa"/>
        <w:jc w:val="left"/>
        <w:tblInd w:w="0" w:type="dxa"/>
        <w:tblLayout w:type="fixed"/>
        <w:tblCellMar>
          <w:top w:w="28" w:type="dxa"/>
          <w:left w:w="28" w:type="dxa"/>
          <w:bottom w:w="28" w:type="dxa"/>
          <w:right w:w="28" w:type="dxa"/>
        </w:tblCellMar>
      </w:tblPr>
      <w:tblGrid>
        <w:gridCol w:w="1763"/>
        <w:gridCol w:w="1546"/>
        <w:gridCol w:w="1565"/>
        <w:gridCol w:w="203"/>
        <w:gridCol w:w="203"/>
        <w:gridCol w:w="271"/>
        <w:gridCol w:w="109"/>
        <w:gridCol w:w="109"/>
        <w:gridCol w:w="109"/>
        <w:gridCol w:w="203"/>
        <w:gridCol w:w="203"/>
        <w:gridCol w:w="271"/>
        <w:gridCol w:w="109"/>
        <w:gridCol w:w="109"/>
        <w:gridCol w:w="109"/>
        <w:gridCol w:w="203"/>
        <w:gridCol w:w="203"/>
        <w:gridCol w:w="316"/>
      </w:tblGrid>
      <w:tr>
        <w:trPr/>
        <w:tc>
          <w:tcPr>
            <w:tcW w:w="176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increase in compensation levels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long-term rate of return on plan assets per annum</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180" w:after="80"/>
        <w:ind w:left="0" w:right="0" w:firstLine="495"/>
        <w:jc w:val="center"/>
        <w:rPr/>
      </w:pPr>
      <w:r>
        <w:rPr/>
      </w:r>
    </w:p>
    <w:p>
      <w:pPr>
        <w:pStyle w:val="TextBody"/>
        <w:bidi w:val="0"/>
        <w:spacing w:lineRule="auto" w:line="288" w:before="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evaluates these assumptions annually based on its long-term plans of growth and industry standards. The discount rates are either based on current market yields on government securities or yields on government securities adjusted for a suitable risk premium, if available.</w:t>
      </w:r>
    </w:p>
    <w:tbl>
      <w:tblPr>
        <w:tblW w:w="6456" w:type="dxa"/>
        <w:jc w:val="left"/>
        <w:tblInd w:w="0" w:type="dxa"/>
        <w:tblLayout w:type="fixed"/>
        <w:tblCellMar>
          <w:top w:w="28" w:type="dxa"/>
          <w:left w:w="28" w:type="dxa"/>
          <w:bottom w:w="28" w:type="dxa"/>
          <w:right w:w="28" w:type="dxa"/>
        </w:tblCellMar>
      </w:tblPr>
      <w:tblGrid>
        <w:gridCol w:w="1947"/>
        <w:gridCol w:w="1707"/>
        <w:gridCol w:w="1716"/>
        <w:gridCol w:w="211"/>
        <w:gridCol w:w="721"/>
        <w:gridCol w:w="154"/>
      </w:tblGrid>
      <w:tr>
        <w:trPr/>
        <w:tc>
          <w:tcPr>
            <w:tcW w:w="194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benefit payments during the year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to 2035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pStyle w:val="TextBody"/>
        <w:bidi w:val="0"/>
        <w:spacing w:lineRule="auto" w:line="276"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contributions to various defined contribution plans were as follows:</w:t>
      </w:r>
    </w:p>
    <w:tbl>
      <w:tblPr>
        <w:tblW w:w="10205" w:type="dxa"/>
        <w:jc w:val="left"/>
        <w:tblInd w:w="0" w:type="dxa"/>
        <w:tblLayout w:type="fixed"/>
        <w:tblCellMar>
          <w:top w:w="28" w:type="dxa"/>
          <w:left w:w="28" w:type="dxa"/>
          <w:bottom w:w="28" w:type="dxa"/>
          <w:right w:w="28" w:type="dxa"/>
        </w:tblCellMar>
      </w:tblPr>
      <w:tblGrid>
        <w:gridCol w:w="2205"/>
        <w:gridCol w:w="1919"/>
        <w:gridCol w:w="1930"/>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205"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the 401(k)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to the defined contribution plans in foreign subsidiaries of the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21. Leases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conducts its operations using facilities leased under operating lease agreements that expire at various dates, with options to extend or terminate before expiration date. The Company finances its use of certain motor vehicles, leasehold improvements and other equipment under various lease arrangements provided by financial institutions. The lease agreements do not contain any covenants to impose any restrictions except for market-standard practice for similar lease arrangements.</w:t>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The Company had performed an evaluation of its contracts with suppliers in accordance with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and had determined that, except for leases for office facilities, motor vehicles and other equipment as described above, none of the Company’s contracts contain a lease.</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20" w:after="260"/>
        <w:jc w:val="both"/>
        <w:rPr>
          <w:rFonts w:ascii="Times New Roman;serif" w:hAnsi="Times New Roman;serif"/>
          <w:b/>
          <w:i/>
          <w:color w:val="000000"/>
          <w:sz w:val="20"/>
        </w:rPr>
      </w:pPr>
      <w:r>
        <w:rPr>
          <w:rFonts w:ascii="Times New Roman;serif" w:hAnsi="Times New Roman;serif"/>
          <w:b/>
          <w:i/>
          <w:color w:val="000000"/>
          <w:sz w:val="20"/>
        </w:rPr>
        <w:t>Supplemental balance sheet information</w:t>
      </w:r>
    </w:p>
    <w:tbl>
      <w:tblPr>
        <w:tblW w:w="7119" w:type="dxa"/>
        <w:jc w:val="left"/>
        <w:tblInd w:w="0" w:type="dxa"/>
        <w:tblLayout w:type="fixed"/>
        <w:tblCellMar>
          <w:top w:w="28" w:type="dxa"/>
          <w:left w:w="28" w:type="dxa"/>
          <w:bottom w:w="28" w:type="dxa"/>
          <w:right w:w="28" w:type="dxa"/>
        </w:tblCellMar>
      </w:tblPr>
      <w:tblGrid>
        <w:gridCol w:w="1207"/>
        <w:gridCol w:w="1059"/>
        <w:gridCol w:w="1064"/>
        <w:gridCol w:w="109"/>
        <w:gridCol w:w="109"/>
        <w:gridCol w:w="109"/>
        <w:gridCol w:w="284"/>
        <w:gridCol w:w="1114"/>
        <w:gridCol w:w="147"/>
        <w:gridCol w:w="109"/>
        <w:gridCol w:w="109"/>
        <w:gridCol w:w="109"/>
        <w:gridCol w:w="309"/>
        <w:gridCol w:w="1056"/>
        <w:gridCol w:w="225"/>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105,024 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76,342 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 -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which are included in the Company’s consolidated statements of income, are as follows:</w:t>
      </w:r>
    </w:p>
    <w:tbl>
      <w:tblPr>
        <w:tblW w:w="7478" w:type="dxa"/>
        <w:jc w:val="left"/>
        <w:tblInd w:w="0" w:type="dxa"/>
        <w:tblLayout w:type="fixed"/>
        <w:tblCellMar>
          <w:top w:w="28" w:type="dxa"/>
          <w:left w:w="28" w:type="dxa"/>
          <w:bottom w:w="28" w:type="dxa"/>
          <w:right w:w="28" w:type="dxa"/>
        </w:tblCellMar>
      </w:tblPr>
      <w:tblGrid>
        <w:gridCol w:w="1204"/>
        <w:gridCol w:w="1060"/>
        <w:gridCol w:w="1065"/>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on underlying ROU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Includes short-term leases, which are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417" w:before="180" w:after="180"/>
        <w:jc w:val="left"/>
        <w:rPr>
          <w:rFonts w:ascii="Times New Roman;serif" w:hAnsi="Times New Roman;serif"/>
          <w:b/>
          <w:i/>
          <w:color w:val="000000"/>
          <w:sz w:val="20"/>
        </w:rPr>
      </w:pPr>
      <w:r>
        <w:rPr>
          <w:rFonts w:ascii="Times New Roman;serif" w:hAnsi="Times New Roman;serif"/>
          <w:b/>
          <w:i/>
          <w:color w:val="000000"/>
          <w:sz w:val="20"/>
        </w:rPr>
        <w:t>Supplemental cash flow and other information related to leases are as follows:</w:t>
      </w:r>
    </w:p>
    <w:tbl>
      <w:tblPr>
        <w:tblW w:w="10205" w:type="dxa"/>
        <w:jc w:val="left"/>
        <w:tblInd w:w="0" w:type="dxa"/>
        <w:tblLayout w:type="fixed"/>
        <w:tblCellMar>
          <w:top w:w="28" w:type="dxa"/>
          <w:left w:w="28" w:type="dxa"/>
          <w:bottom w:w="28" w:type="dxa"/>
          <w:right w:w="28" w:type="dxa"/>
        </w:tblCellMar>
      </w:tblPr>
      <w:tblGrid>
        <w:gridCol w:w="2195"/>
        <w:gridCol w:w="1924"/>
        <w:gridCol w:w="1935"/>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19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amounts included in the measurement of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for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for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years</w:t>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years</w:t>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r>
    </w:tbl>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of its lease liabilities by $16,299 and $3,372, during the year ended December 31, 2025 and 2024, respectively, with a corresponding adjustment to ROU assets.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did not have any significant leases that have not yet commenced but that create significant rights and obligations for the Company.</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impairment of ROU assets as of December 31, 2025 and 2024.</w:t>
      </w:r>
    </w:p>
    <w:p>
      <w:pPr>
        <w:pStyle w:val="TextBody"/>
        <w:bidi w:val="0"/>
        <w:spacing w:lineRule="auto" w:line="288" w:before="180" w:after="180"/>
        <w:ind w:left="0" w:right="0" w:firstLine="450"/>
        <w:jc w:val="both"/>
        <w:rPr>
          <w:rFonts w:ascii="Times New Roman;serif" w:hAnsi="Times New Roman;serif"/>
          <w:b/>
          <w:color w:val="000000"/>
          <w:sz w:val="20"/>
        </w:rPr>
      </w:pPr>
      <w:r>
        <w:rPr>
          <w:rFonts w:ascii="Times New Roman;serif" w:hAnsi="Times New Roman;serif"/>
          <w:b/>
          <w:color w:val="000000"/>
          <w:sz w:val="20"/>
        </w:rPr>
        <w:t>Maturities of lease liabilities as of December 31, 2025 were as follows:</w:t>
      </w:r>
    </w:p>
    <w:tbl>
      <w:tblPr>
        <w:tblW w:w="6084" w:type="dxa"/>
        <w:jc w:val="left"/>
        <w:tblInd w:w="0" w:type="dxa"/>
        <w:tblLayout w:type="fixed"/>
        <w:tblCellMar>
          <w:top w:w="28" w:type="dxa"/>
          <w:left w:w="28" w:type="dxa"/>
          <w:bottom w:w="28" w:type="dxa"/>
          <w:right w:w="28" w:type="dxa"/>
        </w:tblCellMar>
      </w:tblPr>
      <w:tblGrid>
        <w:gridCol w:w="970"/>
        <w:gridCol w:w="851"/>
        <w:gridCol w:w="864"/>
        <w:gridCol w:w="109"/>
        <w:gridCol w:w="109"/>
        <w:gridCol w:w="109"/>
        <w:gridCol w:w="265"/>
        <w:gridCol w:w="1038"/>
        <w:gridCol w:w="137"/>
        <w:gridCol w:w="109"/>
        <w:gridCol w:w="109"/>
        <w:gridCol w:w="109"/>
        <w:gridCol w:w="280"/>
        <w:gridCol w:w="820"/>
        <w:gridCol w:w="205"/>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134,622 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ind w:left="0" w:right="0" w:firstLine="360"/>
        <w:jc w:val="center"/>
        <w:rPr/>
      </w:pPr>
      <w:r>
        <w:rPr/>
      </w:r>
    </w:p>
    <w:p>
      <w:pPr>
        <w:pStyle w:val="TextBody"/>
        <w:bidi w:val="0"/>
        <w:spacing w:before="180" w:after="80"/>
        <w:jc w:val="center"/>
        <w:rPr/>
      </w:pPr>
      <w:r>
        <w:rPr/>
      </w:r>
    </w:p>
    <w:p>
      <w:pPr>
        <w:pStyle w:val="TextBody"/>
        <w:bidi w:val="0"/>
        <w:spacing w:before="180" w:after="80"/>
        <w:jc w:val="center"/>
        <w:rPr/>
      </w:pPr>
      <w:r>
        <w:rPr/>
      </w:r>
    </w:p>
    <w:p>
      <w:pPr>
        <w:pStyle w:val="TextBody"/>
        <w:bidi w:val="0"/>
        <w:spacing w:before="180" w:after="80"/>
        <w:jc w:val="center"/>
        <w:rPr/>
      </w:pPr>
      <w:r>
        <w:rPr/>
      </w:r>
    </w:p>
    <w:p>
      <w:pPr>
        <w:pStyle w:val="TextBody"/>
        <w:bidi w:val="0"/>
        <w:spacing w:before="1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22. Income Taxes</w:t>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income before income tax expense consist of the following:</w:t>
      </w:r>
    </w:p>
    <w:tbl>
      <w:tblPr>
        <w:tblW w:w="5023" w:type="dxa"/>
        <w:jc w:val="left"/>
        <w:tblInd w:w="0" w:type="dxa"/>
        <w:tblLayout w:type="fixed"/>
        <w:tblCellMar>
          <w:top w:w="28" w:type="dxa"/>
          <w:left w:w="28" w:type="dxa"/>
          <w:bottom w:w="28" w:type="dxa"/>
          <w:right w:w="28" w:type="dxa"/>
        </w:tblCellMar>
      </w:tblPr>
      <w:tblGrid>
        <w:gridCol w:w="321"/>
        <w:gridCol w:w="282"/>
        <w:gridCol w:w="283"/>
        <w:gridCol w:w="211"/>
        <w:gridCol w:w="826"/>
        <w:gridCol w:w="109"/>
        <w:gridCol w:w="109"/>
        <w:gridCol w:w="109"/>
        <w:gridCol w:w="109"/>
        <w:gridCol w:w="211"/>
        <w:gridCol w:w="826"/>
        <w:gridCol w:w="109"/>
        <w:gridCol w:w="109"/>
        <w:gridCol w:w="109"/>
        <w:gridCol w:w="109"/>
        <w:gridCol w:w="211"/>
        <w:gridCol w:w="82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180" w:after="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ind w:left="0" w:right="0" w:firstLine="495"/>
        <w:jc w:val="center"/>
        <w:rPr/>
      </w:pPr>
      <w:r>
        <w:rPr/>
      </w:r>
    </w:p>
    <w:p>
      <w:pPr>
        <w:pStyle w:val="TextBody"/>
        <w:bidi w:val="0"/>
        <w:spacing w:lineRule="auto" w:line="288" w:before="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Income tax expense/(benefit) consists of the following:</w:t>
      </w:r>
    </w:p>
    <w:tbl>
      <w:tblPr>
        <w:tblW w:w="6417" w:type="dxa"/>
        <w:jc w:val="left"/>
        <w:tblInd w:w="0" w:type="dxa"/>
        <w:tblLayout w:type="fixed"/>
        <w:tblCellMar>
          <w:top w:w="28" w:type="dxa"/>
          <w:left w:w="28" w:type="dxa"/>
          <w:bottom w:w="28" w:type="dxa"/>
          <w:right w:w="28" w:type="dxa"/>
        </w:tblCellMar>
      </w:tblPr>
      <w:tblGrid>
        <w:gridCol w:w="884"/>
        <w:gridCol w:w="779"/>
        <w:gridCol w:w="782"/>
        <w:gridCol w:w="211"/>
        <w:gridCol w:w="721"/>
        <w:gridCol w:w="109"/>
        <w:gridCol w:w="109"/>
        <w:gridCol w:w="109"/>
        <w:gridCol w:w="109"/>
        <w:gridCol w:w="211"/>
        <w:gridCol w:w="796"/>
        <w:gridCol w:w="109"/>
        <w:gridCol w:w="109"/>
        <w:gridCol w:w="109"/>
        <w:gridCol w:w="109"/>
        <w:gridCol w:w="211"/>
        <w:gridCol w:w="79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provision: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provision/(benefit):</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ind w:left="0" w:right="0" w:firstLine="360"/>
        <w:jc w:val="center"/>
        <w:rPr/>
      </w:pPr>
      <w:r>
        <w:rPr/>
      </w:r>
    </w:p>
    <w:p>
      <w:pPr>
        <w:pStyle w:val="TextBody"/>
        <w:bidi w:val="0"/>
        <w:spacing w:lineRule="auto" w:line="268" w:before="80" w:after="180"/>
        <w:jc w:val="both"/>
        <w:rPr>
          <w:rFonts w:ascii="Times New Roman;serif" w:hAnsi="Times New Roman;serif"/>
          <w:b w:val="false"/>
          <w:color w:val="000000"/>
          <w:sz w:val="20"/>
        </w:rPr>
      </w:pPr>
      <w:r>
        <w:rPr>
          <w:rFonts w:ascii="Times New Roman;serif" w:hAnsi="Times New Roman;serif"/>
          <w:b w:val="false"/>
          <w:color w:val="000000"/>
          <w:sz w:val="20"/>
        </w:rPr>
        <w:t>Deferred income taxes recognized in OCI were as follows:</w:t>
      </w:r>
    </w:p>
    <w:tbl>
      <w:tblPr>
        <w:tblW w:w="7782" w:type="dxa"/>
        <w:jc w:val="left"/>
        <w:tblInd w:w="0" w:type="dxa"/>
        <w:tblLayout w:type="fixed"/>
        <w:tblCellMar>
          <w:top w:w="28" w:type="dxa"/>
          <w:left w:w="28" w:type="dxa"/>
          <w:bottom w:w="28" w:type="dxa"/>
          <w:right w:w="28" w:type="dxa"/>
        </w:tblCellMar>
      </w:tblPr>
      <w:tblGrid>
        <w:gridCol w:w="1520"/>
        <w:gridCol w:w="1338"/>
        <w:gridCol w:w="1342"/>
        <w:gridCol w:w="211"/>
        <w:gridCol w:w="616"/>
        <w:gridCol w:w="109"/>
        <w:gridCol w:w="109"/>
        <w:gridCol w:w="109"/>
        <w:gridCol w:w="109"/>
        <w:gridCol w:w="211"/>
        <w:gridCol w:w="616"/>
        <w:gridCol w:w="109"/>
        <w:gridCol w:w="109"/>
        <w:gridCol w:w="109"/>
        <w:gridCol w:w="109"/>
        <w:gridCol w:w="211"/>
        <w:gridCol w:w="691"/>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 benefit/(expense) recognized 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 on cash flow hedges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cash flow hedges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retirement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180"/>
        <w:ind w:left="0" w:right="0" w:firstLine="450"/>
        <w:jc w:val="both"/>
        <w:rPr/>
      </w:pPr>
      <w:r>
        <w:rPr/>
      </w:r>
    </w:p>
    <w:p>
      <w:pPr>
        <w:pStyle w:val="TextBody"/>
        <w:bidi w:val="0"/>
        <w:spacing w:before="80" w:after="180"/>
        <w:ind w:left="0" w:right="0" w:firstLine="450"/>
        <w:jc w:val="both"/>
        <w:rPr/>
      </w:pPr>
      <w:r>
        <w:rPr/>
      </w:r>
    </w:p>
    <w:p>
      <w:pPr>
        <w:pStyle w:val="TextBody"/>
        <w:bidi w:val="0"/>
        <w:spacing w:before="80" w:after="180"/>
        <w:ind w:left="0" w:right="0" w:firstLine="450"/>
        <w:jc w:val="both"/>
        <w:rPr/>
      </w:pPr>
      <w:r>
        <w:rPr/>
      </w:r>
    </w:p>
    <w:p>
      <w:pPr>
        <w:pStyle w:val="TextBody"/>
        <w:bidi w:val="0"/>
        <w:spacing w:before="8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80" w:after="180"/>
        <w:ind w:left="0" w:right="0" w:firstLine="450"/>
        <w:jc w:val="both"/>
        <w:rPr/>
      </w:pPr>
      <w:r>
        <w:rPr/>
      </w:r>
    </w:p>
    <w:p>
      <w:pPr>
        <w:pStyle w:val="TextBody"/>
        <w:bidi w:val="0"/>
        <w:spacing w:lineRule="auto" w:line="268" w:before="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ASU 2023-09 for the year ended December 31, 2025, the reconciliation of taxes at the federal statutory rate to the income tax expense was as follows:</w:t>
      </w:r>
    </w:p>
    <w:tbl>
      <w:tblPr>
        <w:tblW w:w="8091" w:type="dxa"/>
        <w:jc w:val="left"/>
        <w:tblInd w:w="0" w:type="dxa"/>
        <w:tblLayout w:type="fixed"/>
        <w:tblCellMar>
          <w:top w:w="28" w:type="dxa"/>
          <w:left w:w="28" w:type="dxa"/>
          <w:bottom w:w="28" w:type="dxa"/>
          <w:right w:w="28" w:type="dxa"/>
        </w:tblCellMar>
      </w:tblPr>
      <w:tblGrid>
        <w:gridCol w:w="1892"/>
        <w:gridCol w:w="1668"/>
        <w:gridCol w:w="1675"/>
        <w:gridCol w:w="109"/>
        <w:gridCol w:w="109"/>
        <w:gridCol w:w="109"/>
        <w:gridCol w:w="211"/>
        <w:gridCol w:w="721"/>
        <w:gridCol w:w="109"/>
        <w:gridCol w:w="109"/>
        <w:gridCol w:w="109"/>
        <w:gridCol w:w="109"/>
        <w:gridCol w:w="255"/>
        <w:gridCol w:w="256"/>
        <w:gridCol w:w="650"/>
      </w:tblGrid>
      <w:tr>
        <w:trPr/>
        <w:tc>
          <w:tcPr>
            <w:tcW w:w="189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foreign tax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State and local taxes in New York state and city, Kentucky, Rhode Island, California, and Pennsylvania made up the majority of the tax effect in this category.</w:t>
      </w:r>
    </w:p>
    <w:p>
      <w:pPr>
        <w:pStyle w:val="TextBody"/>
        <w:bidi w:val="0"/>
        <w:spacing w:lineRule="auto" w:line="268" w:before="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Others include tax withholdings related to cross-border payments.</w:t>
      </w:r>
    </w:p>
    <w:p>
      <w:pPr>
        <w:pStyle w:val="TextBody"/>
        <w:bidi w:val="0"/>
        <w:spacing w:before="80" w:after="180"/>
        <w:ind w:left="0" w:right="0" w:firstLine="450"/>
        <w:jc w:val="both"/>
        <w:rPr/>
      </w:pPr>
      <w:r>
        <w:rPr/>
      </w:r>
    </w:p>
    <w:p>
      <w:pPr>
        <w:pStyle w:val="TextBody"/>
        <w:bidi w:val="0"/>
        <w:spacing w:before="80" w:after="180"/>
        <w:ind w:left="0" w:right="0" w:firstLine="450"/>
        <w:jc w:val="left"/>
        <w:rPr/>
      </w:pPr>
      <w:r>
        <w:rPr/>
      </w:r>
    </w:p>
    <w:p>
      <w:pPr>
        <w:pStyle w:val="TextBody"/>
        <w:bidi w:val="0"/>
        <w:spacing w:before="80" w:after="180"/>
        <w:ind w:left="0" w:right="0" w:firstLine="720"/>
        <w:jc w:val="left"/>
        <w:rPr/>
      </w:pPr>
      <w:r>
        <w:rPr/>
      </w:r>
    </w:p>
    <w:p>
      <w:pPr>
        <w:pStyle w:val="TextBody"/>
        <w:bidi w:val="0"/>
        <w:spacing w:before="80" w:after="18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reconciliation of taxes at the federal statutory rate to income tax expense for the years ended December 31, 2024 and 2023 in accordance with the guidance prior to the adoption of ASU 2023-09 was as follows:</w:t>
      </w:r>
    </w:p>
    <w:tbl>
      <w:tblPr>
        <w:tblW w:w="6706" w:type="dxa"/>
        <w:jc w:val="left"/>
        <w:tblInd w:w="0" w:type="dxa"/>
        <w:tblLayout w:type="fixed"/>
        <w:tblCellMar>
          <w:top w:w="28" w:type="dxa"/>
          <w:left w:w="28" w:type="dxa"/>
          <w:bottom w:w="28" w:type="dxa"/>
          <w:right w:w="28" w:type="dxa"/>
        </w:tblCellMar>
      </w:tblPr>
      <w:tblGrid>
        <w:gridCol w:w="1462"/>
        <w:gridCol w:w="1283"/>
        <w:gridCol w:w="1289"/>
        <w:gridCol w:w="109"/>
        <w:gridCol w:w="109"/>
        <w:gridCol w:w="211"/>
        <w:gridCol w:w="721"/>
        <w:gridCol w:w="109"/>
        <w:gridCol w:w="109"/>
        <w:gridCol w:w="109"/>
        <w:gridCol w:w="109"/>
        <w:gridCol w:w="211"/>
        <w:gridCol w:w="721"/>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 on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accumulated net earnings of $75,081 from its foreign operations that are not indefinitely reinvested. Most of the accumulated net earnings generated by the foreign operations has already been taxed for U.S. federal and state income tax purposes, and any additional taxes due with respect to the repatriation of such earnings would generally be limited to the tax effect of currency gains or losses recognized on repatriation and foreign withholding taxes.</w:t>
      </w:r>
    </w:p>
    <w:p>
      <w:pPr>
        <w:pStyle w:val="TextBody"/>
        <w:bidi w:val="0"/>
        <w:spacing w:lineRule="auto" w:line="266"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during the year ended December 31, 2025 were as follows:</w:t>
      </w:r>
    </w:p>
    <w:tbl>
      <w:tblPr>
        <w:tblW w:w="3116" w:type="dxa"/>
        <w:jc w:val="left"/>
        <w:tblInd w:w="0" w:type="dxa"/>
        <w:tblLayout w:type="fixed"/>
        <w:tblCellMar>
          <w:top w:w="28" w:type="dxa"/>
          <w:left w:w="28" w:type="dxa"/>
          <w:bottom w:w="28" w:type="dxa"/>
          <w:right w:w="28" w:type="dxa"/>
        </w:tblCellMar>
      </w:tblPr>
      <w:tblGrid>
        <w:gridCol w:w="538"/>
        <w:gridCol w:w="471"/>
        <w:gridCol w:w="476"/>
        <w:gridCol w:w="109"/>
        <w:gridCol w:w="109"/>
        <w:gridCol w:w="109"/>
        <w:gridCol w:w="211"/>
        <w:gridCol w:w="721"/>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during the years ended December 31, 2024, and 2023 were $108,549 and $106,549, respectively.</w:t>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66"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components of the deferred tax balances were as follows:</w:t>
      </w:r>
    </w:p>
    <w:tbl>
      <w:tblPr>
        <w:tblW w:w="7466" w:type="dxa"/>
        <w:jc w:val="left"/>
        <w:tblInd w:w="0" w:type="dxa"/>
        <w:tblLayout w:type="fixed"/>
        <w:tblCellMar>
          <w:top w:w="28" w:type="dxa"/>
          <w:left w:w="28" w:type="dxa"/>
          <w:bottom w:w="28" w:type="dxa"/>
          <w:right w:w="28" w:type="dxa"/>
        </w:tblCellMar>
      </w:tblPr>
      <w:tblGrid>
        <w:gridCol w:w="1452"/>
        <w:gridCol w:w="1273"/>
        <w:gridCol w:w="1279"/>
        <w:gridCol w:w="284"/>
        <w:gridCol w:w="1114"/>
        <w:gridCol w:w="147"/>
        <w:gridCol w:w="109"/>
        <w:gridCol w:w="109"/>
        <w:gridCol w:w="109"/>
        <w:gridCol w:w="219"/>
        <w:gridCol w:w="860"/>
        <w:gridCol w:w="511"/>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 forwards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expenses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54,844 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costs and other expenses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foreign exchange loss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191,055 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166,866 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188,415 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163,694 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29,883 </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investments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deferred tax liabilities</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60,350 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103,344 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6" w:before="180" w:after="180"/>
        <w:ind w:left="0" w:right="0" w:firstLine="360"/>
        <w:jc w:val="both"/>
        <w:rPr>
          <w:color w:val="000000"/>
        </w:rPr>
      </w:pPr>
      <w:r>
        <w:rPr>
          <w:color w:val="000000"/>
        </w:rPr>
        <w:t>    </w:t>
      </w:r>
    </w:p>
    <w:p>
      <w:pPr>
        <w:pStyle w:val="TextBody"/>
        <w:bidi w:val="0"/>
        <w:spacing w:lineRule="auto" w:line="288" w:before="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recognized for future tax consequences attributable to temporary differences between the financial statement carrying values of assets and liabilities and their respective tax bases. The Company performed an analysis of the realizability of deferred tax assets as of December 31, 2025, and 2024, and recorded a valuation allowance of $2,640 and $3,172, respectively.</w:t>
      </w:r>
    </w:p>
    <w:p>
      <w:pPr>
        <w:pStyle w:val="TextBody"/>
        <w:bidi w:val="0"/>
        <w:spacing w:lineRule="auto" w:line="288" w:before="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state research and development tax credit carryforwards as of December 31, 2025 of $3,371 ($2,663, net of federal tax impact) that will expire by 2035, if not utilized.</w:t>
      </w:r>
    </w:p>
    <w:p>
      <w:pPr>
        <w:pStyle w:val="TextBody"/>
        <w:bidi w:val="0"/>
        <w:spacing w:lineRule="auto" w:line="288" w:before="180" w:after="180"/>
        <w:ind w:left="0" w:right="0" w:firstLine="495"/>
        <w:jc w:val="both"/>
        <w:rPr/>
      </w:pPr>
      <w:r>
        <w:rPr>
          <w:rFonts w:ascii="Times New Roman;serif" w:hAnsi="Times New Roman;serif"/>
          <w:b w:val="false"/>
          <w:color w:val="000000"/>
          <w:sz w:val="20"/>
        </w:rPr>
        <w:t xml:space="preserve">The Company’s income tax expense also includes provisions established for uncertain income tax positions determined in accordance with ASC Topic 740, </w:t>
      </w:r>
      <w:r>
        <w:rPr>
          <w:rFonts w:ascii="Times New Roman;serif" w:hAnsi="Times New Roman;serif"/>
          <w:b w:val="false"/>
          <w:i/>
          <w:color w:val="000000"/>
          <w:sz w:val="20"/>
        </w:rPr>
        <w:t>Income Taxes</w:t>
      </w:r>
      <w:r>
        <w:rPr>
          <w:rFonts w:ascii="Times New Roman;serif" w:hAnsi="Times New Roman;serif"/>
          <w:b w:val="false"/>
          <w:color w:val="000000"/>
          <w:sz w:val="20"/>
        </w:rPr>
        <w:t>. The Company monitors and adjusts these reserves in light of changing facts and circumstances. To the extent that the final tax outcome of these matters differs from the amounts recorded, such differences will impact the income tax expense in the period in which such determination is made.</w:t>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unrecognized tax benefits:</w:t>
      </w:r>
    </w:p>
    <w:tbl>
      <w:tblPr>
        <w:tblW w:w="8951" w:type="dxa"/>
        <w:jc w:val="left"/>
        <w:tblInd w:w="0" w:type="dxa"/>
        <w:tblLayout w:type="fixed"/>
        <w:tblCellMar>
          <w:top w:w="28" w:type="dxa"/>
          <w:left w:w="28" w:type="dxa"/>
          <w:bottom w:w="28" w:type="dxa"/>
          <w:right w:w="28" w:type="dxa"/>
        </w:tblCellMar>
      </w:tblPr>
      <w:tblGrid>
        <w:gridCol w:w="1974"/>
        <w:gridCol w:w="1730"/>
        <w:gridCol w:w="1740"/>
        <w:gridCol w:w="211"/>
        <w:gridCol w:w="616"/>
        <w:gridCol w:w="109"/>
        <w:gridCol w:w="109"/>
        <w:gridCol w:w="109"/>
        <w:gridCol w:w="109"/>
        <w:gridCol w:w="211"/>
        <w:gridCol w:w="616"/>
        <w:gridCol w:w="109"/>
        <w:gridCol w:w="109"/>
        <w:gridCol w:w="109"/>
        <w:gridCol w:w="109"/>
        <w:gridCol w:w="211"/>
        <w:gridCol w:w="616"/>
        <w:gridCol w:w="154"/>
      </w:tblGrid>
      <w:tr>
        <w:trPr/>
        <w:tc>
          <w:tcPr>
            <w:tcW w:w="197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of prior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due to lapse of statutes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unrecognized tax benefits as of December 31, 2025 of $2,176, if recognized, would impact the effective tax rate.</w:t>
      </w:r>
    </w:p>
    <w:p>
      <w:pPr>
        <w:pStyle w:val="TextBody"/>
        <w:bidi w:val="0"/>
        <w:spacing w:lineRule="auto" w:line="288" w:before="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has not accrued interest and penalties relating to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23. Stock-Based Compensation</w:t>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June 17, 2025, the Company’s stockholders approved 2025 Omnibus Incentive Plan (the "2025 Plan"), which among other things, reserves 6,800,000 shares (as adjusted under the terms thereof) of the Company’s common stock for grants of awards under the 2025 Plan, at which time new awards under the 2018 Omnibus Incentive Plan (the "2018 Plan") were not permitted to be made, but outstanding awards under the 2018 Plan will continued to be governed by the terms thereof. As of December 31, 2025, the Company had 5,919,466 shares available for future grants under the 2025 Plan.</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Under the 2025 Plan, the Compensation and Talent Management Committee (the “Committee”) may grant awards of non-qualified stock options, incentive stock options, stock appreciation rights, restricted stock, restricted stock units, performance-based compensation awards (including revenue target based and market condition based awards), stock bonuses and cash bonus awards, or any combination or variation of the foregoing.</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Stock options have a contractual period of ten years from the date of grant and vest ratably over four years. Restricted stock units generally vest proportionally over a period of four years from the date of grant, unless specified otherwise.</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by function, as below, are included in the consolidated statements of income:</w:t>
      </w:r>
    </w:p>
    <w:tbl>
      <w:tblPr>
        <w:tblW w:w="8666" w:type="dxa"/>
        <w:jc w:val="left"/>
        <w:tblInd w:w="0" w:type="dxa"/>
        <w:tblLayout w:type="fixed"/>
        <w:tblCellMar>
          <w:top w:w="28" w:type="dxa"/>
          <w:left w:w="28" w:type="dxa"/>
          <w:bottom w:w="28" w:type="dxa"/>
          <w:right w:w="28" w:type="dxa"/>
        </w:tblCellMar>
      </w:tblPr>
      <w:tblGrid>
        <w:gridCol w:w="1752"/>
        <w:gridCol w:w="1543"/>
        <w:gridCol w:w="1549"/>
        <w:gridCol w:w="211"/>
        <w:gridCol w:w="721"/>
        <w:gridCol w:w="109"/>
        <w:gridCol w:w="109"/>
        <w:gridCol w:w="109"/>
        <w:gridCol w:w="109"/>
        <w:gridCol w:w="211"/>
        <w:gridCol w:w="721"/>
        <w:gridCol w:w="109"/>
        <w:gridCol w:w="109"/>
        <w:gridCol w:w="109"/>
        <w:gridCol w:w="109"/>
        <w:gridCol w:w="211"/>
        <w:gridCol w:w="721"/>
        <w:gridCol w:w="154"/>
      </w:tblGrid>
      <w:tr>
        <w:trPr/>
        <w:tc>
          <w:tcPr>
            <w:tcW w:w="175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benefit related to stock-based compensation </w:t>
            </w:r>
            <w:r>
              <w:rPr>
                <w:rFonts w:ascii="Times New Roman;serif" w:hAnsi="Times New Roman;serif"/>
                <w:b w:val="false"/>
                <w:color w:val="000000"/>
                <w:sz w:val="13"/>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Includes $15,930, $9,714 and $15,055 during the years ended December 31, 2025, 2024 and 2023, respectively, related to discrete benefits recognized in income tax expense in accordance with ASU No. 2016-09, Compensation - Stock Compensation.</w:t>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TextBody"/>
        <w:bidi w:val="0"/>
        <w:spacing w:before="180" w:after="18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Stock option activity under the Company’s stock-based compensation plans is shown below:</w:t>
      </w:r>
    </w:p>
    <w:tbl>
      <w:tblPr>
        <w:tblW w:w="10205" w:type="dxa"/>
        <w:jc w:val="left"/>
        <w:tblInd w:w="0" w:type="dxa"/>
        <w:tblLayout w:type="fixed"/>
        <w:tblCellMar>
          <w:top w:w="28" w:type="dxa"/>
          <w:left w:w="28" w:type="dxa"/>
          <w:bottom w:w="28" w:type="dxa"/>
          <w:right w:w="28" w:type="dxa"/>
        </w:tblCellMar>
      </w:tblPr>
      <w:tblGrid>
        <w:gridCol w:w="1152"/>
        <w:gridCol w:w="1010"/>
        <w:gridCol w:w="1016"/>
        <w:gridCol w:w="436"/>
        <w:gridCol w:w="635"/>
        <w:gridCol w:w="146"/>
        <w:gridCol w:w="109"/>
        <w:gridCol w:w="109"/>
        <w:gridCol w:w="109"/>
        <w:gridCol w:w="325"/>
        <w:gridCol w:w="950"/>
        <w:gridCol w:w="168"/>
        <w:gridCol w:w="109"/>
        <w:gridCol w:w="109"/>
        <w:gridCol w:w="109"/>
        <w:gridCol w:w="271"/>
        <w:gridCol w:w="929"/>
        <w:gridCol w:w="140"/>
        <w:gridCol w:w="109"/>
        <w:gridCol w:w="109"/>
        <w:gridCol w:w="109"/>
        <w:gridCol w:w="596"/>
        <w:gridCol w:w="596"/>
        <w:gridCol w:w="85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Weighted Average Remaining Contractual Life (Years)</w:t>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1,768,305 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Exercised </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December 31, 2025</w:t>
            </w:r>
          </w:p>
        </w:tc>
        <w:tc>
          <w:tcPr>
            <w:tcW w:w="10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861,740 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of per unit of stock option granted during the period</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were granted under the 2018 Omnibus Incentive Plan during the year ended December 31, 2023 which have a contractual period of ten years and vest ratably over four years.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granted to employees is estimated on the date of grant using the Black-Scholes option-pricing model with the following assumptions:</w:t>
      </w:r>
    </w:p>
    <w:p>
      <w:pPr>
        <w:pStyle w:val="TextBody"/>
        <w:bidi w:val="0"/>
        <w:spacing w:before="0" w:after="0"/>
        <w:ind w:left="0" w:right="0" w:firstLine="450"/>
        <w:jc w:val="both"/>
        <w:rPr/>
      </w:pPr>
      <w:r>
        <w:rPr/>
      </w:r>
    </w:p>
    <w:tbl>
      <w:tblPr>
        <w:tblW w:w="5714" w:type="dxa"/>
        <w:jc w:val="left"/>
        <w:tblInd w:w="0" w:type="dxa"/>
        <w:tblLayout w:type="fixed"/>
        <w:tblCellMar>
          <w:top w:w="28" w:type="dxa"/>
          <w:left w:w="28" w:type="dxa"/>
          <w:bottom w:w="28" w:type="dxa"/>
          <w:right w:w="28" w:type="dxa"/>
        </w:tblCellMar>
      </w:tblPr>
      <w:tblGrid>
        <w:gridCol w:w="1157"/>
        <w:gridCol w:w="1017"/>
        <w:gridCol w:w="1021"/>
        <w:gridCol w:w="511"/>
        <w:gridCol w:w="511"/>
        <w:gridCol w:w="1497"/>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 for expected life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for expected life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does not anticipate paying any cash dividends in the foreseeable future and therefore uses an expected dividend yield of zero in the option valuation model.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unrecognized compensation cost of $7,744 is expected to be expensed over a weighted average period of 1.5 years.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grant date fair value of stock options exercised and cash received from stock options exercised was as follows:</w:t>
      </w:r>
    </w:p>
    <w:tbl>
      <w:tblPr>
        <w:tblW w:w="4662" w:type="dxa"/>
        <w:jc w:val="left"/>
        <w:tblInd w:w="0" w:type="dxa"/>
        <w:tblLayout w:type="fixed"/>
        <w:tblCellMar>
          <w:top w:w="28" w:type="dxa"/>
          <w:left w:w="28" w:type="dxa"/>
          <w:bottom w:w="28" w:type="dxa"/>
          <w:right w:w="28" w:type="dxa"/>
        </w:tblCellMar>
      </w:tblPr>
      <w:tblGrid>
        <w:gridCol w:w="642"/>
        <w:gridCol w:w="561"/>
        <w:gridCol w:w="567"/>
        <w:gridCol w:w="211"/>
        <w:gridCol w:w="406"/>
        <w:gridCol w:w="109"/>
        <w:gridCol w:w="109"/>
        <w:gridCol w:w="109"/>
        <w:gridCol w:w="109"/>
        <w:gridCol w:w="211"/>
        <w:gridCol w:w="466"/>
        <w:gridCol w:w="109"/>
        <w:gridCol w:w="109"/>
        <w:gridCol w:w="109"/>
        <w:gridCol w:w="109"/>
        <w:gridCol w:w="211"/>
        <w:gridCol w:w="36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Grant 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Matching Program</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Under the Company’s 2018 Plan, the Company established a share matching program (“SMP”) for executive officers and other specified employees. Under the SMP, the Company agreed to issue a number of restricted stock units equal to the number of newly acquired shares of the Company's common stock. For purposes of the match, “newly acquired shares” includes the employee’s first quarter 2022 open market purchase of the common stock, and crediting of equity awards vesting under any existing stock award plan of the Company as having been purchased by such employees, in an amount between $100 to $500 per such employee.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matching restricted stock units granted under the SMP will vest in two installments, with one-third to vest on the second anniversary of the grant date and the remaining two-thirds to vest on the third anniversary of the grant date; the newly acquired shares for which the matching restricted stock units were granted must also be held by the employee until such vesting dates. The Company’s underlying common stock issued pursuant to the vesting of the matching restricted stock units will not be marketable or transferable for a period of two years following the vesting date. Certain forfeiture and other conditions apply.</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Restricted stock unit activity under the SMP is shown below:</w:t>
      </w:r>
    </w:p>
    <w:tbl>
      <w:tblPr>
        <w:tblW w:w="6896" w:type="dxa"/>
        <w:jc w:val="left"/>
        <w:tblInd w:w="0" w:type="dxa"/>
        <w:tblLayout w:type="fixed"/>
        <w:tblCellMar>
          <w:top w:w="28" w:type="dxa"/>
          <w:left w:w="28" w:type="dxa"/>
          <w:bottom w:w="28" w:type="dxa"/>
          <w:right w:w="28" w:type="dxa"/>
        </w:tblCellMar>
      </w:tblPr>
      <w:tblGrid>
        <w:gridCol w:w="1223"/>
        <w:gridCol w:w="1073"/>
        <w:gridCol w:w="1079"/>
        <w:gridCol w:w="109"/>
        <w:gridCol w:w="109"/>
        <w:gridCol w:w="109"/>
        <w:gridCol w:w="449"/>
        <w:gridCol w:w="451"/>
        <w:gridCol w:w="251"/>
        <w:gridCol w:w="161"/>
        <w:gridCol w:w="161"/>
        <w:gridCol w:w="161"/>
        <w:gridCol w:w="335"/>
        <w:gridCol w:w="981"/>
        <w:gridCol w:w="24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Stock Units (SMP)</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Fair Value</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Outstanding as of December 31, 2024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Vested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as of December 31,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As of December 31, 2025 and 2024 restricted stock units vested for which the underlying common stock is yet to be issued are 31,662 and 72,385, respectively. Due to administrative processes, the restricted stock units issued during the year ended December 31, 2025, were reduced based on applicable U.S. tax rules and regulations.</w:t>
      </w:r>
    </w:p>
    <w:p>
      <w:pPr>
        <w:pStyle w:val="TextBody"/>
        <w:bidi w:val="0"/>
        <w:spacing w:before="0" w:after="0"/>
        <w:ind w:left="0" w:right="0" w:firstLine="495"/>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Any cash or in-kind dividends paid with respect to unvested shares of restricted stock units are withheld by the Company and paid to the holder of such shares of restricted stock, without interest, only if and when such shares of restricted stock units vest. Any unvested shares of restricted stock units are immediately forfeited without consideration upon the termination of holder’s employment with the Company or its affiliates. Accordingly, the Company’s unvested restricted stock units do not include non-forfeitable rights to dividends or dividend equivalents and are therefore not considered as participating securities for purposes of earnings per share calculations pursuant to the two-class method.</w:t>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Restricted stock unit activity under the Company’s stock-based compensation plans is shown below:</w:t>
      </w:r>
    </w:p>
    <w:tbl>
      <w:tblPr>
        <w:tblW w:w="6938" w:type="dxa"/>
        <w:jc w:val="left"/>
        <w:tblInd w:w="0" w:type="dxa"/>
        <w:tblLayout w:type="fixed"/>
        <w:tblCellMar>
          <w:top w:w="28" w:type="dxa"/>
          <w:left w:w="28" w:type="dxa"/>
          <w:bottom w:w="28" w:type="dxa"/>
          <w:right w:w="28" w:type="dxa"/>
        </w:tblCellMar>
      </w:tblPr>
      <w:tblGrid>
        <w:gridCol w:w="1223"/>
        <w:gridCol w:w="1073"/>
        <w:gridCol w:w="1079"/>
        <w:gridCol w:w="109"/>
        <w:gridCol w:w="109"/>
        <w:gridCol w:w="109"/>
        <w:gridCol w:w="524"/>
        <w:gridCol w:w="526"/>
        <w:gridCol w:w="251"/>
        <w:gridCol w:w="125"/>
        <w:gridCol w:w="125"/>
        <w:gridCol w:w="125"/>
        <w:gridCol w:w="336"/>
        <w:gridCol w:w="980"/>
        <w:gridCol w:w="24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Stock Units</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Fair Value</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Outstanding as of December 31, 2024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3,240,200 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1,072,380 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Vested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(1,347,614)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(175,365)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Outstanding as of December 31, 2025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2,789,601 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18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As of December 31, 2025 and 2024, restricted stock units vested for which the underlying common stock is yet to be issued are 348,636 and 289,547, respectively.</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restricted stock units is generally the market price of the Company’s shares on the date of grant. As of December 31, 2025, unrecognized compensation cost of $69,303 is expected to be expensed over a weighted average period of 2.5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weighted average fair value of restricted stock units granted and the grant date fair value of restricted stock units vested was as follows:</w:t>
      </w:r>
    </w:p>
    <w:tbl>
      <w:tblPr>
        <w:tblW w:w="8817" w:type="dxa"/>
        <w:jc w:val="left"/>
        <w:tblInd w:w="0" w:type="dxa"/>
        <w:tblLayout w:type="fixed"/>
        <w:tblCellMar>
          <w:top w:w="28" w:type="dxa"/>
          <w:left w:w="28" w:type="dxa"/>
          <w:bottom w:w="28" w:type="dxa"/>
          <w:right w:w="28" w:type="dxa"/>
        </w:tblCellMar>
      </w:tblPr>
      <w:tblGrid>
        <w:gridCol w:w="1810"/>
        <w:gridCol w:w="1587"/>
        <w:gridCol w:w="1598"/>
        <w:gridCol w:w="211"/>
        <w:gridCol w:w="721"/>
        <w:gridCol w:w="109"/>
        <w:gridCol w:w="109"/>
        <w:gridCol w:w="109"/>
        <w:gridCol w:w="109"/>
        <w:gridCol w:w="211"/>
        <w:gridCol w:w="721"/>
        <w:gridCol w:w="109"/>
        <w:gridCol w:w="109"/>
        <w:gridCol w:w="109"/>
        <w:gridCol w:w="109"/>
        <w:gridCol w:w="211"/>
        <w:gridCol w:w="721"/>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of restricted stock units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fair value of restricted stock units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color w:val="000000"/>
          <w:sz w:val="20"/>
        </w:rPr>
      </w:pPr>
      <w:r>
        <w:rPr>
          <w:rFonts w:ascii="Times New Roman;serif" w:hAnsi="Times New Roman;serif"/>
          <w:b/>
          <w:color w:val="000000"/>
          <w:sz w:val="20"/>
        </w:rPr>
        <w:t>Performance-Based Stock Awards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Company’s equity incentive plans, the Company grants performance-based restricted stock units (“PRSUs”) to executive officers and other specified employees. The Company generally grants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PRSU agreements, and are measured over a three-year performance period (“MU”).</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each PU is determined based on the market price of one common share on a day prior to the date of grant, and the associated stock compensation expense is calculated on the basis that performance targets at 100% are probable of being achieved. The stock compensation expense for the PUs is recognized on a straight-line basis over the service period, which is through the end of the third year. Over this period, the number of shares that will be issued are adjusted upward or downward based upon the probability of achievement of the performance targets. The final number of shares issued and the related compensation cost recognized as an expense is based on a comparison of the final performance metrics to the specified targets.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grant date fair value for each MU is determined using a Monte Carlo simulation model and the related stock compensation expense is expensed on a straight-line basis over the vesting period. The stock compensation expense related to the MUs is recognized once the requisite performance period is fulfilled regardless of the extent of the market condition achieved.</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Monte Carlo simulation model simulates a range of possible future stock prices and estimates the probabilities of the potential payouts. This model also incorporates the following ranges of assumptions: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historical volatilities are used over the most recent three-year period for the components of the peer group.</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risk-free interest rate is based on the U.S. Treasury rate assumption commensurate with the three-year performance period.</w:t>
      </w:r>
      <w:r>
        <w:rPr>
          <w:color w:val="000000"/>
        </w:rPr>
        <w:t>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Since the plan stipulates that the awards are based upon the TSR of the Company and the components of the peer group, it is assumed that the dividends get reinvested in the issuing entity on a continuous basis.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correlation coefficients are used to model the way in which each entity tends to move in relation to each other are based upon the price data used to calculate the historical volatilities.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MU granted to employees is estimated on the date of grant using the following weighted average assumptions:</w:t>
      </w:r>
    </w:p>
    <w:tbl>
      <w:tblPr>
        <w:tblW w:w="6642" w:type="dxa"/>
        <w:jc w:val="left"/>
        <w:tblInd w:w="0" w:type="dxa"/>
        <w:tblLayout w:type="fixed"/>
        <w:tblCellMar>
          <w:top w:w="28" w:type="dxa"/>
          <w:left w:w="28" w:type="dxa"/>
          <w:bottom w:w="28" w:type="dxa"/>
          <w:right w:w="28" w:type="dxa"/>
        </w:tblCellMar>
      </w:tblPr>
      <w:tblGrid>
        <w:gridCol w:w="1157"/>
        <w:gridCol w:w="1017"/>
        <w:gridCol w:w="1021"/>
        <w:gridCol w:w="451"/>
        <w:gridCol w:w="451"/>
        <w:gridCol w:w="462"/>
        <w:gridCol w:w="130"/>
        <w:gridCol w:w="130"/>
        <w:gridCol w:w="130"/>
        <w:gridCol w:w="209"/>
        <w:gridCol w:w="209"/>
        <w:gridCol w:w="211"/>
        <w:gridCol w:w="130"/>
        <w:gridCol w:w="130"/>
        <w:gridCol w:w="130"/>
        <w:gridCol w:w="196"/>
        <w:gridCol w:w="196"/>
        <w:gridCol w:w="282"/>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2.54 - 2.86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2.87</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2.87</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 for expected life</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 - 4.3%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for expected life</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27.3% - 29.8%</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29.9%</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F-54</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180" w:after="80"/>
        <w:jc w:val="center"/>
        <w:rPr/>
      </w:pPr>
      <w:r>
        <w:rPr/>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PRSU activity under the Company’s stock plans is shown below:</w:t>
      </w:r>
    </w:p>
    <w:tbl>
      <w:tblPr>
        <w:tblW w:w="10205" w:type="dxa"/>
        <w:jc w:val="left"/>
        <w:tblInd w:w="0" w:type="dxa"/>
        <w:tblLayout w:type="fixed"/>
        <w:tblCellMar>
          <w:top w:w="28" w:type="dxa"/>
          <w:left w:w="28" w:type="dxa"/>
          <w:bottom w:w="28" w:type="dxa"/>
          <w:right w:w="28" w:type="dxa"/>
        </w:tblCellMar>
      </w:tblPr>
      <w:tblGrid>
        <w:gridCol w:w="1521"/>
        <w:gridCol w:w="1276"/>
        <w:gridCol w:w="1284"/>
        <w:gridCol w:w="434"/>
        <w:gridCol w:w="436"/>
        <w:gridCol w:w="231"/>
        <w:gridCol w:w="119"/>
        <w:gridCol w:w="119"/>
        <w:gridCol w:w="119"/>
        <w:gridCol w:w="280"/>
        <w:gridCol w:w="818"/>
        <w:gridCol w:w="147"/>
        <w:gridCol w:w="109"/>
        <w:gridCol w:w="109"/>
        <w:gridCol w:w="109"/>
        <w:gridCol w:w="434"/>
        <w:gridCol w:w="436"/>
        <w:gridCol w:w="231"/>
        <w:gridCol w:w="165"/>
        <w:gridCol w:w="165"/>
        <w:gridCol w:w="165"/>
        <w:gridCol w:w="320"/>
        <w:gridCol w:w="936"/>
        <w:gridCol w:w="242"/>
      </w:tblGrid>
      <w:tr>
        <w:trPr/>
        <w:tc>
          <w:tcPr>
            <w:tcW w:w="152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Revenue-Based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Condition-Based PRSUs</w:t>
            </w:r>
          </w:p>
        </w:tc>
      </w:tr>
      <w:tr>
        <w:trPr/>
        <w:tc>
          <w:tcPr>
            <w:tcW w:w="4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Fair Value</w:t>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537,944 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806,519 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379,685 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366,915 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upon final determination of level of performance goal achievement </w:t>
            </w:r>
            <w:r>
              <w:rPr>
                <w:rFonts w:ascii="Times New Roman;serif" w:hAnsi="Times New Roman;serif"/>
                <w:b w:val="false"/>
                <w:color w:val="000000"/>
                <w:sz w:val="13"/>
              </w:rPr>
              <w:t>(1)</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w:t>
            </w:r>
            <w:r>
              <w:rPr>
                <w:rFonts w:ascii="Times New Roman;serif" w:hAnsi="Times New Roman;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(435,303)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696,439 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841,966 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(1) Represents adjustment of shares vested in respect of PUs and MUs granted in 2023 upon achievement of the performance targets for such awards. </w:t>
      </w:r>
    </w:p>
    <w:p>
      <w:pPr>
        <w:pStyle w:val="TextBody"/>
        <w:bidi w:val="0"/>
        <w:spacing w:lineRule="auto" w:line="288" w:before="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Represents PUs and MUs vested for which the underlying common stock was issued subsequent to December 31, 2025.</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unrecognized compensation cost of $41,939 is expected to be expensed over a weighted average period of 1.8 years.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June 21, 2022, at the annual meeting of stockholders of the Company, the Company’s stockholders approved the ExlService Holdings, Inc. 2022 Employee Stock Purchase Plan (the “2022 ESPP”).</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offering period under the 2022 ESPP commenced on July 1, 2025 with a term of six months.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under the Company’s 2022 ESPP is shown below:</w:t>
      </w:r>
    </w:p>
    <w:tbl>
      <w:tblPr>
        <w:tblW w:w="8630" w:type="dxa"/>
        <w:jc w:val="left"/>
        <w:tblInd w:w="0" w:type="dxa"/>
        <w:tblLayout w:type="fixed"/>
        <w:tblCellMar>
          <w:top w:w="28" w:type="dxa"/>
          <w:left w:w="28" w:type="dxa"/>
          <w:bottom w:w="28" w:type="dxa"/>
          <w:right w:w="28" w:type="dxa"/>
        </w:tblCellMar>
      </w:tblPr>
      <w:tblGrid>
        <w:gridCol w:w="1726"/>
        <w:gridCol w:w="1517"/>
        <w:gridCol w:w="1526"/>
        <w:gridCol w:w="109"/>
        <w:gridCol w:w="109"/>
        <w:gridCol w:w="109"/>
        <w:gridCol w:w="309"/>
        <w:gridCol w:w="309"/>
        <w:gridCol w:w="313"/>
        <w:gridCol w:w="203"/>
        <w:gridCol w:w="203"/>
        <w:gridCol w:w="203"/>
        <w:gridCol w:w="429"/>
        <w:gridCol w:w="1253"/>
        <w:gridCol w:w="312"/>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9"/>
            <w:tcBorders/>
            <w:tcMar>
              <w:top w:w="0" w:type="dxa"/>
              <w:left w:w="0" w:type="dxa"/>
              <w:bottom w:w="0" w:type="dxa"/>
              <w:right w:w="0" w:type="dxa"/>
            </w:tcMar>
            <w:vAlign w:val="center"/>
          </w:tcPr>
          <w:p>
            <w:pPr>
              <w:pStyle w:val="TableContents"/>
              <w:bidi w:val="0"/>
              <w:spacing w:lineRule="auto" w:line="240" w:before="180" w:after="180"/>
              <w:jc w:val="center"/>
              <w:rPr>
                <w:rFonts w:ascii="Times New Roman;serif" w:hAnsi="Times New Roman;serif"/>
                <w:b/>
                <w:color w:val="000000"/>
                <w:sz w:val="18"/>
              </w:rPr>
            </w:pPr>
            <w:r>
              <w:rPr>
                <w:rFonts w:ascii="Times New Roman;serif" w:hAnsi="Times New Roman;serif"/>
                <w:b/>
                <w:color w:val="000000"/>
                <w:sz w:val="18"/>
              </w:rPr>
              <w:t>Employee Stock Purchase Plan Unit’s</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Proceeds Received</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3,672,744</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the: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offering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64,939</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offering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97,536</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3,510,269</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related to the seventh offering </w:t>
              <w:br/>
              <w:t>period made subsequent to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60,139</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F-55</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ESPP is compensatory and results in compensation expense. The fair value of common stock to be issued under the ESPP was determined using the Black-Scholes option pricing model with the following assumptions:</w:t>
      </w:r>
    </w:p>
    <w:tbl>
      <w:tblPr>
        <w:tblW w:w="10205" w:type="dxa"/>
        <w:jc w:val="left"/>
        <w:tblInd w:w="0" w:type="dxa"/>
        <w:tblLayout w:type="fixed"/>
        <w:tblCellMar>
          <w:top w:w="28" w:type="dxa"/>
          <w:left w:w="28" w:type="dxa"/>
          <w:bottom w:w="28" w:type="dxa"/>
          <w:right w:w="28" w:type="dxa"/>
        </w:tblCellMar>
      </w:tblPr>
      <w:tblGrid>
        <w:gridCol w:w="1109"/>
        <w:gridCol w:w="970"/>
        <w:gridCol w:w="974"/>
        <w:gridCol w:w="457"/>
        <w:gridCol w:w="449"/>
        <w:gridCol w:w="1122"/>
        <w:gridCol w:w="109"/>
        <w:gridCol w:w="109"/>
        <w:gridCol w:w="109"/>
        <w:gridCol w:w="415"/>
        <w:gridCol w:w="404"/>
        <w:gridCol w:w="1009"/>
        <w:gridCol w:w="109"/>
        <w:gridCol w:w="109"/>
        <w:gridCol w:w="109"/>
        <w:gridCol w:w="542"/>
        <w:gridCol w:w="533"/>
        <w:gridCol w:w="1567"/>
      </w:tblGrid>
      <w:tr>
        <w:trPr/>
        <w:tc>
          <w:tcPr>
            <w:tcW w:w="1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Seventh offering period of</w:t>
              <w:br/>
              <w:t xml:space="preserve">July 1, 2025 to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Sixth offering period of</w:t>
              <w:br/>
              <w:t>January 1, 2025 to</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Fifth offering period of</w:t>
              <w:br/>
              <w:t>July 1, 2024 to December 31, 2024</w:t>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 for expected life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for expected life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illiquidity</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24. Related Party Disclosures</w:t>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provides data and AI-led solutions and services to Corridor Platforms, Inc., which is an equity affiliate of the Company. The Company recognized revenues, net of $203 and $424 during the year ended December 31, 2025 and 2024, respectively. The Company had outstanding accounts receivable, net of $28 and $56 related to this service contract as of December 31, 2025 and 2024, respectively.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entered into a transaction to privately repurchase 1,551,970 shares for $63,373 from Orogen Echo LLC, an affiliate of The Orogen Group LLC where one of the Company’s directors is the CEO and Chairman.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25. Commitments and Contingencies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Capital Commitments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committed to spend approximately $8,700 and $6,500, respectively, net of capital advances, under agreements to purchase property and equipment.</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The Company committed to make an aggregate investment of $4,000 in the Partnership. As of December 31, 2025, the Company has invested $2,400 in the Partnership and is committed to make further investments up to an amount of $1,600.</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pStyle w:val="TextBody"/>
        <w:bidi w:val="0"/>
        <w:spacing w:before="0" w:after="0"/>
        <w:ind w:left="0" w:right="0" w:firstLine="495"/>
        <w:jc w:val="both"/>
        <w:rPr/>
      </w:pPr>
      <w:r>
        <w:rPr/>
      </w:r>
    </w:p>
    <w:p>
      <w:pPr>
        <w:pStyle w:val="TextBody"/>
        <w:bidi w:val="0"/>
        <w:spacing w:lineRule="auto" w:line="26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F-56</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review the Company’s transfer pricing. If the Company’s transfer pricing is challenged by the authorities, they could assess additional tax, interest and penalties, thereby impacting the Company’s profitability and cash flows.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currently involved in transfer pricing and related income tax disputes with Indian tax authorities. The aggregate amount demanded by Indian tax authorities (net of advance payments) as of December 31, 2025 and 2024 is $42,205 and $49,588, respectively. The Company has made payments and/or provided bank guarantees against these demands in the amounts of $7,684 and $7,506, as of December 31, 2025 and 2024, respectively. The Company believes that its positions will more likely than not be sustained upon final examination by the tax authorities, and accordingly has not accrued any liabilities with respect to these matters in its consolidated financial statements.</w:t>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reviewing the Company’s annual VAT and service tax filings, the Indian tax authorities raised aggregate demands for tax years 2015 and 2017, in the amounts of $5,186 and $5,339, as of December 31, 2025 and 2024, respectively. The Company has made payments and/or provided bank guarantees against these demands in the amounts of $5,090 and $5,339, as of December 31, 2025 and 2024, respectively. The Company has filed appeals against these matters and believes that it is more likely than not that upon final examination its position will be sustained based on technical merits.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Indian GST authorities rejected the Company’s refund claims in the amounts of $5,494 and $5,885 as of December 31, 2025 and 2024, respectively. The Company has filed appeals against these matters and believes that it is more likely than not that upon final examination its position will be sustained based on its technical merits. Accordingly, no allowances was recorded against these GST receivables as of December 31, 2025 and 2024, respectively.</w:t>
      </w:r>
    </w:p>
    <w:p>
      <w:pPr>
        <w:pStyle w:val="TextBody"/>
        <w:bidi w:val="0"/>
        <w:spacing w:before="0" w:after="0"/>
        <w:ind w:left="0" w:right="0" w:firstLine="495"/>
        <w:jc w:val="left"/>
        <w:rPr/>
      </w:pPr>
      <w:r>
        <w:rPr/>
      </w:r>
    </w:p>
    <w:p>
      <w:pPr>
        <w:pStyle w:val="TextBody"/>
        <w:bidi w:val="0"/>
        <w:spacing w:lineRule="auto" w:line="26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Some of the Company’s subsidiaries in India have undergone assessments with the statutory authority with respect to defined contribution plan. Except for some components of the assessments for which the Company has recognized a provision in the consolidated financial statements, the Company believes that the amount demanded by such authority is not a meaningful indicator of the potential liabilities of the Company, and that these matters are without merit. The Company is defending against the assessment orders and in one case,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pStyle w:val="TextBody"/>
        <w:bidi w:val="0"/>
        <w:spacing w:lineRule="auto" w:line="266"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26. Restructuring Costs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second quarter of 2024, the Company initiated a strategic restructuring plan to align its workforce with market opportunities, business strategies and evolving customer needs. This plan was executed in the second quarter of 2024, which affected less than 1% of the Company’s global workforce, and was completed as of December 31, 2024.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restructuring costs of $4,762 included costs in relation to employee severance and other associated costs including legal fees and outplacement support costs. These costs were recognized under cost of revenues (across all reporting segments), general &amp; administrative and selling &amp; marketing expenses in the consolidated statements of income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288" w:before="0" w:after="0"/>
        <w:jc w:val="left"/>
        <w:rPr/>
      </w:pPr>
      <w:hyperlink w:anchor="i550a3f0a95d247d680ff7135b4c006a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27. Subsequent Event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19, 2026, the Company’s board of directors authorized a $500,000 common stock repurchase program (the “2026 Repurchase Program”), effective February 28, 2026, for a two-year period, unless earlier terminated, suspended or modified by the board. Under the 2026 Repurchase Program, shares may be purchased by the Company from time to time on the open market or otherwise, in such quantities, at such prices, in such manner and on such terms and conditions as determined by the Company’s management to be in the best interests of the Company. The 2026 Repurchase Program replaces the 2024 Repurchase Program, which was terminated effective February 28,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F-58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2025 OMNIBUS INCENTIVE PLAN</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[FORM OF] RESTRICTED STOCK UNIT AGREEMENT (U.S.)</w:t>
      </w:r>
    </w:p>
    <w:p>
      <w:pPr>
        <w:pStyle w:val="TextBody"/>
        <w:bidi w:val="0"/>
        <w:spacing w:lineRule="auto" w:line="288" w:before="0" w:after="240"/>
        <w:ind w:left="0" w:right="0" w:firstLine="1440"/>
        <w:jc w:val="both"/>
        <w:rPr/>
      </w:pPr>
      <w:r>
        <w:rPr>
          <w:rFonts w:ascii="Times New Roman;serif" w:hAnsi="Times New Roman;serif"/>
          <w:b w:val="false"/>
          <w:color w:val="000000"/>
          <w:sz w:val="20"/>
        </w:rPr>
        <w:t>THIS RESTRICTED STOCK UNIT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made, effective as of the [__] day of [_________] (hereinafter the “</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 by and between ExlService Holdings,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Rohit Kapoor (the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WHEREAS, the Company has adopted the ExlService Holdings, Inc. 2025 Omnibus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pursuant to which awards of Restricted Stock Units may be granted; </w:t>
      </w:r>
    </w:p>
    <w:p>
      <w:pPr>
        <w:pStyle w:val="TextBody"/>
        <w:bidi w:val="0"/>
        <w:spacing w:lineRule="auto" w:line="288" w:before="0" w:after="240"/>
        <w:ind w:left="0" w:right="0" w:firstLine="1440"/>
        <w:jc w:val="both"/>
        <w:rPr/>
      </w:pPr>
      <w:r>
        <w:rPr>
          <w:rFonts w:ascii="Times New Roman;serif" w:hAnsi="Times New Roman;serif"/>
          <w:b w:val="false"/>
          <w:color w:val="000000"/>
          <w:sz w:val="20"/>
        </w:rPr>
        <w:t>WHEREAS, the Company and the Participant have entered into a Second Amended and Restated Employment and Non-Competition Agreement dated August 3, 2020 (the “</w:t>
      </w:r>
      <w:r>
        <w:rPr>
          <w:rFonts w:ascii="Times New Roman;serif" w:hAnsi="Times New Roman;serif"/>
          <w:b w:val="false"/>
          <w:color w:val="000000"/>
          <w:sz w:val="20"/>
          <w:u w:val="single"/>
        </w:rPr>
        <w:t>Employment Agreement</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firstLine="1440"/>
        <w:jc w:val="both"/>
        <w:rPr/>
      </w:pPr>
      <w:r>
        <w:rPr>
          <w:rFonts w:ascii="Times New Roman;serif" w:hAnsi="Times New Roman;serif"/>
          <w:b w:val="false"/>
          <w:color w:val="000000"/>
          <w:sz w:val="20"/>
        </w:rPr>
        <w:t>WHEREAS, the Compensation and Talent Management Committee of the Board of Directors of the Company (the “</w:t>
      </w:r>
      <w:r>
        <w:rPr>
          <w:rFonts w:ascii="Times New Roman;serif" w:hAnsi="Times New Roman;serif"/>
          <w:b w:val="false"/>
          <w:color w:val="000000"/>
          <w:sz w:val="20"/>
          <w:u w:val="single"/>
        </w:rPr>
        <w:t>Committee</w:t>
      </w:r>
      <w:r>
        <w:rPr>
          <w:color w:val="000000"/>
        </w:rPr>
        <w:t>”</w:t>
      </w:r>
      <w:r>
        <w:rPr>
          <w:rFonts w:ascii="Times New Roman;serif" w:hAnsi="Times New Roman;serif"/>
          <w:b w:val="false"/>
          <w:color w:val="000000"/>
          <w:sz w:val="20"/>
        </w:rPr>
        <w:t>) has determined that it is in the best interests of the Company and its stockholders to grant to the Participant an award of Restricted Stock Units as provided herein and subject to the terms set forth herein.</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Grant of Restricted Stock Units</w:t>
      </w:r>
      <w:r>
        <w:rPr>
          <w:rFonts w:ascii="Times New Roman;serif" w:hAnsi="Times New Roman;serif"/>
          <w:b w:val="false"/>
          <w:color w:val="000000"/>
          <w:sz w:val="20"/>
        </w:rPr>
        <w:t>. The Company hereby grants on the Date of Grant, to the Participant a total of [●] Restricted Stock Units (the “</w:t>
      </w:r>
      <w:r>
        <w:rPr>
          <w:rFonts w:ascii="Times New Roman;serif" w:hAnsi="Times New Roman;serif"/>
          <w:b w:val="false"/>
          <w:color w:val="000000"/>
          <w:sz w:val="20"/>
          <w:u w:val="single"/>
        </w:rPr>
        <w:t>Award</w:t>
      </w:r>
      <w:r>
        <w:rPr>
          <w:color w:val="000000"/>
        </w:rPr>
        <w:t>”</w:t>
      </w:r>
      <w:r>
        <w:rPr>
          <w:rFonts w:ascii="Times New Roman;serif" w:hAnsi="Times New Roman;serif"/>
          <w:b w:val="false"/>
          <w:color w:val="000000"/>
          <w:sz w:val="20"/>
        </w:rPr>
        <w:t>) on the terms and conditions set forth in this Agreement and as otherwise provided in the Plan. Such Restricted Stock Units shall be credited to a separate account maintained for the Participant on the books of the Company (the “</w:t>
      </w:r>
      <w:r>
        <w:rPr>
          <w:rFonts w:ascii="Times New Roman;serif" w:hAnsi="Times New Roman;serif"/>
          <w:b w:val="false"/>
          <w:color w:val="000000"/>
          <w:sz w:val="20"/>
          <w:u w:val="single"/>
        </w:rPr>
        <w:t>Account</w:t>
      </w:r>
      <w:r>
        <w:rPr>
          <w:color w:val="000000"/>
        </w:rPr>
        <w:t>”</w:t>
      </w:r>
      <w:r>
        <w:rPr>
          <w:rFonts w:ascii="Times New Roman;serif" w:hAnsi="Times New Roman;serif"/>
          <w:b w:val="false"/>
          <w:color w:val="000000"/>
          <w:sz w:val="20"/>
        </w:rPr>
        <w:t>). On any given date, the value of each Restricted Stock Unit comprising the Award shall equal the Fair Market Value of one share of Common Stock. The Award shall vest in accordance with Section 3 hereof and settle in accordance with Section 4 hereof.</w:t>
      </w:r>
    </w:p>
    <w:p>
      <w:pPr>
        <w:pStyle w:val="TextBody"/>
        <w:bidi w:val="0"/>
        <w:spacing w:lineRule="auto" w:line="240" w:before="0" w:after="240"/>
        <w:ind w:left="0" w:right="0" w:firstLine="144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Incorporation by Reference, Etc</w:t>
      </w:r>
      <w:r>
        <w:rPr>
          <w:rFonts w:ascii="Times New Roman;serif" w:hAnsi="Times New Roman;serif"/>
          <w:b w:val="false"/>
          <w:color w:val="000000"/>
          <w:sz w:val="20"/>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Employment Agreement or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Notwithstanding the foregoing, however, in the event of any inconsistency between the terms of this Agreement or the Plan, on the one hand, and the Employment Agreement, on the other hand (e.g., applicable notice and other periods and procedures, definitions, termination and severance terms, etc.), the terms of the Employment Agreement shall govern.</w:t>
      </w:r>
    </w:p>
    <w:p>
      <w:pPr>
        <w:pStyle w:val="TextBody"/>
        <w:bidi w:val="0"/>
        <w:spacing w:lineRule="auto" w:line="240" w:before="0" w:after="240"/>
        <w:ind w:left="0" w:right="0" w:firstLine="144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Vesting</w:t>
      </w:r>
      <w:r>
        <w:rPr>
          <w:rFonts w:ascii="Times New Roman;serif" w:hAnsi="Times New Roman;serif"/>
          <w:b w:val="false"/>
          <w:color w:val="000000"/>
          <w:sz w:val="20"/>
        </w:rPr>
        <w:t>. Except as otherwise provided herein, [forty percent (40%)] of the Award shall vest based on continued employment with the Company (or its Affiliates) (the “</w:t>
      </w:r>
      <w:r>
        <w:rPr>
          <w:rFonts w:ascii="Times New Roman;serif" w:hAnsi="Times New Roman;serif"/>
          <w:b w:val="false"/>
          <w:color w:val="000000"/>
          <w:sz w:val="20"/>
          <w:u w:val="single"/>
        </w:rPr>
        <w:t>Time-Based RSUs</w:t>
      </w:r>
      <w:r>
        <w:rPr>
          <w:color w:val="000000"/>
        </w:rPr>
        <w:t>”</w:t>
      </w:r>
      <w:r>
        <w:rPr>
          <w:rFonts w:ascii="Times New Roman;serif" w:hAnsi="Times New Roman;serif"/>
          <w:b w:val="false"/>
          <w:color w:val="000000"/>
          <w:sz w:val="20"/>
        </w:rPr>
        <w:t>) and [sixty percent (60%)] of the Award shall vest based on continued employment with the Company (or its Affiliates) and the achievement of specified performance criteria described herein (the “</w:t>
      </w:r>
      <w:r>
        <w:rPr>
          <w:rFonts w:ascii="Times New Roman;serif" w:hAnsi="Times New Roman;serif"/>
          <w:b w:val="false"/>
          <w:color w:val="000000"/>
          <w:sz w:val="20"/>
          <w:u w:val="single"/>
        </w:rPr>
        <w:t>Performance-Based RSUs</w:t>
      </w:r>
      <w:r>
        <w:rPr>
          <w:color w:val="000000"/>
        </w:rPr>
        <w:t>”</w:t>
      </w:r>
      <w:r>
        <w:rPr>
          <w:rFonts w:ascii="Times New Roman;serif" w:hAnsi="Times New Roman;serif"/>
          <w:b w:val="false"/>
          <w:color w:val="000000"/>
          <w:sz w:val="20"/>
        </w:rPr>
        <w:t>). Each day on which a portion of the Award vests in accordance with this Agreement is referred to as a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Time-Based RSUs.</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Generally.</w:t>
      </w:r>
      <w:r>
        <w:rPr>
          <w:color w:val="000000"/>
        </w:rPr>
        <w:t xml:space="preserve"> </w:t>
      </w:r>
      <w:r>
        <w:rPr>
          <w:rFonts w:ascii="Times New Roman;serif" w:hAnsi="Times New Roman;serif"/>
          <w:b w:val="false"/>
          <w:color w:val="000000"/>
          <w:sz w:val="20"/>
        </w:rPr>
        <w:t>Except as otherwise provided herein, subject to theParticipant’s continued employment with the Company (or its Affiliates) through eachapplicable Vesting Date listed in the chart below (the “Vesting Chart”), the Time-Based RSUs shall become vested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1155"/>
                <wp:effectExtent l="0" t="0" r="0" b="0"/>
                <wp:wrapNone/>
                <wp:docPr id="117" name="Frame1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54" w:type="dxa"/>
        <w:jc w:val="left"/>
        <w:tblInd w:w="0" w:type="dxa"/>
        <w:tblLayout w:type="fixed"/>
        <w:tblCellMar>
          <w:top w:w="28" w:type="dxa"/>
          <w:left w:w="28" w:type="dxa"/>
          <w:bottom w:w="28" w:type="dxa"/>
          <w:right w:w="28" w:type="dxa"/>
        </w:tblCellMar>
      </w:tblPr>
      <w:tblGrid>
        <w:gridCol w:w="886"/>
        <w:gridCol w:w="778"/>
        <w:gridCol w:w="781"/>
        <w:gridCol w:w="849"/>
        <w:gridCol w:w="849"/>
        <w:gridCol w:w="121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Percent of Time-Based RSUs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Vesting</w:t>
            </w:r>
          </w:p>
        </w:tc>
        <w:tc>
          <w:tcPr>
            <w:tcW w:w="2909"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Vesting Date</w:t>
            </w:r>
          </w:p>
        </w:tc>
      </w:tr>
      <w:tr>
        <w:trPr/>
        <w:tc>
          <w:tcPr>
            <w:tcW w:w="244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9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Anniversary of Date of Grant]</w:t>
            </w:r>
          </w:p>
        </w:tc>
      </w:tr>
      <w:tr>
        <w:trPr/>
        <w:tc>
          <w:tcPr>
            <w:tcW w:w="244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9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Anniversary of Date of Grant]</w:t>
            </w:r>
          </w:p>
        </w:tc>
      </w:tr>
      <w:tr>
        <w:trPr/>
        <w:tc>
          <w:tcPr>
            <w:tcW w:w="244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9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Anniversary of Date of Grant]</w:t>
            </w:r>
          </w:p>
        </w:tc>
      </w:tr>
      <w:tr>
        <w:trPr/>
        <w:tc>
          <w:tcPr>
            <w:tcW w:w="2445"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9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Anniversary of Date of Grant]</w:t>
            </w:r>
          </w:p>
        </w:tc>
      </w:tr>
    </w:tbl>
    <w:p>
      <w:pPr>
        <w:pStyle w:val="TextBody"/>
        <w:bidi w:val="0"/>
        <w:spacing w:before="0" w:after="0"/>
        <w:ind w:left="0" w:right="0" w:firstLine="1800"/>
        <w:jc w:val="left"/>
        <w:rPr/>
      </w:pPr>
      <w:r>
        <w:rPr/>
      </w:r>
    </w:p>
    <w:p>
      <w:pPr>
        <w:pStyle w:val="TextBody"/>
        <w:bidi w:val="0"/>
        <w:spacing w:before="0" w:after="0"/>
        <w:ind w:left="0" w:right="0" w:firstLine="180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0"/>
          <w:u w:val="single"/>
        </w:rPr>
        <w:t>Change in Control</w:t>
      </w:r>
      <w:r>
        <w:rPr>
          <w:rFonts w:ascii="Times New Roman;serif" w:hAnsi="Times New Roman;serif"/>
          <w:b w:val="false"/>
          <w:color w:val="000000"/>
          <w:sz w:val="20"/>
        </w:rPr>
        <w:t xml:space="preserve">. (A) Notwithstanding the foregoing, in the event that a “Change in Control” (which for purposes of this Agreement shall have the meaning set forth in the Plan as modified by the language at the end of this Section 3) occurs at a time when any portion of the Time-Based RSUs remains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 </w:t>
      </w:r>
    </w:p>
    <w:p>
      <w:pPr>
        <w:pStyle w:val="TextBody"/>
        <w:bidi w:val="0"/>
        <w:spacing w:before="0" w:after="0"/>
        <w:jc w:val="both"/>
        <w:rPr/>
      </w:pPr>
      <w:r>
        <w:rPr/>
      </w:r>
    </w:p>
    <w:p>
      <w:pPr>
        <w:pStyle w:val="TextBody"/>
        <w:bidi w:val="0"/>
        <w:spacing w:lineRule="auto" w:line="240" w:before="0" w:after="240"/>
        <w:ind w:left="0" w:right="0" w:firstLine="2160"/>
        <w:jc w:val="both"/>
        <w:rPr/>
      </w:pPr>
      <w:r>
        <w:rPr>
          <w:rFonts w:ascii="Times New Roman;serif" w:hAnsi="Times New Roman;serif"/>
          <w:b w:val="false"/>
          <w:color w:val="000000"/>
          <w:sz w:val="20"/>
        </w:rPr>
        <w:t>(B) In addition: (1) in the event that Participant’s employment by the Company is terminated by the Company without Cause (as defined in the Plan) (x) at any time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 </w:t>
      </w:r>
    </w:p>
    <w:p>
      <w:pPr>
        <w:pStyle w:val="TextBody"/>
        <w:bidi w:val="0"/>
        <w:spacing w:lineRule="auto" w:line="240" w:before="0" w:after="240"/>
        <w:ind w:left="0" w:right="0" w:firstLine="2160"/>
        <w:jc w:val="both"/>
        <w:rPr>
          <w:rFonts w:ascii="Times New Roman;serif" w:hAnsi="Times New Roman;serif"/>
          <w:b w:val="false"/>
          <w:color w:val="000000"/>
          <w:sz w:val="20"/>
        </w:rPr>
      </w:pPr>
      <w:r>
        <w:rPr>
          <w:rFonts w:ascii="Times New Roman;serif" w:hAnsi="Times New Roman;serif"/>
          <w:b w:val="false"/>
          <w:color w:val="000000"/>
          <w:sz w:val="20"/>
        </w:rPr>
        <w:t>(C)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pStyle w:val="TextBody"/>
        <w:bidi w:val="0"/>
        <w:spacing w:lineRule="auto" w:line="240" w:before="0" w:after="240"/>
        <w:ind w:left="0" w:right="0" w:firstLine="2610"/>
        <w:jc w:val="both"/>
        <w:rPr>
          <w:rFonts w:ascii="Times New Roman;serif" w:hAnsi="Times New Roman;serif"/>
          <w:b w:val="false"/>
          <w:color w:val="000000"/>
          <w:sz w:val="20"/>
        </w:rPr>
      </w:pPr>
      <w:r>
        <w:rPr>
          <w:rFonts w:ascii="Times New Roman;serif" w:hAnsi="Times New Roman;serif"/>
          <w:b w:val="false"/>
          <w:color w:val="000000"/>
          <w:sz w:val="20"/>
        </w:rPr>
        <w:t>(1)    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pStyle w:val="TextBody"/>
        <w:bidi w:val="0"/>
        <w:spacing w:lineRule="auto" w:line="240" w:before="0" w:after="0"/>
        <w:ind w:left="0" w:right="0" w:firstLine="2610"/>
        <w:jc w:val="both"/>
        <w:rPr>
          <w:rFonts w:ascii="Times New Roman;serif" w:hAnsi="Times New Roman;serif"/>
          <w:b w:val="false"/>
          <w:color w:val="000000"/>
          <w:sz w:val="20"/>
        </w:rPr>
      </w:pPr>
      <w:r>
        <w:rPr>
          <w:rFonts w:ascii="Times New Roman;serif" w:hAnsi="Times New Roman;serif"/>
          <w:b w:val="false"/>
          <w:color w:val="000000"/>
          <w:sz w:val="20"/>
        </w:rPr>
        <w:t>(2)    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pStyle w:val="TextBody"/>
        <w:bidi w:val="0"/>
        <w:spacing w:before="0" w:after="0"/>
        <w:ind w:left="0" w:right="0" w:firstLine="2610"/>
        <w:jc w:val="both"/>
        <w:rPr/>
      </w:pPr>
      <w:r>
        <w:rPr/>
      </w:r>
    </w:p>
    <w:p>
      <w:pPr>
        <w:pStyle w:val="TextBody"/>
        <w:bidi w:val="0"/>
        <w:spacing w:lineRule="auto" w:line="240" w:before="0" w:after="0"/>
        <w:ind w:left="0" w:right="0" w:firstLine="2610"/>
        <w:jc w:val="both"/>
        <w:rPr>
          <w:rFonts w:ascii="Times New Roman;serif" w:hAnsi="Times New Roman;serif"/>
          <w:b w:val="false"/>
          <w:color w:val="000000"/>
          <w:sz w:val="20"/>
        </w:rPr>
      </w:pPr>
      <w:r>
        <w:rPr>
          <w:rFonts w:ascii="Times New Roman;serif" w:hAnsi="Times New Roman;serif"/>
          <w:b w:val="false"/>
          <w:color w:val="000000"/>
          <w:sz w:val="20"/>
        </w:rPr>
        <w:t>(3)    following a Change in Control, a change in the office or location where Participant is based of more than thirty (30) miles, which new location is more than thirty (30) miles from Participant’s primary residence; or</w:t>
      </w:r>
    </w:p>
    <w:p>
      <w:pPr>
        <w:pStyle w:val="TextBody"/>
        <w:bidi w:val="0"/>
        <w:spacing w:lineRule="auto" w:line="288"/>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Note: see Employment Agreement Section 7(f), which restricts this to 12 months.</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0705"/>
                <wp:effectExtent l="0" t="0" r="0" b="0"/>
                <wp:wrapNone/>
                <wp:docPr id="118" name="Frame1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610"/>
        <w:jc w:val="both"/>
        <w:rPr/>
      </w:pPr>
      <w:r>
        <w:rPr/>
      </w:r>
    </w:p>
    <w:p>
      <w:pPr>
        <w:pStyle w:val="TextBody"/>
        <w:bidi w:val="0"/>
        <w:spacing w:lineRule="auto" w:line="240" w:before="0" w:after="0"/>
        <w:ind w:left="0" w:right="0" w:firstLine="2610"/>
        <w:jc w:val="both"/>
        <w:rPr>
          <w:rFonts w:ascii="Times New Roman;serif" w:hAnsi="Times New Roman;serif"/>
          <w:b w:val="false"/>
          <w:color w:val="000000"/>
          <w:sz w:val="20"/>
        </w:rPr>
      </w:pPr>
      <w:r>
        <w:rPr>
          <w:rFonts w:ascii="Times New Roman;serif" w:hAnsi="Times New Roman;serif"/>
          <w:b w:val="false"/>
          <w:color w:val="000000"/>
          <w:sz w:val="20"/>
        </w:rPr>
        <w:t>(4)    following a Change in Control, a breach by the Company of any material term of any employment, consulting, or similar agreement between the Company and Participant;</w:t>
      </w:r>
    </w:p>
    <w:p>
      <w:pPr>
        <w:pStyle w:val="TextBody"/>
        <w:bidi w:val="0"/>
        <w:spacing w:lineRule="auto" w:line="240" w:before="0" w:after="240"/>
        <w:jc w:val="both"/>
        <w:rPr/>
      </w:pPr>
      <w:r>
        <w:rPr>
          <w:rFonts w:ascii="Times New Roman;serif" w:hAnsi="Times New Roman;serif"/>
          <w:b w:val="false"/>
          <w:color w:val="000000"/>
          <w:sz w:val="20"/>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r>
        <w:rPr>
          <w:rFonts w:ascii="Times New Roman;serif" w:hAnsi="Times New Roman;serif"/>
          <w:b w:val="false"/>
          <w:color w:val="000000"/>
          <w:sz w:val="13"/>
        </w:rPr>
        <w:t>2</w:t>
      </w:r>
    </w:p>
    <w:p>
      <w:pPr>
        <w:pStyle w:val="TextBody"/>
        <w:bidi w:val="0"/>
        <w:spacing w:lineRule="auto" w:line="240" w:before="0" w:after="240"/>
        <w:ind w:left="0" w:right="0" w:firstLine="144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Death.</w:t>
      </w:r>
      <w:r>
        <w:rPr>
          <w:color w:val="000000"/>
        </w:rPr>
        <w:t xml:space="preserve"> </w:t>
      </w:r>
      <w:r>
        <w:rPr>
          <w:rFonts w:ascii="Times New Roman;serif" w:hAnsi="Times New Roman;serif"/>
          <w:b w:val="false"/>
          <w:color w:val="000000"/>
          <w:sz w:val="20"/>
        </w:rPr>
        <w:t>Notwithstanding the foregoing, in the event that Participant’s employment with the Company is terminated due to Participant’s death at a time when any portion of the Time-Based RSUs remains unvested, the portion of the Time-Based RSUs which is unvested shall become immediately vested effective as of the date of Participant’s death.</w:t>
      </w:r>
    </w:p>
    <w:p>
      <w:pPr>
        <w:pStyle w:val="TextBody"/>
        <w:bidi w:val="0"/>
        <w:spacing w:lineRule="auto" w:line="240" w:before="0" w:after="240"/>
        <w:ind w:left="0" w:right="0" w:firstLine="1440"/>
        <w:jc w:val="both"/>
        <w:rPr/>
      </w:pPr>
      <w:r>
        <w:rPr>
          <w:rFonts w:ascii="Times New Roman;serif" w:hAnsi="Times New Roman;serif"/>
          <w:b w:val="false"/>
          <w:color w:val="000000"/>
          <w:sz w:val="20"/>
        </w:rPr>
        <w:t>(iv)</w:t>
      </w:r>
      <w:r>
        <w:rPr>
          <w:rFonts w:ascii="Times New Roman;serif" w:hAnsi="Times New Roman;serif"/>
          <w:b w:val="false"/>
          <w:color w:val="000000"/>
          <w:sz w:val="20"/>
          <w:u w:val="single"/>
        </w:rPr>
        <w:t>Retirement.</w:t>
      </w:r>
      <w:r>
        <w:rPr>
          <w:rFonts w:ascii="Times New Roman;serif" w:hAnsi="Times New Roman;serif"/>
          <w:b w:val="false"/>
          <w:color w:val="000000"/>
          <w:sz w:val="13"/>
          <w:u w:val="single"/>
        </w:rPr>
        <w:t>3</w:t>
      </w:r>
      <w:r>
        <w:rPr>
          <w:color w:val="000000"/>
        </w:rPr>
        <w:t xml:space="preserve"> </w:t>
      </w:r>
      <w:r>
        <w:rPr>
          <w:rFonts w:ascii="Times New Roman;serif" w:hAnsi="Times New Roman;serif"/>
          <w:b w:val="false"/>
          <w:color w:val="000000"/>
          <w:sz w:val="20"/>
        </w:rPr>
        <w:t>Notwithstanding the foregoing, and assuming that such Time-Based RSUs have been outstanding for at least six (6) months from the Date of Grant, in the event that Participant’s employment with the Company (or its Affiliates) is terminated, other than by the Company (or its Affiliates) for Cause (as defined the Plan or in the Employment Agreement),</w:t>
      </w:r>
    </w:p>
    <w:p>
      <w:pPr>
        <w:pStyle w:val="TextBody"/>
        <w:bidi w:val="0"/>
        <w:spacing w:lineRule="auto" w:line="240"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(1)after having attained age [sixty (60)] with at least [ten (10)] years of service with the Company (or its Affiliates) at a time when any portion of the Time-Based RSUs remains unvested, then [one-hundred percent (100%)] of that portion of the Participant’s Time-Based RSUs (and only that portion) that is scheduled to vest within the next twelve (12) months shall become immediately vested as of the date the Participant terminates employment, and any remaining unvested Time-Based RSUs shall be immediately forfeited; and</w:t>
      </w:r>
    </w:p>
    <w:p>
      <w:pPr>
        <w:pStyle w:val="TextBody"/>
        <w:bidi w:val="0"/>
        <w:spacing w:lineRule="auto" w:line="240" w:before="0" w:after="240"/>
        <w:ind w:left="0" w:right="0" w:firstLine="1440"/>
        <w:jc w:val="both"/>
        <w:rPr/>
      </w:pPr>
      <w:r>
        <w:rPr>
          <w:rFonts w:ascii="Times New Roman;serif" w:hAnsi="Times New Roman;serif"/>
          <w:b w:val="false"/>
          <w:color w:val="000000"/>
          <w:sz w:val="20"/>
        </w:rPr>
        <w:t>(2)after having attained age [sixty (60)] with at least [five (5)] years and less than [ten (10)] years of service with the Company (or its Affiliates) at a time when any portion of the Time-Based RSUs remains unvested, then the applicable percentage of the Participant’s Time-Based RSUs (and only that portion) that is scheduled to vest within the next twelve (12) months as described below (the “</w:t>
      </w:r>
      <w:r>
        <w:rPr>
          <w:rFonts w:ascii="Times New Roman;serif" w:hAnsi="Times New Roman;serif"/>
          <w:b w:val="false"/>
          <w:color w:val="000000"/>
          <w:sz w:val="20"/>
          <w:u w:val="single"/>
        </w:rPr>
        <w:t>Prorated Percentage</w:t>
      </w:r>
      <w:r>
        <w:rPr>
          <w:color w:val="000000"/>
        </w:rPr>
        <w:t>”</w:t>
      </w:r>
      <w:r>
        <w:rPr>
          <w:rFonts w:ascii="Times New Roman;serif" w:hAnsi="Times New Roman;serif"/>
          <w:b w:val="false"/>
          <w:color w:val="000000"/>
          <w:sz w:val="20"/>
        </w:rPr>
        <w:t>), shall become immediately vested as of the date the Participant terminates employment, and any remaining portion of the unvested Time-Based RSUs shall be immediately forfeited.</w:t>
      </w:r>
    </w:p>
    <w:tbl>
      <w:tblPr>
        <w:tblW w:w="4334" w:type="dxa"/>
        <w:jc w:val="left"/>
        <w:tblInd w:w="0" w:type="dxa"/>
        <w:tblLayout w:type="fixed"/>
        <w:tblCellMar>
          <w:top w:w="28" w:type="dxa"/>
          <w:left w:w="28" w:type="dxa"/>
          <w:bottom w:w="28" w:type="dxa"/>
          <w:right w:w="28" w:type="dxa"/>
        </w:tblCellMar>
      </w:tblPr>
      <w:tblGrid>
        <w:gridCol w:w="917"/>
        <w:gridCol w:w="807"/>
        <w:gridCol w:w="811"/>
        <w:gridCol w:w="526"/>
        <w:gridCol w:w="526"/>
        <w:gridCol w:w="747"/>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[Completed Years of Service: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 least</w:t>
            </w:r>
          </w:p>
        </w:tc>
        <w:tc>
          <w:tcPr>
            <w:tcW w:w="1799"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Prorated Percentage </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Five (5) years</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(6) years</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Seven (7) years</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Eight (8) years</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2535"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(9) years</w:t>
            </w:r>
          </w:p>
        </w:tc>
        <w:tc>
          <w:tcPr>
            <w:tcW w:w="17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bl>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Section 3(a)(iv), years of service with the Company (or its Affiliates) does not include tenure at any organization acquired by the Company (or its Affiliates) prior to the closing date of such acquisition. </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Any Time-Based RSUs shall be settled in accordance with Section 4 of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Performance-Based RSUs.</w:t>
      </w:r>
      <w:r>
        <w:rPr>
          <w:color w:val="000000"/>
        </w:rPr>
        <w:t xml:space="preserve"> </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Note: see Employment Agreement for different notice periods and procedures.</w:t>
      </w:r>
    </w:p>
    <w:p>
      <w:pPr>
        <w:pStyle w:val="TextBody"/>
        <w:bidi w:val="0"/>
        <w:spacing w:lineRule="auto" w:line="288"/>
        <w:ind w:left="0" w:right="0" w:hanging="36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This Section 3(a)(iv) is superseded in its entirety by Section 7(e)(iii) of the Employment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119" name="Frame1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Generally</w:t>
      </w:r>
      <w:r>
        <w:rPr>
          <w:rFonts w:ascii="Times New Roman;serif" w:hAnsi="Times New Roman;serif"/>
          <w:b w:val="false"/>
          <w:color w:val="000000"/>
          <w:sz w:val="20"/>
        </w:rPr>
        <w:t>. Except as otherwise provided herein, [forty percent (40%)] of the Performance-Based RSUs shall cliff vest on [●], based on continuous service with the Company (or its Affiliates) through such Vesting Date and the achievement of Company revenues against the aggregate revenue target as set forth on Exhibit A (the “</w:t>
      </w:r>
      <w:r>
        <w:rPr>
          <w:rFonts w:ascii="Times New Roman;serif" w:hAnsi="Times New Roman;serif"/>
          <w:b w:val="false"/>
          <w:color w:val="000000"/>
          <w:sz w:val="20"/>
          <w:u w:val="single"/>
        </w:rPr>
        <w:t>Revenue-Based RSUs</w:t>
      </w:r>
      <w:r>
        <w:rPr>
          <w:color w:val="000000"/>
        </w:rPr>
        <w:t>”</w:t>
      </w:r>
      <w:r>
        <w:rPr>
          <w:rFonts w:ascii="Times New Roman;serif" w:hAnsi="Times New Roman;serif"/>
          <w:b w:val="false"/>
          <w:color w:val="000000"/>
          <w:sz w:val="20"/>
        </w:rPr>
        <w:t>); and [sixty percent (60%)] of the Performance-Based RSUs shall cliff vest on [●], based on continuous service with the Company through such Vesting Date and the achievement of relative total stockholder return (“</w:t>
      </w:r>
      <w:r>
        <w:rPr>
          <w:rFonts w:ascii="Times New Roman;serif" w:hAnsi="Times New Roman;serif"/>
          <w:b w:val="false"/>
          <w:color w:val="000000"/>
          <w:sz w:val="20"/>
          <w:u w:val="single"/>
        </w:rPr>
        <w:t>TSR</w:t>
      </w:r>
      <w:r>
        <w:rPr>
          <w:color w:val="000000"/>
        </w:rPr>
        <w:t>”</w:t>
      </w:r>
      <w:r>
        <w:rPr>
          <w:rFonts w:ascii="Times New Roman;serif" w:hAnsi="Times New Roman;serif"/>
          <w:b w:val="false"/>
          <w:color w:val="000000"/>
          <w:sz w:val="20"/>
        </w:rPr>
        <w:t xml:space="preserve">) performance of the Company against the Peer Group (as defined on </w:t>
      </w:r>
      <w:r>
        <w:rPr>
          <w:rFonts w:ascii="Times New Roman;serif" w:hAnsi="Times New Roman;serif"/>
          <w:b w:val="false"/>
          <w:color w:val="000000"/>
          <w:sz w:val="20"/>
          <w:u w:val="single"/>
        </w:rPr>
        <w:t>Exhibit B</w:t>
      </w:r>
      <w:r>
        <w:rPr>
          <w:rFonts w:ascii="Times New Roman;serif" w:hAnsi="Times New Roman;serif"/>
          <w:b w:val="false"/>
          <w:color w:val="000000"/>
          <w:sz w:val="20"/>
        </w:rPr>
        <w:t>) over the period from [●] through [●] (the “</w:t>
      </w:r>
      <w:r>
        <w:rPr>
          <w:rFonts w:ascii="Times New Roman;serif" w:hAnsi="Times New Roman;serif"/>
          <w:b w:val="false"/>
          <w:color w:val="000000"/>
          <w:sz w:val="20"/>
          <w:u w:val="single"/>
        </w:rPr>
        <w:t>TSR Performance Period</w:t>
      </w:r>
      <w:r>
        <w:rPr>
          <w:color w:val="000000"/>
        </w:rPr>
        <w:t>”</w:t>
      </w:r>
      <w:r>
        <w:rPr>
          <w:rFonts w:ascii="Times New Roman;serif" w:hAnsi="Times New Roman;serif"/>
          <w:b w:val="false"/>
          <w:color w:val="000000"/>
          <w:sz w:val="20"/>
        </w:rPr>
        <w:t xml:space="preserve">) as set forth on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(the “</w:t>
      </w:r>
      <w:r>
        <w:rPr>
          <w:rFonts w:ascii="Times New Roman;serif" w:hAnsi="Times New Roman;serif"/>
          <w:b w:val="false"/>
          <w:color w:val="000000"/>
          <w:sz w:val="20"/>
          <w:u w:val="single"/>
        </w:rPr>
        <w:t>TSR-Based RSUs</w:t>
      </w:r>
      <w:r>
        <w:rPr>
          <w:color w:val="000000"/>
        </w:rPr>
        <w:t>”</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Change in Control.</w:t>
      </w:r>
      <w:r>
        <w:rPr>
          <w:color w:val="000000"/>
        </w:rPr>
        <w:t xml:space="preserve"> </w:t>
      </w:r>
      <w:r>
        <w:rPr>
          <w:rFonts w:ascii="Times New Roman;serif" w:hAnsi="Times New Roman;serif"/>
          <w:b w:val="false"/>
          <w:color w:val="000000"/>
          <w:sz w:val="20"/>
        </w:rPr>
        <w:t>Notwithstanding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Revenue-Based RSUs</w:t>
      </w:r>
      <w:r>
        <w:rPr>
          <w:rFonts w:ascii="Times New Roman;serif" w:hAnsi="Times New Roman;serif"/>
          <w:b w:val="false"/>
          <w:color w:val="000000"/>
          <w:sz w:val="20"/>
        </w:rPr>
        <w:t>. In the event that a Change in Control occurs before [●], one hundred percent (100%) of the Revenue-Based RSUs will be deemed earned as of the date of the Change in Control. For the avoidance of doubt, in such event, the Participant will be unable to earn any additional Revenue-Based RSUs.</w:t>
      </w:r>
    </w:p>
    <w:p>
      <w:pPr>
        <w:pStyle w:val="TextBody"/>
        <w:bidi w:val="0"/>
        <w:spacing w:lineRule="auto" w:line="240" w:before="0" w:after="240"/>
        <w:ind w:left="0" w:right="0" w:firstLine="144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TSR-Based RSUs</w:t>
      </w:r>
      <w:r>
        <w:rPr>
          <w:rFonts w:ascii="Times New Roman;serif" w:hAnsi="Times New Roman;serif"/>
          <w:b w:val="false"/>
          <w:color w:val="000000"/>
          <w:sz w:val="20"/>
        </w:rPr>
        <w:t xml:space="preserve">. In the event that a Change in Control occurs on or before the first anniversary of the Date of Grant, one hundred percent (100%) of the TSR-Based RSUs will be deemed earned as of the date of the Change in Control. For the avoidance of doubt, in such event, the Participant will be unable to earn any additional TSR-Based RSUs. In the event that a Change in Control occurs after the first anniversary of the Date of Grant, then (i) the TSR Performance Period shall be deemed to end on the date of the Change in Control, and the Committee shall determine the TSR of the Company and the Peer Group (as defined in </w:t>
      </w:r>
      <w:r>
        <w:rPr>
          <w:rFonts w:ascii="Times New Roman;serif" w:hAnsi="Times New Roman;serif"/>
          <w:b w:val="false"/>
          <w:color w:val="000000"/>
          <w:sz w:val="20"/>
          <w:u w:val="single"/>
        </w:rPr>
        <w:t>Exhibit B</w:t>
      </w:r>
      <w:r>
        <w:rPr>
          <w:rFonts w:ascii="Times New Roman;serif" w:hAnsi="Times New Roman;serif"/>
          <w:b w:val="false"/>
          <w:color w:val="000000"/>
          <w:sz w:val="20"/>
        </w:rPr>
        <w:t xml:space="preserve">) as of such date, and shall determine the number of TSR-Based RSUs earned by the Participant; and (ii) for purposes of determination of the Company’s TSR for the TSR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TSR Performance Period, as set forth in </w:t>
      </w:r>
      <w:r>
        <w:rPr>
          <w:rFonts w:ascii="Times New Roman;serif" w:hAnsi="Times New Roman;serif"/>
          <w:b w:val="false"/>
          <w:color w:val="000000"/>
          <w:sz w:val="20"/>
          <w:u w:val="single"/>
        </w:rPr>
        <w:t>Exhibit B</w:t>
      </w:r>
      <w:r>
        <w:rPr>
          <w:rFonts w:ascii="Times New Roman;serif" w:hAnsi="Times New Roman;serif"/>
          <w:b w:val="false"/>
          <w:color w:val="000000"/>
          <w:sz w:val="2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0"/>
        </w:rPr>
        <w:t>(3)The Performance-Based RSUs deemed earned in accordance with the foregoing provisions of this Section 3(b)(ii) will be treated as immediately vested in accordance with the schedule set forth in the special Change in Control vesting chart below (the “</w:t>
      </w:r>
      <w:r>
        <w:rPr>
          <w:rFonts w:ascii="Times New Roman;serif" w:hAnsi="Times New Roman;serif"/>
          <w:b w:val="false"/>
          <w:color w:val="000000"/>
          <w:sz w:val="20"/>
          <w:u w:val="single"/>
        </w:rPr>
        <w:t>Special CIC Vesting Chart</w:t>
      </w:r>
      <w:r>
        <w:rPr>
          <w:color w:val="000000"/>
        </w:rPr>
        <w:t>”</w:t>
      </w:r>
      <w:r>
        <w:rPr>
          <w:rFonts w:ascii="Times New Roman;serif" w:hAnsi="Times New Roman;serif"/>
          <w:b w:val="false"/>
          <w:color w:val="000000"/>
          <w:sz w:val="20"/>
        </w:rPr>
        <w:t xml:space="preserve">) as well as additional vesting based on the methodology set forth in Section 3(a)(ii), subject to the Participant’s continuous employment with the Company or an Affiliate through the consummation of the Change in Control, assuming for such purpose that such deemed earned Performance-Based RSUs had originally been subject only to time-based vesting, as set forth in the Special CIC Vesting Chart. </w:t>
      </w:r>
    </w:p>
    <w:tbl>
      <w:tblPr>
        <w:tblW w:w="6148" w:type="dxa"/>
        <w:jc w:val="left"/>
        <w:tblInd w:w="0" w:type="dxa"/>
        <w:tblLayout w:type="fixed"/>
        <w:tblCellMar>
          <w:top w:w="28" w:type="dxa"/>
          <w:left w:w="28" w:type="dxa"/>
          <w:bottom w:w="28" w:type="dxa"/>
          <w:right w:w="28" w:type="dxa"/>
        </w:tblCellMar>
      </w:tblPr>
      <w:tblGrid>
        <w:gridCol w:w="1793"/>
        <w:gridCol w:w="1575"/>
        <w:gridCol w:w="1581"/>
        <w:gridCol w:w="350"/>
        <w:gridCol w:w="350"/>
        <w:gridCol w:w="499"/>
      </w:tblGrid>
      <w:tr>
        <w:trPr/>
        <w:tc>
          <w:tcPr>
            <w:tcW w:w="1793"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Vested Percent of Deemed Earned Performance-Based RSUs</w:t>
            </w:r>
          </w:p>
        </w:tc>
        <w:tc>
          <w:tcPr>
            <w:tcW w:w="1199"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Vesting Date</w:t>
            </w:r>
          </w:p>
        </w:tc>
      </w:tr>
      <w:tr>
        <w:trPr/>
        <w:tc>
          <w:tcPr>
            <w:tcW w:w="494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[33.33%]</w:t>
            </w:r>
          </w:p>
        </w:tc>
        <w:tc>
          <w:tcPr>
            <w:tcW w:w="11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w:t>
            </w:r>
          </w:p>
        </w:tc>
      </w:tr>
      <w:tr>
        <w:trPr/>
        <w:tc>
          <w:tcPr>
            <w:tcW w:w="494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[66.67%]</w:t>
            </w:r>
          </w:p>
        </w:tc>
        <w:tc>
          <w:tcPr>
            <w:tcW w:w="11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w:t>
            </w:r>
          </w:p>
        </w:tc>
      </w:tr>
      <w:tr>
        <w:trPr/>
        <w:tc>
          <w:tcPr>
            <w:tcW w:w="4949"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1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w:t>
            </w:r>
          </w:p>
        </w:tc>
      </w:tr>
    </w:tbl>
    <w:p>
      <w:pPr>
        <w:pStyle w:val="TextBody"/>
        <w:bidi w:val="0"/>
        <w:spacing w:lineRule="auto" w:line="240" w:before="0" w:after="240"/>
        <w:ind w:left="0" w:right="0" w:firstLine="2160"/>
        <w:jc w:val="both"/>
        <w:rPr/>
      </w:pPr>
      <w:r>
        <w:rPr>
          <w:rFonts w:ascii="Times New Roman;serif" w:hAnsi="Times New Roman;serif"/>
          <w:b w:val="false"/>
          <w:color w:val="000000"/>
          <w:sz w:val="24"/>
        </w:rPr>
        <w:br/>
      </w:r>
      <w:r>
        <w:rPr>
          <w:rFonts w:ascii="Times New Roman;serif" w:hAnsi="Times New Roman;serif"/>
          <w:b w:val="false"/>
          <w:color w:val="000000"/>
          <w:sz w:val="20"/>
        </w:rPr>
        <w:t xml:space="preserve">Accordingly, for example, the Special CIC Vesting Chart and the methodology of Section 3(a)(ii) shall be applied effective as of the consummation of the Change in Control so that: (x) to the extent that any of the Vesting Dates set forth in the Special CIC Vesting Chart occurred prior to the date of the occurrence of the Change in Control, then a portion (as set forth in such chart) of such deemed earned Performance-Based RSUs shall be immediately vested effective upon the consummation of the Change in Control; and (y) after taking into account any accelerated vesting pursuant to the immediately preceding clause (x), effective upon the consummation of the Change in Control, the vesting of the portion of such deemed earned Performance-Based RSUs that are not then fully vested shall accelerate such that any portion of those deemed earned Performance-Based RSUs which would have become vested during the one-year period following the Change in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0705"/>
                <wp:effectExtent l="0" t="0" r="0" b="0"/>
                <wp:wrapNone/>
                <wp:docPr id="120" name="Frame1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erif" w:hAnsi="Times New Roman;serif"/>
          <w:b w:val="false"/>
          <w:color w:val="000000"/>
          <w:sz w:val="20"/>
        </w:rPr>
        <w:t>Control (based on the application of the Special CIC Vesting Chart to such Performance-Based RSUs), shall become vested effective as of the consummation of the Change in Control. The remaining portion of the deemed earned Performance-Based RSUs shall cliff vest on [●], subject to the Participant’s continuous employment with the Company or an Affiliate through such date; provided that (1) in the event that Participant’s employment by the Company is terminated by the Company without Cause (x) at any time following a Change in Control or (y) in specific contemplation of a Change in Control or (2) in the event Participant resigns with Good Reason at any time</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earned Performance-Based RSUs which is unvested as of the termination date. </w:t>
      </w:r>
    </w:p>
    <w:p>
      <w:pPr>
        <w:pStyle w:val="TextBody"/>
        <w:bidi w:val="0"/>
        <w:spacing w:lineRule="auto" w:line="240" w:before="0" w:after="240"/>
        <w:ind w:left="0" w:right="0" w:firstLine="144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Retirement</w:t>
      </w:r>
      <w:r>
        <w:rPr>
          <w:rFonts w:ascii="Times New Roman;serif" w:hAnsi="Times New Roman;serif"/>
          <w:b w:val="false"/>
          <w:color w:val="000000"/>
          <w:sz w:val="20"/>
        </w:rPr>
        <w:t>.</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Notwithstanding the foregoing, and assuming that such Performance-Based RSUs have been outstanding for at least six (6) months from the Date of Grant, in the event that Participant’s employment with the Company (or its Affiliates) is terminated, other than by Company (or its Affiliates) for Cause,</w:t>
      </w:r>
    </w:p>
    <w:p>
      <w:pPr>
        <w:pStyle w:val="TextBody"/>
        <w:bidi w:val="0"/>
        <w:spacing w:lineRule="auto" w:line="240"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(1)after having attained age [sixty (60)] with at least [ten (10)] years of service with the Company (or its Affiliates) prior to [●], the Vesting Date for the Performance-Based RSUs, Participant shall earn a pro rata portion of the Performance-Based RSUs based on actual Company performance (with respect to the Revenue and TSR performance goals) at the end of the performance period, as determined by the Committee.</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Such proration shall be determined as follows: the number of Performance-Based RSUs (rounded to the nearest whole number) that have been deemed earned by the Committee shall vest based on the product of the total number of Performance-Based RSUs granted on the Date of Grant multiplied by the quotient of (x) divided by (y), where (x) equals the total number of years of service completed by Participant from the Date of Grant (rounding up the number of years of service) and (y) equals three (3);</w:t>
      </w:r>
    </w:p>
    <w:p>
      <w:pPr>
        <w:pStyle w:val="TextBody"/>
        <w:bidi w:val="0"/>
        <w:spacing w:lineRule="auto" w:line="240" w:before="0" w:after="240"/>
        <w:ind w:left="0" w:right="0" w:firstLine="1440"/>
        <w:jc w:val="both"/>
        <w:rPr/>
      </w:pPr>
      <w:r>
        <w:rPr>
          <w:rFonts w:ascii="Times New Roman;serif" w:hAnsi="Times New Roman;serif"/>
          <w:b w:val="false"/>
          <w:color w:val="000000"/>
          <w:sz w:val="20"/>
        </w:rPr>
        <w:t>(2)after having attained age [sixty (60)] with at least [five (5)] years and less than [ten (10)] years of service with the Company (or its Affiliates) prior to [●], the Vesting Date for the Performance-Based RSUs, the Participant shall earn a pro rata portion of the Performance-Based RSUs calculated in accordance with the methodology outlined in subsection 3(b)(iii)(1) immediately above, provided that such amount shall be reduced by the applicable percentage set forth below (the “</w:t>
      </w:r>
      <w:r>
        <w:rPr>
          <w:rFonts w:ascii="Times New Roman;serif" w:hAnsi="Times New Roman;serif"/>
          <w:b w:val="false"/>
          <w:color w:val="000000"/>
          <w:sz w:val="20"/>
          <w:u w:val="single"/>
        </w:rPr>
        <w:t>Reduction Percentage</w:t>
      </w:r>
      <w:r>
        <w:rPr>
          <w:color w:val="000000"/>
        </w:rPr>
        <w:t>”</w:t>
      </w:r>
      <w:r>
        <w:rPr>
          <w:rFonts w:ascii="Times New Roman;serif" w:hAnsi="Times New Roman;serif"/>
          <w:b w:val="false"/>
          <w:color w:val="000000"/>
          <w:sz w:val="20"/>
        </w:rPr>
        <w:t>).</w:t>
      </w:r>
    </w:p>
    <w:tbl>
      <w:tblPr>
        <w:tblW w:w="4515" w:type="dxa"/>
        <w:jc w:val="left"/>
        <w:tblInd w:w="0" w:type="dxa"/>
        <w:tblLayout w:type="fixed"/>
        <w:tblCellMar>
          <w:top w:w="28" w:type="dxa"/>
          <w:left w:w="28" w:type="dxa"/>
          <w:bottom w:w="28" w:type="dxa"/>
          <w:right w:w="28" w:type="dxa"/>
        </w:tblCellMar>
      </w:tblPr>
      <w:tblGrid>
        <w:gridCol w:w="917"/>
        <w:gridCol w:w="807"/>
        <w:gridCol w:w="811"/>
        <w:gridCol w:w="579"/>
        <w:gridCol w:w="579"/>
        <w:gridCol w:w="822"/>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[Completed Years of Service: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 least</w:t>
            </w:r>
          </w:p>
        </w:tc>
        <w:tc>
          <w:tcPr>
            <w:tcW w:w="1980"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Reduction Percentage </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Five (5) years</w:t>
            </w:r>
          </w:p>
        </w:tc>
        <w:tc>
          <w:tcPr>
            <w:tcW w:w="19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(6) years</w:t>
            </w:r>
          </w:p>
        </w:tc>
        <w:tc>
          <w:tcPr>
            <w:tcW w:w="19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Seven (7) years</w:t>
            </w:r>
          </w:p>
        </w:tc>
        <w:tc>
          <w:tcPr>
            <w:tcW w:w="19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Eight (8) years</w:t>
            </w:r>
          </w:p>
        </w:tc>
        <w:tc>
          <w:tcPr>
            <w:tcW w:w="19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535"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(9) years</w:t>
            </w:r>
          </w:p>
        </w:tc>
        <w:tc>
          <w:tcPr>
            <w:tcW w:w="19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before="0" w:after="240"/>
        <w:ind w:left="0" w:right="0" w:firstLine="72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Section 3(b)(iii), years of service with the Company (or its Affiliates) does not include tenure at any organization acquired by the Company (or its Affiliates) prior to the closing date of such acquisition. </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Note: see Employment Agreement Section 7(f), which restricts this to 12 months.</w:t>
      </w:r>
    </w:p>
    <w:p>
      <w:pPr>
        <w:pStyle w:val="TextBody"/>
        <w:bidi w:val="0"/>
        <w:spacing w:lineRule="auto" w:line="288"/>
        <w:ind w:left="0" w:right="0" w:hanging="36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Note: This Section 3(b)(iii) is superseded in its entirety by Section 7(e)(iii) of the Employment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121" name="Frame1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Any Performance-Based RSUs shall be settled in accordance with Section 4 of this Agreement after the end of the performance period. The determination of any prorated Performance-Based RSU shall be made by the Committee in its sole discretion.</w:t>
      </w:r>
    </w:p>
    <w:p>
      <w:pPr>
        <w:pStyle w:val="TextBody"/>
        <w:bidi w:val="0"/>
        <w:spacing w:lineRule="auto" w:line="240" w:before="0" w:after="240"/>
        <w:ind w:left="0" w:right="0" w:firstLine="21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Death</w:t>
      </w:r>
      <w:r>
        <w:rPr>
          <w:rFonts w:ascii="Times New Roman;serif" w:hAnsi="Times New Roman;serif"/>
          <w:b w:val="false"/>
          <w:color w:val="000000"/>
          <w:sz w:val="20"/>
        </w:rPr>
        <w:t>. Notwithstanding the foregoing in the event that Participant’s employment with the Company (or its Affiliates) is terminated due to Participant’s death during the term of the Employment Agreement, Participant shall become immediately vested in 100% of the Restricted Stock Units that were granted to Participant pursuant to this Award, effective as of the date of Participant’s death.</w:t>
      </w:r>
    </w:p>
    <w:p>
      <w:pPr>
        <w:pStyle w:val="TextBody"/>
        <w:bidi w:val="0"/>
        <w:spacing w:lineRule="auto" w:line="240" w:before="0" w:after="240"/>
        <w:ind w:left="0" w:right="0" w:firstLine="21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Other Termination Events</w:t>
      </w:r>
      <w:r>
        <w:rPr>
          <w:rFonts w:ascii="Times New Roman;serif" w:hAnsi="Times New Roman;serif"/>
          <w:b w:val="false"/>
          <w:color w:val="000000"/>
          <w:sz w:val="20"/>
        </w:rPr>
        <w:t>. Notwithstanding anything to the contrary herein:</w:t>
      </w:r>
      <w:r>
        <w:rPr>
          <w:rFonts w:ascii="Times New Roman;serif" w:hAnsi="Times New Roman;serif"/>
          <w:b w:val="false"/>
          <w:color w:val="000000"/>
          <w:sz w:val="13"/>
        </w:rPr>
        <w:t>6</w:t>
      </w:r>
    </w:p>
    <w:p>
      <w:pPr>
        <w:pStyle w:val="TextBody"/>
        <w:bidi w:val="0"/>
        <w:spacing w:lineRule="auto" w:line="240"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(1)In the event that Participant’s employment under the Employment Agreement is terminated pursuant to Section 7(d) of the Employment Agreement, then Participant shall be treated as if Participant were still employed by the Company for a period of 27 months following the “Termination Date” (as defined in the Employment Agreement). For clarity, there shall be no acceleration of vesting; Participant shall be permitted to continue to vest in this Award on the same schedule that Participant would have vested in this Award had Participant continued to be employed during such 27-month period (subject, to the achievement of the applicable performance criteria in the case of the Performance-Based RSUs), and the Restricted Stock Units do not vest by the terms set forth in this Agreement, such Restricted Stock Units shall be forfeited (and if any Restricted Stock Units could not possibly vest by the end of such 27-month period, such Restricted Stock Units shall be forfeited immediately upon the Termination Date).</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(2)In the event that Participant’s employment under the Employment Agreement is terminated pursuant to Section 7(f) of the Employment Agreement, in each case within 12 months following the date a Change in Control occurs, or if Participant’s employment under the Employment Agreement is involuntarily terminated by the Company prior to the date on which the Change in Control occurs, and it is reasonably demonstrated by Participant that such termination of employment (x) was at the request of a third party who has taken steps reasonably calculated to effect a Change in Control or (y) otherwise arose in connection with or anticipation of a Change in Control, then any unvested Restricted Stock Units granted to Participant pursuant to this Award shall become fully vested.</w:t>
      </w:r>
    </w:p>
    <w:p>
      <w:pPr>
        <w:pStyle w:val="TextBody"/>
        <w:bidi w:val="0"/>
        <w:spacing w:before="0" w:after="0"/>
        <w:jc w:val="both"/>
        <w:rPr/>
      </w:pPr>
      <w:r>
        <w:rPr/>
      </w:r>
    </w:p>
    <w:p>
      <w:pPr>
        <w:pStyle w:val="TextBody"/>
        <w:bidi w:val="0"/>
        <w:spacing w:lineRule="auto" w:line="240" w:before="0" w:after="240"/>
        <w:ind w:left="0" w:right="0" w:firstLine="216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Special 409A Rule.</w:t>
      </w:r>
      <w:r>
        <w:rPr>
          <w:color w:val="000000"/>
        </w:rPr>
        <w:t xml:space="preserve"> </w:t>
      </w:r>
      <w:r>
        <w:rPr>
          <w:rFonts w:ascii="Times New Roman;serif" w:hAnsi="Times New Roman;serif"/>
          <w:b w:val="false"/>
          <w:color w:val="000000"/>
          <w:sz w:val="20"/>
        </w:rPr>
        <w:t>Notwithstanding anything to the contrary in this Section 3, to the extent necessary to comply with Section 409A of the Code, a Change in Control hereunder shall not give rise to any acceleration of the vesting of or settlement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Terms</w:t>
      </w:r>
      <w:r>
        <w:rPr>
          <w:rFonts w:ascii="Times New Roman;serif" w:hAnsi="Times New Roman;serif"/>
          <w:b w:val="false"/>
          <w:color w:val="000000"/>
          <w:sz w:val="20"/>
        </w:rPr>
        <w:t>.</w:t>
      </w:r>
    </w:p>
    <w:p>
      <w:pPr>
        <w:pStyle w:val="TextBody"/>
        <w:bidi w:val="0"/>
        <w:spacing w:lineRule="auto" w:line="240" w:before="0" w:after="240"/>
        <w:ind w:left="0" w:right="0" w:firstLine="21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Settlement</w:t>
      </w:r>
      <w:r>
        <w:rPr>
          <w:rFonts w:ascii="Times New Roman;serif" w:hAnsi="Times New Roman;serif"/>
          <w:b w:val="false"/>
          <w:color w:val="000000"/>
          <w:sz w:val="20"/>
        </w:rPr>
        <w:t xml:space="preserve">. Each (x) vested Time-Based RSU granted under Section 3(a) shall be settled as soon as practicable, but in no event later than 90 days, following the scheduled vesting date listed in the Vesting Chart applicable to such Time-Based RSU and (y) each vested Performance-Based RSU granted under Section 3(b) shall be settled as soon as practicable, but in no event later than 90 days, following [●], provided that if the Participant’s death or a Change in Control occur while the Award remains outstanding, then (i) any Time-Based RSUs or Performance-Based RSUs that become vested upon the Participant’s death per the terms of this Agreement shall be settled as soon as practicable, but in no event later than 90 days, following the Participant’s death, and (ii) to the extent that any Time-Based RSUs or Performance-Based RSUs become vested immediately upon a Change in Control per the terms of this Agreement, such vested RSUs shall be settled as soon as practicable, but in no event later than 90 days, following the Change in Control. For the avoidance of doubt, a “separation from service” shall not constitute a payment event hereunder with respect to the Time-Based RSUs or Performance-Based RSUs. The Company shall settle the portion of the Award that is vested on the settlement date described above and shall </w:t>
      </w:r>
    </w:p>
    <w:p>
      <w:pPr>
        <w:pStyle w:val="TextBody"/>
        <w:bidi w:val="0"/>
        <w:spacing w:lineRule="auto" w:line="288"/>
        <w:ind w:left="0" w:right="0" w:hanging="36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Note: see Employment Agreement, particularly section 7(e)(iii) and 7(f), for different provisions and periods regarding termination events.</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60705"/>
                <wp:effectExtent l="0" t="0" r="0" b="0"/>
                <wp:wrapNone/>
                <wp:docPr id="122" name="Frame1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erif" w:hAnsi="Times New Roman;serif"/>
          <w:b w:val="false"/>
          <w:color w:val="000000"/>
          <w:sz w:val="20"/>
        </w:rPr>
        <w:t>therefore (i) issue and deliver to the Participant one share of Common Stock for each Restricted Stock Unit subject to the Award that has vested (the “</w:t>
      </w:r>
      <w:r>
        <w:rPr>
          <w:rFonts w:ascii="Times New Roman;serif" w:hAnsi="Times New Roman;serif"/>
          <w:b w:val="false"/>
          <w:color w:val="000000"/>
          <w:sz w:val="20"/>
          <w:u w:val="single"/>
        </w:rPr>
        <w:t>RSU Shares</w:t>
      </w:r>
      <w:r>
        <w:rPr>
          <w:color w:val="000000"/>
        </w:rPr>
        <w:t>”</w:t>
      </w:r>
      <w:r>
        <w:rPr>
          <w:rFonts w:ascii="Times New Roman;serif" w:hAnsi="Times New Roman;serif"/>
          <w:b w:val="false"/>
          <w:color w:val="000000"/>
          <w:sz w:val="20"/>
        </w:rPr>
        <w:t>), with 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 (or as of the Change in Control, as applicable).</w:t>
      </w:r>
    </w:p>
    <w:p>
      <w:pPr>
        <w:pStyle w:val="TextBody"/>
        <w:bidi w:val="0"/>
        <w:spacing w:lineRule="auto" w:line="240" w:before="0" w:after="240"/>
        <w:ind w:left="0" w:right="0" w:firstLine="21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Dividend Equivalents</w:t>
      </w:r>
      <w:r>
        <w:rPr>
          <w:rFonts w:ascii="Times New Roman;serif" w:hAnsi="Times New Roman;serif"/>
          <w:b w:val="false"/>
          <w:color w:val="000000"/>
          <w:sz w:val="20"/>
        </w:rPr>
        <w:t>. If on any date that Restricted Stock Units remain credited to the Account, dividends are paid by the Company on outstanding shares of its Common Stock (“</w:t>
      </w:r>
      <w:r>
        <w:rPr>
          <w:rFonts w:ascii="Times New Roman;serif" w:hAnsi="Times New Roman;serif"/>
          <w:b w:val="false"/>
          <w:color w:val="000000"/>
          <w:sz w:val="20"/>
          <w:u w:val="single"/>
        </w:rPr>
        <w:t>Shares</w:t>
      </w:r>
      <w:r>
        <w:rPr>
          <w:color w:val="000000"/>
        </w:rPr>
        <w:t>”</w:t>
      </w:r>
      <w:r>
        <w:rPr>
          <w:rFonts w:ascii="Times New Roman;serif" w:hAnsi="Times New Roman;serif"/>
          <w:b w:val="false"/>
          <w:color w:val="000000"/>
          <w:sz w:val="20"/>
        </w:rPr>
        <w:t>) (each, a “</w:t>
      </w:r>
      <w:r>
        <w:rPr>
          <w:rFonts w:ascii="Times New Roman;serif" w:hAnsi="Times New Roman;serif"/>
          <w:b w:val="false"/>
          <w:color w:val="000000"/>
          <w:sz w:val="20"/>
          <w:u w:val="single"/>
        </w:rPr>
        <w:t>Dividend Payment Date</w:t>
      </w:r>
      <w:r>
        <w:rPr>
          <w:color w:val="000000"/>
        </w:rPr>
        <w:t>”</w:t>
      </w:r>
      <w:r>
        <w:rPr>
          <w:rFonts w:ascii="Times New Roman;serif" w:hAnsi="Times New Roman;serif"/>
          <w:b w:val="false"/>
          <w:color w:val="000000"/>
          <w:sz w:val="20"/>
        </w:rPr>
        <w:t>), then the Participant's Account shall, as of each such Dividend Payment Date, be credited with an amount (each such amount, a “</w:t>
      </w:r>
      <w:r>
        <w:rPr>
          <w:rFonts w:ascii="Times New Roman;serif" w:hAnsi="Times New Roman;serif"/>
          <w:b w:val="false"/>
          <w:color w:val="000000"/>
          <w:sz w:val="20"/>
          <w:u w:val="single"/>
        </w:rPr>
        <w:t>Dividend Equivalent Amount</w:t>
      </w:r>
      <w:r>
        <w:rPr>
          <w:color w:val="000000"/>
        </w:rPr>
        <w:t>”</w:t>
      </w:r>
      <w:r>
        <w:rPr>
          <w:rFonts w:ascii="Times New Roman;serif" w:hAnsi="Times New Roman;serif"/>
          <w:b w:val="false"/>
          <w:color w:val="000000"/>
          <w:sz w:val="20"/>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pStyle w:val="TextBody"/>
        <w:bidi w:val="0"/>
        <w:spacing w:lineRule="auto" w:line="240" w:before="0" w:after="240"/>
        <w:ind w:left="0" w:right="0" w:firstLine="21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Taxes and Withholding</w:t>
      </w:r>
      <w:r>
        <w:rPr>
          <w:rFonts w:ascii="Times New Roman;serif" w:hAnsi="Times New Roman;serif"/>
          <w:b w:val="false"/>
          <w:color w:val="000000"/>
          <w:sz w:val="20"/>
        </w:rPr>
        <w:t xml:space="preserve">.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 or social tax withholding that the Company determines is required;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Participant may elect to satisfy such tax withholding obligation by having the Company withhold from the settlement that number of RSU Shares having a Fair Market Value equal to the amount of such withholding;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that the number of RSU Shares that may be so withheld by the Company shall be limited to that number of RSU Shares having an aggregate Fair Market Value on the date of such withholding equal to the aggregate amount of the Participant’s income, payroll and social tax liabilities based upon the applicable minimum withholding rates.</w:t>
      </w:r>
    </w:p>
    <w:p>
      <w:pPr>
        <w:pStyle w:val="TextBody"/>
        <w:bidi w:val="0"/>
        <w:spacing w:lineRule="auto" w:line="240" w:before="0" w:after="240"/>
        <w:ind w:left="0" w:right="0" w:firstLine="21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Forfeiture</w:t>
      </w:r>
      <w:r>
        <w:rPr>
          <w:rFonts w:ascii="Times New Roman;serif" w:hAnsi="Times New Roman;serif"/>
          <w:b w:val="false"/>
          <w:color w:val="000000"/>
          <w:sz w:val="20"/>
        </w:rPr>
        <w:t>. Except as otherwise provided in this Agreement, the Plan, or as set forth in any employment, consulting or other agreement between the Company or an Affiliate and the Participant in effect on the date hereof including the Employment Agreement, if the Participant’s employment with the Company terminates prior to any Vesting Date for any reason, all remaining Restricted Stock Units credited to the Account shall be forfeited without further consideration to the Participant. In addition, the Award or any RSU Shares shall be subject to cancellation, forfeiture or recoupment as determined by the Committee upon the occurrence of a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w:t>
      </w:r>
    </w:p>
    <w:p>
      <w:pPr>
        <w:pStyle w:val="TextBody"/>
        <w:bidi w:val="0"/>
        <w:spacing w:lineRule="auto" w:line="240" w:before="0" w:after="240"/>
        <w:ind w:left="0" w:right="0" w:firstLine="216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Restrictions</w:t>
      </w:r>
      <w:r>
        <w:rPr>
          <w:rFonts w:ascii="Times New Roman;serif" w:hAnsi="Times New Roman;serif"/>
          <w:b w:val="false"/>
          <w:color w:val="000000"/>
          <w:sz w:val="20"/>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pStyle w:val="TextBody"/>
        <w:bidi w:val="0"/>
        <w:spacing w:lineRule="auto" w:line="240" w:before="0" w:after="240"/>
        <w:ind w:left="0" w:right="0" w:firstLine="216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Rights as a Stockholder</w:t>
      </w:r>
      <w:r>
        <w:rPr>
          <w:rFonts w:ascii="Times New Roman;serif" w:hAnsi="Times New Roman;serif"/>
          <w:b w:val="false"/>
          <w:color w:val="000000"/>
          <w:sz w:val="20"/>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pStyle w:val="TextBody"/>
        <w:bidi w:val="0"/>
        <w:spacing w:lineRule="auto" w:line="240" w:before="0" w:after="240"/>
        <w:ind w:left="0" w:right="0" w:firstLine="144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Miscellaneous</w:t>
      </w:r>
      <w:r>
        <w:rPr>
          <w:rFonts w:ascii="Times New Roman;serif" w:hAnsi="Times New Roman;serif"/>
          <w:b w:val="false"/>
          <w:color w:val="000000"/>
          <w:sz w:val="20"/>
        </w:rPr>
        <w:t>.</w:t>
      </w:r>
    </w:p>
    <w:p>
      <w:pPr>
        <w:pStyle w:val="TextBody"/>
        <w:bidi w:val="0"/>
        <w:spacing w:lineRule="auto" w:line="240" w:before="0" w:after="240"/>
        <w:ind w:left="0" w:right="0" w:firstLine="21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 Assets</w:t>
      </w:r>
      <w:r>
        <w:rPr>
          <w:rFonts w:ascii="Times New Roman;serif" w:hAnsi="Times New Roman;serif"/>
          <w:b w:val="false"/>
          <w:color w:val="000000"/>
          <w:sz w:val="20"/>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60705"/>
                <wp:effectExtent l="0" t="0" r="0" b="0"/>
                <wp:wrapNone/>
                <wp:docPr id="123" name="Frame1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Notices</w:t>
      </w:r>
      <w:r>
        <w:rPr>
          <w:rFonts w:ascii="Times New Roman;serif" w:hAnsi="Times New Roman;serif"/>
          <w:b w:val="false"/>
          <w:color w:val="000000"/>
          <w:sz w:val="20"/>
        </w:rPr>
        <w:t>. All notices, demands and other communications provided for or permitted hereunder shall be made in writing and shall be by registered or certified first-class mail, return receipt requested, telecopier, courier service or personal delivery: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to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ExlService Holdings, Inc.</w:t>
        <w:br/>
        <w:t>320 Park Avenue, 29th Floor</w:t>
        <w:br/>
        <w:t>New York, NY 10022</w:t>
        <w:br/>
        <w:t>Attention: General Counsel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to the Participant, at the Participant’s last known address on file with the Company.</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pStyle w:val="TextBody"/>
        <w:bidi w:val="0"/>
        <w:spacing w:lineRule="auto" w:line="240" w:before="0" w:after="240"/>
        <w:ind w:left="0" w:right="0" w:firstLine="144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Severability</w:t>
      </w:r>
      <w:r>
        <w:rPr>
          <w:rFonts w:ascii="Times New Roman;serif" w:hAnsi="Times New Roman;serif"/>
          <w:b w:val="false"/>
          <w:color w:val="000000"/>
          <w:sz w:val="2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40" w:before="0" w:after="240"/>
        <w:ind w:left="0" w:right="0" w:firstLine="144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No Rights to Employment</w:t>
      </w:r>
      <w:r>
        <w:rPr>
          <w:rFonts w:ascii="Times New Roman;serif" w:hAnsi="Times New Roman;serif"/>
          <w:b w:val="false"/>
          <w:color w:val="000000"/>
          <w:sz w:val="20"/>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pStyle w:val="TextBody"/>
        <w:bidi w:val="0"/>
        <w:spacing w:lineRule="auto" w:line="240" w:before="0" w:after="240"/>
        <w:ind w:left="0" w:right="0" w:firstLine="1440"/>
        <w:jc w:val="both"/>
        <w:rPr/>
      </w:pPr>
      <w:r>
        <w:rPr>
          <w:rFonts w:ascii="Times New Roman;serif" w:hAnsi="Times New Roman;serif"/>
          <w:b w:val="false"/>
          <w:color w:val="000000"/>
          <w:sz w:val="20"/>
        </w:rPr>
        <w:t>8.</w:t>
      </w:r>
      <w:r>
        <w:rPr>
          <w:rFonts w:ascii="Times New Roman;serif" w:hAnsi="Times New Roman;serif"/>
          <w:b w:val="false"/>
          <w:color w:val="000000"/>
          <w:sz w:val="20"/>
          <w:u w:val="single"/>
        </w:rPr>
        <w:t>Beneficiary</w:t>
      </w:r>
      <w:r>
        <w:rPr>
          <w:rFonts w:ascii="Times New Roman;serif" w:hAnsi="Times New Roman;serif"/>
          <w:b w:val="false"/>
          <w:color w:val="000000"/>
          <w:sz w:val="20"/>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pStyle w:val="TextBody"/>
        <w:bidi w:val="0"/>
        <w:spacing w:lineRule="auto" w:line="240" w:before="0" w:after="240"/>
        <w:ind w:left="0" w:right="0" w:firstLine="144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Successors</w:t>
      </w:r>
      <w:r>
        <w:rPr>
          <w:rFonts w:ascii="Times New Roman;serif" w:hAnsi="Times New Roman;serif"/>
          <w:b w:val="false"/>
          <w:color w:val="000000"/>
          <w:sz w:val="20"/>
        </w:rPr>
        <w:t>. The terms of this Agreement shall be binding upon and inure to the benefit of the Company and its successors and assigns, and to the Participant and the beneficiaries, executors, administrators, heirs and successors of the Participant.</w:t>
      </w:r>
    </w:p>
    <w:p>
      <w:pPr>
        <w:pStyle w:val="TextBody"/>
        <w:bidi w:val="0"/>
        <w:spacing w:lineRule="auto" w:line="240" w:before="0" w:after="240"/>
        <w:ind w:left="0" w:right="0" w:firstLine="1440"/>
        <w:jc w:val="both"/>
        <w:rPr/>
      </w:pPr>
      <w:r>
        <w:rPr>
          <w:rFonts w:ascii="Times New Roman;serif" w:hAnsi="Times New Roman;serif"/>
          <w:b w:val="false"/>
          <w:color w:val="000000"/>
          <w:sz w:val="20"/>
        </w:rPr>
        <w:t>10.</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This Agreement and the Plan contain the entire agreement and understanding of the parties hereto with respect to the subject matter contained herein and supersede all prior communications, representations and negotiations in respect thereto. Except as explicitly set forth in the Plan, no change, modification or waiver of any provision of this Agreement shall be valid unless the same is in writing and signed by the parties hereto.</w:t>
      </w:r>
    </w:p>
    <w:p>
      <w:pPr>
        <w:pStyle w:val="TextBody"/>
        <w:bidi w:val="0"/>
        <w:spacing w:lineRule="auto" w:line="240" w:before="0" w:after="240"/>
        <w:ind w:left="0" w:right="0" w:firstLine="144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Bound by Plan</w:t>
      </w:r>
      <w:r>
        <w:rPr>
          <w:rFonts w:ascii="Times New Roman;serif" w:hAnsi="Times New Roman;serif"/>
          <w:b w:val="false"/>
          <w:color w:val="000000"/>
          <w:sz w:val="20"/>
        </w:rPr>
        <w:t>. By signing this Agreement, the Participant acknowledges that he has received a copy of the Plan and has had an opportunity to review the Plan and agrees to be bound by all the terms and provisions of the Plan.</w:t>
      </w:r>
    </w:p>
    <w:p>
      <w:pPr>
        <w:pStyle w:val="TextBody"/>
        <w:bidi w:val="0"/>
        <w:spacing w:lineRule="auto" w:line="240" w:before="0" w:after="240"/>
        <w:ind w:left="0" w:right="0" w:firstLine="144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Except for the Arbitration Agreement attached hereto as </w:t>
      </w:r>
      <w:r>
        <w:rPr>
          <w:rFonts w:ascii="Times New Roman;serif" w:hAnsi="Times New Roman;serif"/>
          <w:b w:val="false"/>
          <w:color w:val="000000"/>
          <w:sz w:val="20"/>
          <w:u w:val="single"/>
        </w:rPr>
        <w:t>Exhibit C</w:t>
      </w:r>
      <w:r>
        <w:rPr>
          <w:rFonts w:ascii="Times New Roman;serif" w:hAnsi="Times New Roman;serif"/>
          <w:b w:val="false"/>
          <w:color w:val="000000"/>
          <w:sz w:val="20"/>
        </w:rPr>
        <w:t xml:space="preserve">, which is expressly governed by the Federal Arbitration Act (FAA),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Should the FAA not govern the Arbitration Agreement for any reason, then that portion of this agreement shall be construed and interpreted in accordance with the laws of the State of Delaware without regard to principles of conflicts of law of that or any other jurisdiction. </w:t>
      </w:r>
    </w:p>
    <w:p>
      <w:pPr>
        <w:pStyle w:val="TextBody"/>
        <w:bidi w:val="0"/>
        <w:spacing w:lineRule="auto" w:line="240" w:before="0" w:after="240"/>
        <w:ind w:left="0" w:right="0" w:firstLine="1440"/>
        <w:jc w:val="both"/>
        <w:rPr/>
      </w:pPr>
      <w:r>
        <w:rPr>
          <w:rFonts w:ascii="Times New Roman;serif" w:hAnsi="Times New Roman;serif"/>
          <w:b w:val="false"/>
          <w:color w:val="000000"/>
          <w:sz w:val="20"/>
        </w:rPr>
        <w:t>13.</w:t>
      </w:r>
      <w:r>
        <w:rPr>
          <w:color w:val="000000"/>
          <w:u w:val="single"/>
        </w:rPr>
        <w:t xml:space="preserve"> </w:t>
      </w:r>
      <w:r>
        <w:rPr>
          <w:rFonts w:ascii="Times New Roman;serif" w:hAnsi="Times New Roman;serif"/>
          <w:b w:val="false"/>
          <w:color w:val="000000"/>
          <w:sz w:val="20"/>
          <w:u w:val="single"/>
        </w:rPr>
        <w:t>Dispute Resolution and Arbitration</w:t>
      </w:r>
      <w:r>
        <w:rPr>
          <w:rFonts w:ascii="Times New Roman;serif" w:hAnsi="Times New Roman;serif"/>
          <w:b w:val="false"/>
          <w:color w:val="000000"/>
          <w:sz w:val="20"/>
        </w:rPr>
        <w:t xml:space="preserve">. This Agreement is subject to the Dispute Resolution and Arbitration provisions in the Employment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60705"/>
                <wp:effectExtent l="0" t="0" r="0" b="0"/>
                <wp:wrapNone/>
                <wp:docPr id="124" name="Frame1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0"/>
        </w:rPr>
        <w:t>14.</w:t>
      </w:r>
      <w:r>
        <w:rPr>
          <w:rFonts w:ascii="Times New Roman;serif" w:hAnsi="Times New Roman;serif"/>
          <w:b w:val="false"/>
          <w:color w:val="000000"/>
          <w:sz w:val="20"/>
          <w:u w:val="single"/>
        </w:rPr>
        <w:t>Electronic Delivery and Acceptance</w:t>
      </w:r>
      <w:r>
        <w:rPr>
          <w:rFonts w:ascii="Times New Roman;serif" w:hAnsi="Times New Roman;serif"/>
          <w:b w:val="false"/>
          <w:color w:val="000000"/>
          <w:sz w:val="20"/>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pStyle w:val="TextBody"/>
        <w:bidi w:val="0"/>
        <w:spacing w:lineRule="auto" w:line="240" w:before="0" w:after="240"/>
        <w:ind w:left="0" w:right="0" w:firstLine="1440"/>
        <w:jc w:val="both"/>
        <w:rPr/>
      </w:pPr>
      <w:r>
        <w:rPr>
          <w:rFonts w:ascii="Times New Roman;serif" w:hAnsi="Times New Roman;serif"/>
          <w:b w:val="false"/>
          <w:color w:val="000000"/>
          <w:sz w:val="20"/>
        </w:rPr>
        <w:t>15.</w:t>
      </w:r>
      <w:r>
        <w:rPr>
          <w:rFonts w:ascii="Times New Roman;serif" w:hAnsi="Times New Roman;serif"/>
          <w:b w:val="false"/>
          <w:color w:val="000000"/>
          <w:sz w:val="20"/>
          <w:u w:val="single"/>
        </w:rPr>
        <w:t>Headings</w:t>
      </w:r>
      <w:r>
        <w:rPr>
          <w:rFonts w:ascii="Times New Roman;serif" w:hAnsi="Times New Roman;serif"/>
          <w:b w:val="false"/>
          <w:color w:val="000000"/>
          <w:sz w:val="20"/>
        </w:rPr>
        <w:t>. The headings of the Sections hereof are provided for convenience only and are not to serve as a basis for interpretation or construction, and shall not constitute a part,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0"/>
        </w:rPr>
        <w:t>16.</w:t>
      </w:r>
      <w:r>
        <w:rPr>
          <w:rFonts w:ascii="Times New Roman;serif" w:hAnsi="Times New Roman;serif"/>
          <w:b w:val="false"/>
          <w:color w:val="000000"/>
          <w:sz w:val="20"/>
          <w:u w:val="single"/>
        </w:rPr>
        <w:t>Signature in Counterparts</w:t>
      </w:r>
      <w:r>
        <w:rPr>
          <w:rFonts w:ascii="Times New Roman;serif" w:hAnsi="Times New Roman;serif"/>
          <w:b w:val="false"/>
          <w:color w:val="000000"/>
          <w:sz w:val="20"/>
        </w:rPr>
        <w:t xml:space="preserve">. This Agreement may be signed in counterparts, each of which shall be an original, with the same effect as if the signatures thereto and hereto were upon the same instrument. </w:t>
      </w:r>
      <w:r>
        <w:rPr>
          <w:rFonts w:ascii="Times New Roman;serif" w:hAnsi="Times New Roman;serif"/>
          <w:b/>
          <w:color w:val="000000"/>
          <w:sz w:val="20"/>
        </w:rPr>
        <w:t>PLEASE NOTE</w:t>
      </w:r>
      <w:r>
        <w:rPr>
          <w:rFonts w:ascii="Times New Roman;serif" w:hAnsi="Times New Roman;serif"/>
          <w:b w:val="false"/>
          <w:color w:val="000000"/>
          <w:sz w:val="20"/>
        </w:rPr>
        <w:t xml:space="preserve">: </w:t>
      </w:r>
      <w:r>
        <w:rPr>
          <w:rFonts w:ascii="Times New Roman;serif" w:hAnsi="Times New Roman;serif"/>
          <w:b/>
          <w:i/>
          <w:color w:val="000000"/>
          <w:sz w:val="20"/>
          <w:u w:val="single"/>
        </w:rPr>
        <w:t>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[Remainder of page intentionally left blank; signature page to follow]</w:t>
      </w:r>
    </w:p>
    <w:p>
      <w:pPr>
        <w:pStyle w:val="TextBody"/>
        <w:bidi w:val="0"/>
        <w:spacing w:before="0" w:after="24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60705"/>
                <wp:effectExtent l="0" t="0" r="0" b="0"/>
                <wp:wrapNone/>
                <wp:docPr id="125" name="Frame1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executed this Agreement.</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ExlService Holdings, Inc.</w:t>
      </w:r>
    </w:p>
    <w:p>
      <w:pPr>
        <w:pStyle w:val="TextBody"/>
        <w:bidi w:val="0"/>
        <w:spacing w:lineRule="auto" w:line="288" w:before="0" w:after="480"/>
        <w:jc w:val="both"/>
        <w:rPr/>
      </w:pPr>
      <w:r>
        <w:rPr>
          <w:color w:val="000000"/>
          <w:u w:val="single"/>
        </w:rPr>
        <w:t>    </w:t>
      </w:r>
      <w:r>
        <w:rPr>
          <w:rFonts w:ascii="Times New Roman;serif" w:hAnsi="Times New Roman;serif"/>
          <w:b w:val="false"/>
          <w:color w:val="000000"/>
          <w:sz w:val="20"/>
        </w:rPr>
        <w:br/>
        <w:t>By:</w:t>
        <w:br/>
        <w:t>Title:</w:t>
      </w:r>
    </w:p>
    <w:p>
      <w:pPr>
        <w:pStyle w:val="TextBody"/>
        <w:bidi w:val="0"/>
        <w:spacing w:before="0" w:after="480"/>
        <w:jc w:val="both"/>
        <w:rPr/>
      </w:pPr>
      <w:r>
        <w:rPr/>
      </w:r>
    </w:p>
    <w:p>
      <w:pPr>
        <w:pStyle w:val="TextBody"/>
        <w:bidi w:val="0"/>
        <w:spacing w:lineRule="auto" w:line="288" w:before="0" w:after="480"/>
        <w:jc w:val="both"/>
        <w:rPr/>
      </w:pPr>
      <w:r>
        <w:rPr>
          <w:rFonts w:ascii="Times New Roman;serif" w:hAnsi="Times New Roman;serif"/>
          <w:b w:val="false"/>
          <w:color w:val="000000"/>
          <w:sz w:val="20"/>
          <w:u w:val="single"/>
        </w:rPr>
        <w:t>#ParticipantName#    </w:t>
        <w:br/>
      </w:r>
      <w:r>
        <w:rPr>
          <w:rFonts w:ascii="Times New Roman;serif" w:hAnsi="Times New Roman;serif"/>
          <w:b w:val="false"/>
          <w:color w:val="000000"/>
          <w:sz w:val="20"/>
        </w:rPr>
        <w:t>Rohit Kapoor</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60705"/>
                <wp:effectExtent l="0" t="0" r="0" b="0"/>
                <wp:wrapNone/>
                <wp:docPr id="126" name="Frame1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80"/>
        <w:jc w:val="center"/>
        <w:rPr>
          <w:rFonts w:ascii="Times New Roman;serif" w:hAnsi="Times New Roman;serif"/>
          <w:b/>
          <w:color w:val="000000"/>
          <w:sz w:val="20"/>
          <w:u w:val="single"/>
        </w:rPr>
      </w:pPr>
      <w:r>
        <w:rPr>
          <w:rFonts w:ascii="Times New Roman;serif" w:hAnsi="Times New Roman;serif"/>
          <w:b/>
          <w:color w:val="000000"/>
          <w:sz w:val="20"/>
          <w:u w:val="single"/>
        </w:rPr>
        <w:t>Exhibit A: Revenue-Based RSUs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may otherwise be provided herein, the Revenue-Based RSUs shall vest based on the achievement of Company revenues against the aggregate revenue target for the period beginning on [●] and ending on [●], as set forth herein. For purposes of this Exhibit A, “revenue” shall have the meaning given such term in the Board-approved budget for the fiscal year in which the Award is granted.</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aggregate revenue target for the [●] Revenue-Based PRSUs for the period beginning on [●] and ending on [●] is $x,xxx,xxx, and the sliding scale used to determine payout achievement is as set forth in the table below: </w:t>
      </w:r>
    </w:p>
    <w:tbl>
      <w:tblPr>
        <w:tblW w:w="10205" w:type="dxa"/>
        <w:jc w:val="left"/>
        <w:tblInd w:w="0" w:type="dxa"/>
        <w:tblLayout w:type="fixed"/>
        <w:tblCellMar>
          <w:top w:w="28" w:type="dxa"/>
          <w:left w:w="28" w:type="dxa"/>
          <w:bottom w:w="28" w:type="dxa"/>
          <w:right w:w="28" w:type="dxa"/>
        </w:tblCellMar>
      </w:tblPr>
      <w:tblGrid>
        <w:gridCol w:w="1832"/>
        <w:gridCol w:w="1063"/>
        <w:gridCol w:w="1044"/>
        <w:gridCol w:w="1250"/>
        <w:gridCol w:w="924"/>
        <w:gridCol w:w="924"/>
        <w:gridCol w:w="924"/>
        <w:gridCol w:w="924"/>
        <w:gridCol w:w="1320"/>
      </w:tblGrid>
      <w:tr>
        <w:trPr/>
        <w:tc>
          <w:tcPr>
            <w:tcW w:w="18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[______]PRSU Plan – [3] Year Aggregate Revenue Target Sliding Scale: [Adjust as needed]</w:t>
            </w:r>
          </w:p>
        </w:tc>
      </w:tr>
      <w:tr>
        <w:trPr/>
        <w:tc>
          <w:tcPr>
            <w:tcW w:w="3939" w:type="dxa"/>
            <w:gridSpan w:val="3"/>
            <w:tcBorders>
              <w:top w:val="single" w:sz="8" w:space="0" w:color="000000"/>
              <w:left w:val="single" w:sz="8"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Achievement on Revenue Target</w:t>
            </w:r>
          </w:p>
        </w:tc>
        <w:tc>
          <w:tcPr>
            <w:tcW w:w="3098" w:type="dxa"/>
            <w:gridSpan w:val="3"/>
            <w:tcBorders>
              <w:top w:val="single" w:sz="8" w:space="0" w:color="000000"/>
              <w:left w:val="single" w:sz="8"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Funding</w:t>
            </w:r>
          </w:p>
        </w:tc>
        <w:tc>
          <w:tcPr>
            <w:tcW w:w="31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30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1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0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1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098" w:type="dxa"/>
            <w:gridSpan w:val="3"/>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1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120"/>
              <w:jc w:val="left"/>
              <w:rPr/>
            </w:pPr>
            <w:r>
              <w:rPr/>
            </w:r>
          </w:p>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the extent the Company’s revenue falls in between 90% and 100%, the percentage of Revenue-Based RSUs earned will be determined based on straight line interpolation calculated using a revenue target range between 90% and 100% and a funding range between 25% and 100%. For example, if 95% of the revenue target is achieved, 62.5% of the Revenue-Based RSUs will be earned.  To the extent the Company’s revenue falls in between 100% and 110%, the percentage of Revenue-Based RSUs earned will be determined based on straight line interpolation calculated using a revenue target range between 100% and 110% and a funding range between 100% and 200%. For example, if 105% of the revenue target is achieved, 150% of the Revenue-Based RSUs will be earned.]</w:t>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60705"/>
                <wp:effectExtent l="0" t="0" r="0" b="0"/>
                <wp:wrapNone/>
                <wp:docPr id="127" name="Frame1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B: TSR-Based RSUs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Committee has designated the following peer group of public companies in the Company’s 8-digit Global Industry Classification Standard sub-industry group (the “</w:t>
      </w:r>
      <w:r>
        <w:rPr>
          <w:rFonts w:ascii="Times New Roman;serif" w:hAnsi="Times New Roman;serif"/>
          <w:b w:val="false"/>
          <w:color w:val="000000"/>
          <w:sz w:val="20"/>
          <w:u w:val="single"/>
        </w:rPr>
        <w:t>Peer Group</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tbl>
      <w:tblPr>
        <w:tblW w:w="1569" w:type="dxa"/>
        <w:jc w:val="left"/>
        <w:tblInd w:w="0" w:type="dxa"/>
        <w:tblLayout w:type="fixed"/>
        <w:tblCellMar>
          <w:top w:w="28" w:type="dxa"/>
          <w:left w:w="28" w:type="dxa"/>
          <w:bottom w:w="28" w:type="dxa"/>
          <w:right w:w="28" w:type="dxa"/>
        </w:tblCellMar>
      </w:tblPr>
      <w:tblGrid>
        <w:gridCol w:w="142"/>
        <w:gridCol w:w="125"/>
        <w:gridCol w:w="125"/>
        <w:gridCol w:w="125"/>
        <w:gridCol w:w="125"/>
        <w:gridCol w:w="125"/>
        <w:gridCol w:w="125"/>
        <w:gridCol w:w="125"/>
        <w:gridCol w:w="125"/>
        <w:gridCol w:w="125"/>
        <w:gridCol w:w="125"/>
        <w:gridCol w:w="177"/>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69" w:type="dxa"/>
            <w:gridSpan w:val="12"/>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TSR Peer Group</w:t>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op w:val="single" w:sz="4"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left w:val="single" w:sz="4"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60705"/>
                <wp:effectExtent l="0" t="0" r="0" b="0"/>
                <wp:wrapNone/>
                <wp:docPr id="128" name="Frame1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TSR for the TSR Performance Period will be computed and then compared to the TSR of the companies in the Peer Group. A participant shall earn [200%, 150%, 100%, 50% or 0%] of the TSR-Based RSUs, as applicable, if the Company’s TSR for the Performance Period equals or exceeds the [80th, 65th, 50th, 35th or 20</w:t>
      </w:r>
      <w:r>
        <w:rPr>
          <w:rFonts w:ascii="Times New Roman;serif" w:hAnsi="Times New Roman;serif"/>
          <w:b w:val="false"/>
          <w:color w:val="000000"/>
          <w:sz w:val="13"/>
        </w:rPr>
        <w:t>th</w:t>
      </w:r>
      <w:r>
        <w:rPr>
          <w:rFonts w:ascii="Times New Roman;serif" w:hAnsi="Times New Roman;serif"/>
          <w:b w:val="false"/>
          <w:color w:val="000000"/>
          <w:sz w:val="20"/>
        </w:rPr>
        <w:t xml:space="preserve">] percentile, respectively, of the Peer Group, when ranked by TSR for the TSR Performance Period. The percentage of TSR-Based RSUs earned will be determined based on straight-line interpolation to the extent the Company’s TSR falls in between the 20th and 80th percentiles, as per the chart below: </w:t>
      </w:r>
    </w:p>
    <w:p>
      <w:pPr>
        <w:pStyle w:val="TextBody"/>
        <w:bidi w:val="0"/>
        <w:spacing w:before="0" w:after="0"/>
        <w:jc w:val="both"/>
        <w:rPr/>
      </w:pPr>
      <w:r>
        <w:rPr/>
      </w:r>
    </w:p>
    <w:tbl>
      <w:tblPr>
        <w:tblW w:w="2880" w:type="dxa"/>
        <w:jc w:val="left"/>
        <w:tblInd w:w="0" w:type="dxa"/>
        <w:tblLayout w:type="fixed"/>
        <w:tblCellMar>
          <w:top w:w="28" w:type="dxa"/>
          <w:left w:w="28" w:type="dxa"/>
          <w:bottom w:w="28" w:type="dxa"/>
          <w:right w:w="28" w:type="dxa"/>
        </w:tblCellMar>
      </w:tblPr>
      <w:tblGrid>
        <w:gridCol w:w="732"/>
        <w:gridCol w:w="645"/>
        <w:gridCol w:w="647"/>
        <w:gridCol w:w="250"/>
        <w:gridCol w:w="250"/>
        <w:gridCol w:w="356"/>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TSR Percentile</w:t>
            </w:r>
          </w:p>
        </w:tc>
        <w:tc>
          <w:tcPr>
            <w:tcW w:w="856"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Funding</w:t>
            </w:r>
          </w:p>
        </w:tc>
      </w:tr>
      <w:tr>
        <w:trPr/>
        <w:tc>
          <w:tcPr>
            <w:tcW w:w="202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0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856"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if the Company’s TSR for the TSR Performance Period is negative, the maximum percentage of TSR-Based RSUs that may be earned is 100% regardless of the Company’s actual percentile ranking relative to the peer Group.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Section 3(b) in the event of a Change in Control.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Companies in the Peer Group that are not publicly traded on the last day of the TSR Performance Period shall not be taken into account for TSR purposes (except that any such company that goes bankrupt will be deemed to have a negative 100% TSR).</w:t>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60705"/>
                <wp:effectExtent l="0" t="0" r="0" b="0"/>
                <wp:wrapNone/>
                <wp:docPr id="129" name="Frame1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br/>
        <w:t>2025 OMNIBUS INCENTIVE PLAN</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[FORM OF] RESTRICTED STOCK UNIT AWARD AGREEMENT</w:t>
      </w:r>
    </w:p>
    <w:p>
      <w:pPr>
        <w:pStyle w:val="TextBody"/>
        <w:bidi w:val="0"/>
        <w:spacing w:lineRule="auto" w:line="321" w:before="0" w:after="160"/>
        <w:ind w:left="0" w:right="0" w:firstLine="720"/>
        <w:jc w:val="both"/>
        <w:rPr/>
      </w:pPr>
      <w:r>
        <w:rPr>
          <w:rFonts w:ascii="Times New Roman;serif" w:hAnsi="Times New Roman;serif"/>
          <w:b w:val="false"/>
          <w:color w:val="000000"/>
          <w:sz w:val="20"/>
        </w:rPr>
        <w:t>THIS NOTICE OF RESTRICTED STOCK UNIT AWARD AGREEMENT (the “</w:t>
      </w:r>
      <w:r>
        <w:rPr>
          <w:rFonts w:ascii="Times New Roman;serif" w:hAnsi="Times New Roman;serif"/>
          <w:b w:val="false"/>
          <w:color w:val="000000"/>
          <w:sz w:val="20"/>
          <w:u w:val="single"/>
        </w:rPr>
        <w:t>Grant Notice</w:t>
      </w:r>
      <w:r>
        <w:rPr>
          <w:color w:val="000000"/>
        </w:rPr>
        <w:t xml:space="preserve">” </w:t>
      </w:r>
      <w:r>
        <w:rPr>
          <w:rFonts w:ascii="Times New Roman;serif" w:hAnsi="Times New Roman;serif"/>
          <w:b w:val="false"/>
          <w:color w:val="000000"/>
          <w:sz w:val="20"/>
        </w:rPr>
        <w:t>and, together with the Terms and Conditions and the applicable Exhibits (each, as defined below),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between EXLSERVICE HOLDINGS,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you, is made pursuant and subject to the provisions of the Company’s 2025 Omnibus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and all capitalized terms used herein that are defined in the Plan shall have the same meaning given to them in the Plan unless otherwise defined herein. </w:t>
      </w:r>
    </w:p>
    <w:p>
      <w:pPr>
        <w:pStyle w:val="TextBody"/>
        <w:bidi w:val="0"/>
        <w:spacing w:lineRule="auto" w:line="321" w:before="0" w:after="160"/>
        <w:ind w:left="0" w:right="0" w:firstLine="720"/>
        <w:jc w:val="both"/>
        <w:rPr/>
      </w:pPr>
      <w:r>
        <w:rPr>
          <w:rFonts w:ascii="Times New Roman;serif" w:hAnsi="Times New Roman;serif"/>
          <w:b w:val="false"/>
          <w:color w:val="000000"/>
          <w:sz w:val="20"/>
        </w:rPr>
        <w:t>WHEREAS, the Plan provides for the award from time to time, in the discretion of the Compensation and Talent Management Committee of the Board of Directors of the Company, of Restricted Stock Units, representing shares of common stock of the Company, $0.001 par value per share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the vesting and issuance of which is subject to continued employment with the Company or its applicable Affiliate and the other conditions set forth on the following pages (the “</w:t>
      </w:r>
      <w:r>
        <w:rPr>
          <w:rFonts w:ascii="Times New Roman;serif" w:hAnsi="Times New Roman;serif"/>
          <w:b w:val="false"/>
          <w:color w:val="000000"/>
          <w:sz w:val="20"/>
          <w:u w:val="single"/>
        </w:rPr>
        <w:t>Terms and Conditions</w:t>
      </w:r>
      <w:r>
        <w:rPr>
          <w:color w:val="000000"/>
        </w:rPr>
        <w:t>”</w:t>
      </w:r>
      <w:r>
        <w:rPr>
          <w:rFonts w:ascii="Times New Roman;serif" w:hAnsi="Times New Roman;serif"/>
          <w:b w:val="false"/>
          <w:color w:val="000000"/>
          <w:sz w:val="20"/>
        </w:rPr>
        <w:t>) and the exhibits attached hereto (the “</w:t>
      </w:r>
      <w:r>
        <w:rPr>
          <w:rFonts w:ascii="Times New Roman;serif" w:hAnsi="Times New Roman;serif"/>
          <w:b w:val="false"/>
          <w:color w:val="000000"/>
          <w:sz w:val="20"/>
          <w:u w:val="single"/>
        </w:rPr>
        <w:t>Exhibits</w:t>
      </w:r>
      <w:r>
        <w:rPr>
          <w:color w:val="000000"/>
        </w:rPr>
        <w:t>”</w:t>
      </w:r>
      <w:r>
        <w:rPr>
          <w:rFonts w:ascii="Times New Roman;serif" w:hAnsi="Times New Roman;serif"/>
          <w:b w:val="false"/>
          <w:color w:val="000000"/>
          <w:sz w:val="20"/>
        </w:rPr>
        <w:t>).</w:t>
      </w:r>
    </w:p>
    <w:p>
      <w:pPr>
        <w:pStyle w:val="TextBody"/>
        <w:bidi w:val="0"/>
        <w:spacing w:lineRule="auto" w:line="321" w:before="0" w:after="160"/>
        <w:ind w:left="0" w:right="0" w:firstLine="720"/>
        <w:jc w:val="both"/>
        <w:rPr/>
      </w:pPr>
      <w:r>
        <w:rPr>
          <w:rFonts w:ascii="Times New Roman;serif" w:hAnsi="Times New Roman;serif"/>
          <w:b w:val="false"/>
          <w:color w:val="000000"/>
          <w:sz w:val="20"/>
        </w:rPr>
        <w:t>WHEREAS, the Committee has determined that it is in the best interests of the Company and its stockholders to grant to you an award of Restricted Stock Units as further described herein (the “</w:t>
      </w:r>
      <w:r>
        <w:rPr>
          <w:rFonts w:ascii="Times New Roman;serif" w:hAnsi="Times New Roman;serif"/>
          <w:b w:val="false"/>
          <w:color w:val="000000"/>
          <w:sz w:val="20"/>
          <w:u w:val="single"/>
        </w:rPr>
        <w:t>Award</w:t>
      </w:r>
      <w:r>
        <w:rPr>
          <w:color w:val="000000"/>
        </w:rPr>
        <w:t>”</w:t>
      </w:r>
      <w:r>
        <w:rPr>
          <w:rFonts w:ascii="Times New Roman;serif" w:hAnsi="Times New Roman;serif"/>
          <w:b w:val="false"/>
          <w:color w:val="000000"/>
          <w:sz w:val="20"/>
        </w:rPr>
        <w:t>);</w:t>
      </w:r>
    </w:p>
    <w:p>
      <w:pPr>
        <w:pStyle w:val="TextBody"/>
        <w:bidi w:val="0"/>
        <w:spacing w:lineRule="auto" w:line="321"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for and in consideration of the premises and the covenants of the parties contained in the Agreement, and for other good and valuable consideration, the receipt of which is hereby acknowledged, the parties hereto, for themselves, their successors and assigns, hereby agree as follows:</w:t>
      </w:r>
    </w:p>
    <w:p>
      <w:pPr>
        <w:pStyle w:val="TextBody"/>
        <w:bidi w:val="0"/>
        <w:spacing w:lineRule="auto" w:line="321" w:before="0" w:after="16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u w:val="single"/>
        </w:rPr>
        <w:t>Award Summary</w:t>
      </w:r>
      <w:r>
        <w:rPr>
          <w:rFonts w:ascii="Times New Roman;serif" w:hAnsi="Times New Roman;serif"/>
          <w:b w:val="false"/>
          <w:color w:val="000000"/>
          <w:sz w:val="20"/>
        </w:rPr>
        <w:t>.</w:t>
      </w:r>
    </w:p>
    <w:tbl>
      <w:tblPr>
        <w:tblW w:w="4661" w:type="dxa"/>
        <w:jc w:val="left"/>
        <w:tblInd w:w="0" w:type="dxa"/>
        <w:tblLayout w:type="fixed"/>
        <w:tblCellMar>
          <w:top w:w="28" w:type="dxa"/>
          <w:left w:w="28" w:type="dxa"/>
          <w:bottom w:w="28" w:type="dxa"/>
          <w:right w:w="28" w:type="dxa"/>
        </w:tblCellMar>
      </w:tblPr>
      <w:tblGrid>
        <w:gridCol w:w="352"/>
        <w:gridCol w:w="310"/>
        <w:gridCol w:w="310"/>
        <w:gridCol w:w="310"/>
        <w:gridCol w:w="310"/>
        <w:gridCol w:w="310"/>
        <w:gridCol w:w="310"/>
        <w:gridCol w:w="310"/>
        <w:gridCol w:w="312"/>
        <w:gridCol w:w="193"/>
        <w:gridCol w:w="193"/>
        <w:gridCol w:w="193"/>
        <w:gridCol w:w="193"/>
        <w:gridCol w:w="193"/>
        <w:gridCol w:w="193"/>
        <w:gridCol w:w="193"/>
        <w:gridCol w:w="193"/>
        <w:gridCol w:w="283"/>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left"/>
              <w:rPr/>
            </w:pPr>
            <w:r>
              <w:rPr>
                <w:rFonts w:ascii="Times New Roman;serif" w:hAnsi="Times New Roman;serif"/>
                <w:b w:val="false"/>
                <w:color w:val="000000"/>
                <w:sz w:val="20"/>
              </w:rPr>
              <w:t>Grantee (“</w:t>
            </w:r>
            <w:r>
              <w:rPr>
                <w:rFonts w:ascii="Times New Roman;serif" w:hAnsi="Times New Roman;serif"/>
                <w:b w:val="false"/>
                <w:color w:val="000000"/>
                <w:sz w:val="20"/>
                <w:u w:val="single"/>
              </w:rPr>
              <w:t>you</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w:t>
            </w:r>
          </w:p>
        </w:tc>
        <w:tc>
          <w:tcPr>
            <w:tcW w:w="1827"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[#ParticipantName#]</w:t>
            </w:r>
          </w:p>
        </w:tc>
      </w:tr>
      <w:tr>
        <w:trPr/>
        <w:tc>
          <w:tcPr>
            <w:tcW w:w="2834"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left"/>
              <w:rPr/>
            </w:pPr>
            <w:r>
              <w:rPr>
                <w:color w:val="000000"/>
              </w:rPr>
              <w:t>“</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w:t>
            </w:r>
          </w:p>
        </w:tc>
        <w:tc>
          <w:tcPr>
            <w:tcW w:w="1827"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w:t>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5"/>
        <w:gridCol w:w="329"/>
        <w:gridCol w:w="329"/>
        <w:gridCol w:w="329"/>
        <w:gridCol w:w="329"/>
        <w:gridCol w:w="329"/>
        <w:gridCol w:w="329"/>
        <w:gridCol w:w="329"/>
        <w:gridCol w:w="329"/>
        <w:gridCol w:w="1171"/>
        <w:gridCol w:w="715"/>
        <w:gridCol w:w="715"/>
        <w:gridCol w:w="715"/>
        <w:gridCol w:w="715"/>
        <w:gridCol w:w="715"/>
        <w:gridCol w:w="715"/>
        <w:gridCol w:w="715"/>
        <w:gridCol w:w="1022"/>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3007" w:type="dxa"/>
            <w:gridSpan w:val="9"/>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Number of Restricted Stock Units granted and Restricted Stock Unit Type allocation:</w:t>
            </w:r>
          </w:p>
        </w:tc>
        <w:tc>
          <w:tcPr>
            <w:tcW w:w="7198"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pPr>
            <w:r>
              <w:rPr>
                <w:rFonts w:ascii="Times New Roman;serif" w:hAnsi="Times New Roman;serif"/>
                <w:b w:val="false"/>
                <w:color w:val="000000"/>
                <w:sz w:val="20"/>
                <w:shd w:fill="FFFFFF" w:val="clear"/>
              </w:rPr>
              <w:t>[# of Restricted Stock Units granted] total Restricted Stock Units, consisting of the following Restricted Stock Unit types (“</w:t>
            </w:r>
            <w:r>
              <w:rPr>
                <w:rFonts w:ascii="Times New Roman;serif" w:hAnsi="Times New Roman;serif"/>
                <w:b w:val="false"/>
                <w:color w:val="000000"/>
                <w:sz w:val="20"/>
                <w:u w:val="single"/>
                <w:shd w:fill="FFFFFF" w:val="clear"/>
              </w:rPr>
              <w:t>Restricted Stock Unit Types</w:t>
            </w:r>
            <w:r>
              <w:rPr>
                <w:color w:val="000000"/>
                <w:shd w:fill="FFFFFF" w:val="clear"/>
              </w:rPr>
              <w:t>”</w:t>
            </w:r>
            <w:r>
              <w:rPr>
                <w:rFonts w:ascii="Times New Roman;serif" w:hAnsi="Times New Roman;serif"/>
                <w:b w:val="false"/>
                <w:color w:val="000000"/>
                <w:sz w:val="20"/>
                <w:shd w:fill="FFFFFF" w:val="clear"/>
              </w:rPr>
              <w:t>):</w:t>
            </w:r>
          </w:p>
        </w:tc>
      </w:tr>
      <w:tr>
        <w:trPr/>
        <w:tc>
          <w:tcPr>
            <w:tcW w:w="3007" w:type="dxa"/>
            <w:gridSpan w:val="9"/>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7198"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pPr>
            <w:r>
              <w:rPr>
                <w:rFonts w:ascii="Times New Roman;serif" w:hAnsi="Times New Roman;serif"/>
                <w:b/>
                <w:color w:val="000000"/>
                <w:sz w:val="20"/>
              </w:rPr>
              <w:t>[40%] Time-Based RSUs</w:t>
            </w:r>
            <w:r>
              <w:rPr>
                <w:rFonts w:ascii="Times New Roman;serif" w:hAnsi="Times New Roman;serif"/>
                <w:b w:val="false"/>
                <w:color w:val="000000"/>
                <w:sz w:val="20"/>
              </w:rPr>
              <w:t>, which shall vest based on continued employment with the Company (“</w:t>
            </w:r>
            <w:r>
              <w:rPr>
                <w:rFonts w:ascii="Times New Roman;serif" w:hAnsi="Times New Roman;serif"/>
                <w:b w:val="false"/>
                <w:color w:val="000000"/>
                <w:sz w:val="20"/>
                <w:u w:val="single"/>
              </w:rPr>
              <w:t>Time-Based RSUs</w:t>
            </w:r>
            <w:r>
              <w:rPr>
                <w:color w:val="000000"/>
              </w:rPr>
              <w:t>”</w:t>
            </w:r>
            <w:r>
              <w:rPr>
                <w:rFonts w:ascii="Times New Roman;serif" w:hAnsi="Times New Roman;serif"/>
                <w:b w:val="false"/>
                <w:color w:val="000000"/>
                <w:sz w:val="20"/>
              </w:rPr>
              <w:t>); and</w:t>
            </w:r>
          </w:p>
        </w:tc>
      </w:tr>
      <w:tr>
        <w:trPr/>
        <w:tc>
          <w:tcPr>
            <w:tcW w:w="3007" w:type="dxa"/>
            <w:gridSpan w:val="9"/>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7198"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pPr>
            <w:r>
              <w:rPr>
                <w:rFonts w:ascii="Times New Roman;serif" w:hAnsi="Times New Roman;serif"/>
                <w:b w:val="false"/>
                <w:color w:val="000000"/>
                <w:sz w:val="20"/>
              </w:rPr>
              <w:t>Performance- Based RSUs, which shall vest based on continued employment with the Company and the achievement of specified performance criteria described herein (the “</w:t>
            </w:r>
            <w:r>
              <w:rPr>
                <w:rFonts w:ascii="Times New Roman;serif" w:hAnsi="Times New Roman;serif"/>
                <w:b w:val="false"/>
                <w:color w:val="000000"/>
                <w:sz w:val="20"/>
                <w:u w:val="single"/>
              </w:rPr>
              <w:t>Performance-Based RSUs</w:t>
            </w:r>
            <w:r>
              <w:rPr>
                <w:color w:val="000000"/>
              </w:rPr>
              <w:t>”</w:t>
            </w:r>
            <w:r>
              <w:rPr>
                <w:rFonts w:ascii="Times New Roman;serif" w:hAnsi="Times New Roman;serif"/>
                <w:b w:val="false"/>
                <w:color w:val="000000"/>
                <w:sz w:val="20"/>
              </w:rPr>
              <w:t>), at target, as follows:</w:t>
            </w:r>
          </w:p>
          <w:p>
            <w:pPr>
              <w:pStyle w:val="TableContents"/>
              <w:bidi w:val="0"/>
              <w:spacing w:lineRule="auto" w:line="321" w:before="0" w:after="0"/>
              <w:ind w:left="0" w:right="0" w:hanging="360"/>
              <w:jc w:val="both"/>
              <w:rPr/>
            </w:pPr>
            <w:r>
              <w:rPr>
                <w:color w:val="000000"/>
              </w:rPr>
              <w:t>•</w:t>
            </w:r>
            <w:r>
              <w:rPr>
                <w:rFonts w:ascii="Times New Roman;serif" w:hAnsi="Times New Roman;serif"/>
                <w:b/>
                <w:color w:val="000000"/>
                <w:sz w:val="20"/>
              </w:rPr>
              <w:t xml:space="preserve">[24% Revenue-Based RSUs </w:t>
            </w:r>
            <w:r>
              <w:rPr>
                <w:rFonts w:ascii="Times New Roman;serif" w:hAnsi="Times New Roman;serif"/>
                <w:b w:val="false"/>
                <w:color w:val="000000"/>
                <w:sz w:val="20"/>
              </w:rPr>
              <w:t>(as defined in Exhibit 2)</w:t>
            </w:r>
          </w:p>
          <w:p>
            <w:pPr>
              <w:pStyle w:val="TableContents"/>
              <w:bidi w:val="0"/>
              <w:spacing w:lineRule="auto" w:line="321" w:before="0" w:after="160"/>
              <w:ind w:left="0" w:right="0" w:hanging="360"/>
              <w:jc w:val="both"/>
              <w:rPr/>
            </w:pPr>
            <w:r>
              <w:rPr>
                <w:color w:val="000000"/>
              </w:rPr>
              <w:t>•</w:t>
            </w:r>
            <w:r>
              <w:rPr>
                <w:rFonts w:ascii="Times New Roman;serif" w:hAnsi="Times New Roman;serif"/>
                <w:b/>
                <w:color w:val="000000"/>
                <w:sz w:val="20"/>
              </w:rPr>
              <w:t xml:space="preserve">36% TSR-Based RSUs </w:t>
            </w:r>
            <w:r>
              <w:rPr>
                <w:rFonts w:ascii="Times New Roman;serif" w:hAnsi="Times New Roman;serif"/>
                <w:b w:val="false"/>
                <w:color w:val="000000"/>
                <w:sz w:val="20"/>
              </w:rPr>
              <w:t>(as defined Exhibit 2)]</w:t>
            </w:r>
          </w:p>
        </w:tc>
      </w:tr>
      <w:tr>
        <w:trPr/>
        <w:tc>
          <w:tcPr>
            <w:tcW w:w="3007"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Vesting Schedule: </w:t>
            </w:r>
          </w:p>
        </w:tc>
        <w:tc>
          <w:tcPr>
            <w:tcW w:w="7198"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Time-Based RSUs: See Exhibit 1</w:t>
            </w:r>
          </w:p>
        </w:tc>
      </w:tr>
      <w:tr>
        <w:trPr/>
        <w:tc>
          <w:tcPr>
            <w:tcW w:w="3007" w:type="dxa"/>
            <w:gridSpan w:val="9"/>
            <w:tcBorders>
              <w:left w:val="single" w:sz="4" w:space="0" w:color="000000"/>
              <w:bottom w:val="single" w:sz="4" w:space="0" w:color="000000"/>
            </w:tcBorders>
            <w:tcMar>
              <w:top w:w="0" w:type="dxa"/>
              <w:right w:w="0" w:type="dxa"/>
            </w:tcMar>
            <w:vAlign w:val="center"/>
          </w:tcPr>
          <w:p>
            <w:pPr>
              <w:pStyle w:val="TableContents"/>
              <w:bidi w:val="0"/>
              <w:spacing w:before="0" w:after="160"/>
              <w:jc w:val="both"/>
              <w:rPr/>
            </w:pPr>
            <w:r>
              <w:rPr/>
            </w:r>
          </w:p>
        </w:tc>
        <w:tc>
          <w:tcPr>
            <w:tcW w:w="7198"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Performance-Based RSUs: See Exhibit 2 </w:t>
            </w:r>
          </w:p>
        </w:tc>
      </w:tr>
    </w:tbl>
    <w:p>
      <w:pPr>
        <w:pStyle w:val="TextBody"/>
        <w:bidi w:val="0"/>
        <w:spacing w:lineRule="auto" w:line="321" w:before="0" w:after="160"/>
        <w:ind w:left="0" w:right="0" w:firstLine="720"/>
        <w:jc w:val="both"/>
        <w:rPr/>
      </w:pPr>
      <w:r>
        <w:rPr>
          <w:rFonts w:ascii="Times New Roman;serif" w:hAnsi="Times New Roman;serif"/>
          <w:b w:val="false"/>
          <w:color w:val="000000"/>
          <w:sz w:val="20"/>
          <w:u w:val="single"/>
        </w:rPr>
        <w:t>2. Acceptance of Award and Agreement by Participant</w:t>
      </w:r>
      <w:r>
        <w:rPr>
          <w:rFonts w:ascii="Times New Roman;serif" w:hAnsi="Times New Roman;serif"/>
          <w:b w:val="false"/>
          <w:color w:val="000000"/>
          <w:sz w:val="20"/>
        </w:rPr>
        <w:t>.</w:t>
      </w:r>
    </w:p>
    <w:p>
      <w:pPr>
        <w:pStyle w:val="TextBody"/>
        <w:bidi w:val="0"/>
        <w:spacing w:lineRule="auto" w:line="321" w:before="0" w:after="160"/>
        <w:jc w:val="both"/>
        <w:rPr/>
      </w:pPr>
      <w:r>
        <w:rPr>
          <w:rFonts w:ascii="Times New Roman;serif" w:hAnsi="Times New Roman;serif"/>
          <w:b w:val="false"/>
          <w:color w:val="000000"/>
          <w:sz w:val="20"/>
        </w:rPr>
        <w:t>You shall have no rights with respect to the Agreement unless you shall have accepted the Agreement by electronically accepting this Agreement on the Fidelity Investments website prior to the close of business on the sixtieth (60</w:t>
      </w:r>
      <w:r>
        <w:rPr>
          <w:rFonts w:ascii="Times New Roman;serif" w:hAnsi="Times New Roman;serif"/>
          <w:b w:val="false"/>
          <w:color w:val="000000"/>
          <w:sz w:val="13"/>
        </w:rPr>
        <w:t>th</w:t>
      </w:r>
      <w:r>
        <w:rPr>
          <w:rFonts w:ascii="Times New Roman;serif" w:hAnsi="Times New Roman;serif"/>
          <w:b w:val="false"/>
          <w:color w:val="000000"/>
          <w:sz w:val="20"/>
        </w:rPr>
        <w:t xml:space="preserve">) day after the date of your receipt of this Grant Notice. You acknowledge that, for administrative purposes, you may be required to accept the Agreement on the Fidelity Investments Website three separate times with respect to each of the Restricted Stock Unit Types granted as of the Date of Grant. Such acceptances shall be considered separate acceptances of each Restricted Stock Unit Type for purposes of the Fidelity Investments website but shall together constitute one acceptance of the Agreement. For the avoidance of doubt, the number of Restricted Stock Units granted to you as of the Date of Grant shall in no event exceed the quantities indicated in this Grant Notice. </w:t>
      </w:r>
    </w:p>
    <w:p>
      <w:pPr>
        <w:pStyle w:val="TextBody"/>
        <w:bidi w:val="0"/>
        <w:spacing w:lineRule="auto" w:line="321" w:before="0" w:after="160"/>
        <w:jc w:val="both"/>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60"/>
        <w:jc w:val="both"/>
        <w:rPr/>
      </w:pPr>
      <w:r>
        <w:rPr/>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have caused the Agreement to be signed on their behalf.</w:t>
      </w:r>
    </w:p>
    <w:p>
      <w:pPr>
        <w:pStyle w:val="TextBody"/>
        <w:bidi w:val="0"/>
        <w:spacing w:before="0" w:after="160"/>
        <w:jc w:val="both"/>
        <w:rPr/>
      </w:pPr>
      <w:r>
        <w:rPr/>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before="0" w:after="160"/>
        <w:jc w:val="both"/>
        <w:rPr/>
      </w:pPr>
      <w:r>
        <w:rPr/>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before="0" w:after="160"/>
        <w:jc w:val="both"/>
        <w:rPr/>
      </w:pPr>
      <w:r>
        <w:rPr/>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PARTICIPANT</w:t>
      </w:r>
    </w:p>
    <w:p>
      <w:pPr>
        <w:pStyle w:val="TextBody"/>
        <w:bidi w:val="0"/>
        <w:spacing w:before="0" w:after="160"/>
        <w:jc w:val="both"/>
        <w:rPr/>
      </w:pPr>
      <w:r>
        <w:rPr/>
      </w:r>
    </w:p>
    <w:p>
      <w:pPr>
        <w:pStyle w:val="TextBody"/>
        <w:bidi w:val="0"/>
        <w:spacing w:lineRule="auto" w:line="321" w:before="0" w:after="160"/>
        <w:jc w:val="both"/>
        <w:rPr/>
      </w:pPr>
      <w:r>
        <w:rPr>
          <w:rFonts w:ascii="Times New Roman;serif" w:hAnsi="Times New Roman;serif"/>
          <w:b w:val="false"/>
          <w:color w:val="000000"/>
          <w:sz w:val="20"/>
          <w:shd w:fill="FFFFFF" w:val="clear"/>
        </w:rPr>
        <w:t>By: #ParticipantName#</w:t>
      </w:r>
      <w:r>
        <w:rPr>
          <w:color w:val="000000"/>
          <w:u w:val="single"/>
          <w:shd w:fill="FFFFFF" w:val="clear"/>
        </w:rPr>
        <w:t xml:space="preserve">     </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SIGNED BY ELECTRONIC SIGNATURE</w:t>
      </w:r>
    </w:p>
    <w:p>
      <w:pPr>
        <w:pStyle w:val="TextBody"/>
        <w:bidi w:val="0"/>
        <w:spacing w:before="0" w:after="160"/>
        <w:jc w:val="both"/>
        <w:rPr/>
      </w:pPr>
      <w:r>
        <w:rPr/>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BY ELECTRONICALLY ACCEPTING THE AWARD, YOU AGREE THAT (i) SUCH ACCEPTANCE CONSTITUTES YOUR ELECTRONIC SIGNATURE IN EXECUTION OF THE AGREEMENT; (ii) YOU AGREE TO BE BOUND BY THE PROVISIONS OF THE PLAN AND THE AGREEMENT; (iii) YOU HAVE REVIEWED THE PLAN AND THE AGREEMENT IN THEIR ENTIRETY, HAVE HAD AN OPPORTUNITY TO OBTAIN THE ADVICE OF COUNSEL PRIOR TO ACCEPTING THE AWARD AND FULLY UNDERSTAND ALL OF THE PROVISIONS OF THE PLAN AND THE AGREEMENT; (iv) YOU HAVE BEEN PROVIDED WITH A COPY OR ELECTRONIC ACCESS TO A COPY OF THE PROSPECTUS FOR THE PLAN; AND (v) YOU HEREBY AGREE TO ACCEPT AS BINDING, CONCLUSIVE AND FINAL ALL DECISIONS OR INTERPRETATIONS OF THE COMMITTEE UPON ANY QUESTIONS ARISING UNDER THE PLAN AND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TERMS AND CONDITIONS</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Grant of Restricted Stock Units</w:t>
      </w:r>
      <w:r>
        <w:rPr>
          <w:rFonts w:ascii="Times New Roman;serif" w:hAnsi="Times New Roman;serif"/>
          <w:b w:val="false"/>
          <w:color w:val="000000"/>
          <w:sz w:val="20"/>
        </w:rPr>
        <w:t>. The Company hereby grants to you, on the Date of Grant, the Award set forth in the Grant Notice. Such Award shall be credited to a separate account maintained for you on the books of the Company (the “</w:t>
      </w:r>
      <w:r>
        <w:rPr>
          <w:rFonts w:ascii="Times New Roman;serif" w:hAnsi="Times New Roman;serif"/>
          <w:b w:val="false"/>
          <w:color w:val="000000"/>
          <w:sz w:val="20"/>
          <w:u w:val="single"/>
        </w:rPr>
        <w:t>Account</w:t>
      </w:r>
      <w:r>
        <w:rPr>
          <w:color w:val="000000"/>
        </w:rPr>
        <w:t>”</w:t>
      </w:r>
      <w:r>
        <w:rPr>
          <w:rFonts w:ascii="Times New Roman;serif" w:hAnsi="Times New Roman;serif"/>
          <w:b w:val="false"/>
          <w:color w:val="000000"/>
          <w:sz w:val="20"/>
        </w:rPr>
        <w:t xml:space="preserve">). On any given date, the value of each Restricted Stock Unit comprising the Award shall equal the Fair Market Value of one share of Common Stock.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Vesting and Settlement</w:t>
      </w:r>
      <w:r>
        <w:rPr>
          <w:rFonts w:ascii="Times New Roman;serif" w:hAnsi="Times New Roman;serif"/>
          <w:b w:val="false"/>
          <w:color w:val="000000"/>
          <w:sz w:val="20"/>
        </w:rPr>
        <w:t>. The Award shall vest and settle in accordance with the terms and conditions set forth in the Exhibit(s) hereto. The day on which a portion of the Award vests in accordance with this Agreement is referred to as a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Incorporation by Reference, Etc</w:t>
      </w:r>
      <w:r>
        <w:rPr>
          <w:rFonts w:ascii="Times New Roman;serif" w:hAnsi="Times New Roman;serif"/>
          <w:b w:val="false"/>
          <w:color w:val="000000"/>
          <w:sz w:val="20"/>
        </w:rPr>
        <w:t>. The provisions of the Plan are hereby incorporated herein by reference. Except as otherwise expressly set forth herein, the Agreement shall be construed in accordance with the provisions of the Plan and any capitalized terms not otherwise defined in the Agreement shall have the definitions set forth in the Plan. The Committee shall have final authority to interpret and construe the Plan and the Agreement and to make any and all determinations under them, and its decision shall be binding and conclusive upon you and your legal representative in respect of any questions arising under the Plan or the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Dividend Equivalents</w:t>
      </w:r>
      <w:r>
        <w:rPr>
          <w:rFonts w:ascii="Times New Roman;serif" w:hAnsi="Times New Roman;serif"/>
          <w:b w:val="false"/>
          <w:color w:val="000000"/>
          <w:sz w:val="20"/>
        </w:rPr>
        <w:t>. If on any date that Restricted Stock Units remain credited to the Account, dividends are paid by the Company on outstanding shares of its Common Stock (“</w:t>
      </w:r>
      <w:r>
        <w:rPr>
          <w:rFonts w:ascii="Times New Roman;serif" w:hAnsi="Times New Roman;serif"/>
          <w:b w:val="false"/>
          <w:color w:val="000000"/>
          <w:sz w:val="20"/>
          <w:u w:val="single"/>
        </w:rPr>
        <w:t>Shares</w:t>
      </w:r>
      <w:r>
        <w:rPr>
          <w:color w:val="000000"/>
        </w:rPr>
        <w:t>”</w:t>
      </w:r>
      <w:r>
        <w:rPr>
          <w:rFonts w:ascii="Times New Roman;serif" w:hAnsi="Times New Roman;serif"/>
          <w:b w:val="false"/>
          <w:color w:val="000000"/>
          <w:sz w:val="20"/>
        </w:rPr>
        <w:t>) (each, a “</w:t>
      </w:r>
      <w:r>
        <w:rPr>
          <w:rFonts w:ascii="Times New Roman;serif" w:hAnsi="Times New Roman;serif"/>
          <w:b w:val="false"/>
          <w:color w:val="000000"/>
          <w:sz w:val="20"/>
          <w:u w:val="single"/>
        </w:rPr>
        <w:t>Dividend Payment Date</w:t>
      </w:r>
      <w:r>
        <w:rPr>
          <w:color w:val="000000"/>
        </w:rPr>
        <w:t>”</w:t>
      </w:r>
      <w:r>
        <w:rPr>
          <w:rFonts w:ascii="Times New Roman;serif" w:hAnsi="Times New Roman;serif"/>
          <w:b w:val="false"/>
          <w:color w:val="000000"/>
          <w:sz w:val="20"/>
        </w:rPr>
        <w:t>), then your Account shall, as of each such Dividend Payment Date, be credited with an amount (each such amount, a “</w:t>
      </w:r>
      <w:r>
        <w:rPr>
          <w:rFonts w:ascii="Times New Roman;serif" w:hAnsi="Times New Roman;serif"/>
          <w:b w:val="false"/>
          <w:color w:val="000000"/>
          <w:sz w:val="20"/>
          <w:u w:val="single"/>
        </w:rPr>
        <w:t>Dividend Equivalent Amount</w:t>
      </w:r>
      <w:r>
        <w:rPr>
          <w:color w:val="000000"/>
        </w:rPr>
        <w:t>”</w:t>
      </w:r>
      <w:r>
        <w:rPr>
          <w:rFonts w:ascii="Times New Roman;serif" w:hAnsi="Times New Roman;serif"/>
          <w:b w:val="false"/>
          <w:color w:val="000000"/>
          <w:sz w:val="20"/>
        </w:rPr>
        <w:t xml:space="preserve">)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issuance and delivery of one share of Common Stock for each Restricted Stock Unit subject to the Award that has vested (“the </w:t>
      </w:r>
      <w:r>
        <w:rPr>
          <w:rFonts w:ascii="Times New Roman;serif" w:hAnsi="Times New Roman;serif"/>
          <w:b w:val="false"/>
          <w:color w:val="000000"/>
          <w:sz w:val="20"/>
          <w:u w:val="single"/>
        </w:rPr>
        <w:t>RSU Shares</w:t>
      </w:r>
      <w:r>
        <w:rPr>
          <w:color w:val="000000"/>
        </w:rPr>
        <w:t>”</w:t>
      </w:r>
      <w:r>
        <w:rPr>
          <w:rFonts w:ascii="Times New Roman;serif" w:hAnsi="Times New Roman;serif"/>
          <w:b w:val="false"/>
          <w:color w:val="000000"/>
          <w:sz w:val="20"/>
        </w:rPr>
        <w:t>), you shall be entitled to receive a payment, without interest, of an amount in cash equal to the accumulated Dividend Equivalent Amounts in respect of the RSU Shares so delivered.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Taxes and Withholding</w:t>
      </w:r>
      <w:r>
        <w:rPr>
          <w:rFonts w:ascii="Times New Roman;serif" w:hAnsi="Times New Roman;serif"/>
          <w:b w:val="false"/>
          <w:color w:val="000000"/>
          <w:sz w:val="20"/>
        </w:rPr>
        <w:t xml:space="preserve">. In accordance with Section 13(e) of the Plan, the obligations of the Company hereunder are conditioned upon you satisfying required tax withholding obligations in a method authorized by the Committee.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Forfeiture</w:t>
      </w:r>
      <w:r>
        <w:rPr>
          <w:rFonts w:ascii="Times New Roman;serif" w:hAnsi="Times New Roman;serif"/>
          <w:b w:val="false"/>
          <w:color w:val="000000"/>
          <w:sz w:val="20"/>
        </w:rPr>
        <w:t>. Except as otherwise provided in the Agreement, the Plan, or as set forth in any employment, consulting or other agreement between the Company or an Affiliate and you in effect on the date hereof, if your employment with the Company terminates prior to any Vesting Date for any reason, all remaining Restricted Stock Units credited to the Account shall be forfeited without further consideration to you. In addition, the Award or any RSU Shares shall be subject to cancellation, forfeiture or recoupment as determined by the Committee upon the occurrence of a violation of material Company policies, misstatement of financial or other material information about the Company, fraud, misconduct, breach of noncompetition, confidentiality, nonsolicitation, noninterference, corporate property protection, or other agreements, including any confidentiality and restrictive covenant agreement, that may apply to you, or other conduct by you that the Committee determines is detrimental to the business or reputation of the Company and its Affiliates, including facts and circumstances discovered after termination of service; provided, however, that this sentence will only be applied to you to the extent that it does not violate applicable law. Notwithstanding anything else herein to the contrary, in consideration for the grant of this Award, you agree to be subject to (i) any applicable compensation, clawback, recoupment or similar policies of the Company or its Affiliates in effect from time to time, whether adopted before or after the Date of Grant, including without limitation the ExlService Holdings, Inc. Clawback Policy, and (ii) such other clawback rules as may be required by applicable law ((i) and (ii) together, the “Clawback Provisions.”) You understand that the Clawback Provisions are not limited to amounts payable in connection with the Award.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Restrictions</w:t>
      </w:r>
      <w:r>
        <w:rPr>
          <w:rFonts w:ascii="Times New Roman;serif" w:hAnsi="Times New Roman;serif"/>
          <w:b w:val="false"/>
          <w:color w:val="000000"/>
          <w:sz w:val="20"/>
        </w:rPr>
        <w:t>. The Award granted hereunder may not be sold, pledged or otherwise transferred (other than by will or the laws of descent and distribution) and may not be subject to lien, garnishment, attachment or other legal process. You acknowledge and agree that, with respect to each Restricted Stock Unit credited to your Account, you have no voting rights with respect to the Company unless and until each such Restricted Stock Unit is settled in RSU Shares pursuant to the Exhibit(s).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8.</w:t>
      </w:r>
      <w:r>
        <w:rPr>
          <w:rFonts w:ascii="Times New Roman;serif" w:hAnsi="Times New Roman;serif"/>
          <w:b w:val="false"/>
          <w:color w:val="000000"/>
          <w:sz w:val="20"/>
          <w:u w:val="single"/>
        </w:rPr>
        <w:t>Rights as a Stockholder</w:t>
      </w:r>
      <w:r>
        <w:rPr>
          <w:rFonts w:ascii="Times New Roman;serif" w:hAnsi="Times New Roman;serif"/>
          <w:b w:val="false"/>
          <w:color w:val="000000"/>
          <w:sz w:val="20"/>
        </w:rPr>
        <w:t>. Upon and following each Vesting Date (as defined in the Exhibit(s)), you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you shall not be deemed for any purpose to be the owner of shares of Common Stock underlying the Restricted Stock Units.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Miscellaneous</w:t>
      </w:r>
      <w:r>
        <w:rPr>
          <w:rFonts w:ascii="Times New Roman;serif" w:hAnsi="Times New Roman;serif"/>
          <w:b w:val="false"/>
          <w:color w:val="000000"/>
          <w:sz w:val="20"/>
        </w:rPr>
        <w:t>.</w:t>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 Assets</w:t>
      </w:r>
      <w:r>
        <w:rPr>
          <w:rFonts w:ascii="Times New Roman;serif" w:hAnsi="Times New Roman;serif"/>
          <w:b w:val="false"/>
          <w:color w:val="000000"/>
          <w:sz w:val="20"/>
        </w:rPr>
        <w:t>. All amounts credited to the Account under the Agreement shall continue for all purposes to be part of the general assets of the Company. Your interest in the Account shall make you only a general, unsecured creditor of the Company.</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Notices</w:t>
      </w:r>
      <w:r>
        <w:rPr>
          <w:rFonts w:ascii="Times New Roman;serif" w:hAnsi="Times New Roman;serif"/>
          <w:b w:val="false"/>
          <w:color w:val="000000"/>
          <w:sz w:val="20"/>
        </w:rPr>
        <w:t>. All notices, demands and other communications provided for or permitted hereunder shall be made in writing and shall be by registered or certified first-class mail, return receipt requested, telecopier, courier service or personal delivery: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to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ExlService Holdings, Inc.</w:t>
        <w:br/>
        <w:t>320 Park Avenue, 29th Floor</w:t>
        <w:br/>
        <w:t>New York, NY 10022</w:t>
        <w:br/>
        <w:t>Attention: General Counsel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to you, at your last known address on file with the Company.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Severability</w:t>
      </w:r>
      <w:r>
        <w:rPr>
          <w:rFonts w:ascii="Times New Roman;serif" w:hAnsi="Times New Roman;serif"/>
          <w:b w:val="false"/>
          <w:color w:val="000000"/>
          <w:sz w:val="20"/>
        </w:rPr>
        <w:t>. The invalidity or unenforceability of any provision of the Agreement shall not affect the validity or enforceability of any other provision of the Agreement, and each other provision of the Agreement shall be severable and enforceable to the extent permitted by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No Rights to Employment</w:t>
      </w:r>
      <w:r>
        <w:rPr>
          <w:rFonts w:ascii="Times New Roman;serif" w:hAnsi="Times New Roman;serif"/>
          <w:b w:val="false"/>
          <w:color w:val="000000"/>
          <w:sz w:val="20"/>
        </w:rPr>
        <w:t>. Nothing contained in the Agreement shall be construed as giving you any right to be retained, in any position, as an employee, consultant or director of the Company (or its Affiliates) or shall interfere with or restrict in any way the right of the Company (or its Affiliates), which are hereby expressly reserved, to remove, terminate or discharge you at any time for any reason whatsoever.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Beneficiary</w:t>
      </w:r>
      <w:r>
        <w:rPr>
          <w:rFonts w:ascii="Times New Roman;serif" w:hAnsi="Times New Roman;serif"/>
          <w:b w:val="false"/>
          <w:color w:val="000000"/>
          <w:sz w:val="20"/>
        </w:rPr>
        <w:t>. You may file with the Committee a written designation of a beneficiary on such form as may be prescribed by the Committee and may, from time to time, amend or revoke such designation. If no designated beneficiary survives you, your estate shall be deemed to be your beneficiary.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Successors</w:t>
      </w:r>
      <w:r>
        <w:rPr>
          <w:rFonts w:ascii="Times New Roman;serif" w:hAnsi="Times New Roman;serif"/>
          <w:b w:val="false"/>
          <w:color w:val="000000"/>
          <w:sz w:val="20"/>
        </w:rPr>
        <w:t>. The terms of the Agreement shall be binding upon and inure to the benefit of the Company and its successors and assigns, and to you and your beneficiaries, executors, administrators, heirs and successors.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The Agreement and the Plan contain the entire agreement and understanding of the parties hereto with respect to the subject matter contained herein and supersede all prior communications, representations and negotiations in respect thereto. Except as expressly set forth in the Plan or as otherwise provided in the Agreement, no change, modification or waiver of any provision of the Agreement shall be valid unless the same is in writing and signed by the parties hereto.</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h.</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Except for the Arbitration Agreement attached hereto as </w:t>
      </w:r>
      <w:r>
        <w:rPr>
          <w:rFonts w:ascii="Times New Roman;serif" w:hAnsi="Times New Roman;serif"/>
          <w:b w:val="false"/>
          <w:color w:val="000000"/>
          <w:sz w:val="20"/>
          <w:u w:val="single"/>
        </w:rPr>
        <w:t>Attachment 1</w:t>
      </w:r>
      <w:r>
        <w:rPr>
          <w:rFonts w:ascii="Times New Roman;serif" w:hAnsi="Times New Roman;serif"/>
          <w:b w:val="false"/>
          <w:color w:val="000000"/>
          <w:sz w:val="20"/>
        </w:rPr>
        <w:t>, which is expressly governed by the Federal Arbitration Act (FAA), the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Should the FAA not govern a portion of the Arbitration Agreement for any reason, then that portion of the Arbitration Agreement shall be construed and interpreted in accordance with the laws of the State of Delaware without regard to principles of conflicts of law of that or any other jurisdiction.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 xml:space="preserve">Binding Agreement to Arbitrate. </w:t>
      </w:r>
      <w:r>
        <w:rPr>
          <w:rFonts w:ascii="Times New Roman;serif" w:hAnsi="Times New Roman;serif"/>
          <w:b w:val="false"/>
          <w:color w:val="000000"/>
          <w:sz w:val="20"/>
        </w:rPr>
        <w:t xml:space="preserve">The Agreement is subject to the Arbitration Agreement attached hereto as </w:t>
      </w:r>
      <w:r>
        <w:rPr>
          <w:rFonts w:ascii="Times New Roman;serif" w:hAnsi="Times New Roman;serif"/>
          <w:b w:val="false"/>
          <w:color w:val="000000"/>
          <w:sz w:val="20"/>
          <w:u w:val="single"/>
        </w:rPr>
        <w:t>Attachment 1</w:t>
      </w:r>
      <w:r>
        <w:rPr>
          <w:rFonts w:ascii="Times New Roman;serif" w:hAnsi="Times New Roman;serif"/>
          <w:b w:val="false"/>
          <w:color w:val="000000"/>
          <w:sz w:val="20"/>
        </w:rPr>
        <w:t xml:space="preserve">, which is incorporated by reference herein. Except as otherwise provided in </w:t>
      </w:r>
      <w:r>
        <w:rPr>
          <w:rFonts w:ascii="Times New Roman;serif" w:hAnsi="Times New Roman;serif"/>
          <w:b w:val="false"/>
          <w:color w:val="000000"/>
          <w:sz w:val="20"/>
          <w:u w:val="single"/>
        </w:rPr>
        <w:t>Attachment 1</w:t>
      </w:r>
      <w:r>
        <w:rPr>
          <w:rFonts w:ascii="Times New Roman;serif" w:hAnsi="Times New Roman;serif"/>
          <w:b w:val="false"/>
          <w:color w:val="000000"/>
          <w:sz w:val="20"/>
        </w:rPr>
        <w:t xml:space="preserve">, the Arbitration Agreement establishes an exclusive forum for the resolution of all disputes covered by the Arbitration Agreement that otherwise could be resolved in court. </w:t>
      </w:r>
      <w:r>
        <w:rPr>
          <w:rFonts w:ascii="Times New Roman;serif" w:hAnsi="Times New Roman;serif"/>
          <w:b/>
          <w:color w:val="000000"/>
          <w:sz w:val="20"/>
          <w:u w:val="single"/>
        </w:rPr>
        <w:t>BY ENTERING INTO THE AGREEMENT, YOU AND THE COMPANY ACKNOWLEDGE AND AGREE THAT, TO THE FULLEST EXTENT PERMITTED BY LAW, YOU AND THE COMPANY ARE GIVING UP ANY RIGHTS THEY MAY HAVE TO A COURT OR JURY TRIAL OF ALL SUCH DISPUTES, WHICH ARE NOT LIMITED TO ONLY THOSE ARISING UNDER THE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j.</w:t>
      </w:r>
      <w:r>
        <w:rPr>
          <w:rFonts w:ascii="Times New Roman;serif" w:hAnsi="Times New Roman;serif"/>
          <w:b w:val="false"/>
          <w:color w:val="000000"/>
          <w:sz w:val="20"/>
          <w:u w:val="single"/>
        </w:rPr>
        <w:t>Electronic Delivery and Acceptance</w:t>
      </w:r>
      <w:r>
        <w:rPr>
          <w:rFonts w:ascii="Times New Roman;serif" w:hAnsi="Times New Roman;serif"/>
          <w:b w:val="false"/>
          <w:color w:val="000000"/>
          <w:sz w:val="20"/>
        </w:rPr>
        <w:t>. The Company has decided to deliver documents related to current or future participation in the Plan by electronic means and to request your consent to participate in the Plan by electronic means. You hereby consent to receive such documents by electronic delivery and agree to participate in the Plan through the current plan administrator’s on-line system, or any other on-line system or electronic means that the Company may decide, in its sole discretion, to use in the future.</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0"/>
        </w:rPr>
        <w:t>k.</w:t>
      </w:r>
      <w:r>
        <w:rPr>
          <w:rFonts w:ascii="Times New Roman;serif" w:hAnsi="Times New Roman;serif"/>
          <w:b w:val="false"/>
          <w:color w:val="000000"/>
          <w:sz w:val="20"/>
          <w:u w:val="single"/>
        </w:rPr>
        <w:t>Headings</w:t>
      </w:r>
      <w:r>
        <w:rPr>
          <w:rFonts w:ascii="Times New Roman;serif" w:hAnsi="Times New Roman;serif"/>
          <w:b w:val="false"/>
          <w:color w:val="000000"/>
          <w:sz w:val="20"/>
        </w:rPr>
        <w:t>. The headings of the Sections of the Agreement are provided for convenience only and are not to serve as a basis for interpretation or construction, and shall not constitute a part, of the Agreement.</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Exhibit 1</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Time-Based Restricted Stock Units – Vesting and Settlement Terms</w:t>
      </w:r>
    </w:p>
    <w:p>
      <w:pPr>
        <w:pStyle w:val="TextBody"/>
        <w:bidi w:val="0"/>
        <w:spacing w:lineRule="auto" w:line="288" w:before="0" w:after="240"/>
        <w:ind w:left="0" w:right="0" w:hanging="360"/>
        <w:jc w:val="both"/>
        <w:rPr/>
      </w:pPr>
      <w:r>
        <w:rPr>
          <w:rFonts w:ascii="Times New Roman;serif" w:hAnsi="Times New Roman;serif"/>
          <w:b/>
          <w:color w:val="000000"/>
          <w:sz w:val="20"/>
        </w:rPr>
        <w:t>1.</w:t>
      </w:r>
      <w:r>
        <w:rPr>
          <w:rFonts w:ascii="Times New Roman;serif" w:hAnsi="Times New Roman;serif"/>
          <w:b/>
          <w:color w:val="000000"/>
          <w:sz w:val="20"/>
          <w:u w:val="single"/>
        </w:rPr>
        <w:t>Vesting</w:t>
      </w:r>
      <w:r>
        <w:rPr>
          <w:rFonts w:ascii="Times New Roman;serif" w:hAnsi="Times New Roman;serif"/>
          <w:b w:val="false"/>
          <w:color w:val="000000"/>
          <w:sz w:val="20"/>
        </w:rPr>
        <w:t>. Except as otherwise provided herein, subject to your continued employment with the Company (or its Affiliates) through each applicable Vesting Date listed in the chart below (the “</w:t>
      </w:r>
      <w:r>
        <w:rPr>
          <w:rFonts w:ascii="Times New Roman;serif" w:hAnsi="Times New Roman;serif"/>
          <w:b w:val="false"/>
          <w:color w:val="000000"/>
          <w:sz w:val="20"/>
          <w:u w:val="single"/>
        </w:rPr>
        <w:t>Vesting Chart</w:t>
      </w:r>
      <w:r>
        <w:rPr>
          <w:color w:val="000000"/>
        </w:rPr>
        <w:t>”</w:t>
      </w:r>
      <w:r>
        <w:rPr>
          <w:rFonts w:ascii="Times New Roman;serif" w:hAnsi="Times New Roman;serif"/>
          <w:b w:val="false"/>
          <w:color w:val="000000"/>
          <w:sz w:val="20"/>
        </w:rPr>
        <w:t>), the Time-Based RSUs awarded to you pursuant to the Grant Notice shall become vested as follows:</w:t>
      </w:r>
    </w:p>
    <w:tbl>
      <w:tblPr>
        <w:tblW w:w="6088" w:type="dxa"/>
        <w:jc w:val="left"/>
        <w:tblInd w:w="0" w:type="dxa"/>
        <w:tblLayout w:type="fixed"/>
        <w:tblCellMar>
          <w:top w:w="28" w:type="dxa"/>
          <w:left w:w="28" w:type="dxa"/>
          <w:bottom w:w="28" w:type="dxa"/>
          <w:right w:w="28" w:type="dxa"/>
        </w:tblCellMar>
      </w:tblPr>
      <w:tblGrid>
        <w:gridCol w:w="1130"/>
        <w:gridCol w:w="993"/>
        <w:gridCol w:w="996"/>
        <w:gridCol w:w="866"/>
        <w:gridCol w:w="866"/>
        <w:gridCol w:w="1237"/>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Percent of Time-Based RSUs Vesting</w:t>
            </w:r>
          </w:p>
        </w:tc>
        <w:tc>
          <w:tcPr>
            <w:tcW w:w="2969"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color w:val="000000"/>
              </w:rPr>
              <w:t>“</w:t>
            </w:r>
            <w:r>
              <w:rPr>
                <w:rFonts w:ascii="Times New Roman;serif" w:hAnsi="Times New Roman;serif"/>
                <w:b w:val="false"/>
                <w:color w:val="000000"/>
                <w:sz w:val="20"/>
                <w:u w:val="single"/>
              </w:rPr>
              <w:t>Vesting Date</w:t>
            </w:r>
            <w:r>
              <w:rPr>
                <w:color w:val="000000"/>
              </w:rPr>
              <w:t>”</w:t>
            </w:r>
          </w:p>
        </w:tc>
      </w:tr>
      <w:tr>
        <w:trPr/>
        <w:tc>
          <w:tcPr>
            <w:tcW w:w="311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[25%]</w:t>
            </w:r>
          </w:p>
        </w:tc>
        <w:tc>
          <w:tcPr>
            <w:tcW w:w="29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color w:val="000000"/>
              </w:rPr>
              <w:t> </w:t>
            </w:r>
            <w:r>
              <w:rPr>
                <w:rFonts w:ascii="Times New Roman;serif" w:hAnsi="Times New Roman;serif"/>
                <w:b w:val="false"/>
                <w:color w:val="000000"/>
                <w:sz w:val="20"/>
              </w:rPr>
              <w:t>[1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Anniversary of Date of Grant]</w:t>
            </w:r>
          </w:p>
        </w:tc>
      </w:tr>
      <w:tr>
        <w:trPr/>
        <w:tc>
          <w:tcPr>
            <w:tcW w:w="311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[25%]</w:t>
            </w:r>
          </w:p>
        </w:tc>
        <w:tc>
          <w:tcPr>
            <w:tcW w:w="29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color w:val="000000"/>
              </w:rPr>
              <w:t> </w:t>
            </w:r>
            <w:r>
              <w:rPr>
                <w:rFonts w:ascii="Times New Roman;serif" w:hAnsi="Times New Roman;serif"/>
                <w:b w:val="false"/>
                <w:color w:val="000000"/>
                <w:sz w:val="20"/>
              </w:rPr>
              <w:t>[2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Anniversary of Date of Grant]</w:t>
            </w:r>
          </w:p>
        </w:tc>
      </w:tr>
      <w:tr>
        <w:trPr/>
        <w:tc>
          <w:tcPr>
            <w:tcW w:w="311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[25%]</w:t>
            </w:r>
          </w:p>
        </w:tc>
        <w:tc>
          <w:tcPr>
            <w:tcW w:w="29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color w:val="000000"/>
              </w:rPr>
              <w:t> </w:t>
            </w:r>
            <w:r>
              <w:rPr>
                <w:rFonts w:ascii="Times New Roman;serif" w:hAnsi="Times New Roman;serif"/>
                <w:b w:val="false"/>
                <w:color w:val="000000"/>
                <w:sz w:val="20"/>
              </w:rPr>
              <w:t>[3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Anniversary of Date of Grant]</w:t>
            </w:r>
          </w:p>
        </w:tc>
      </w:tr>
      <w:tr>
        <w:trPr/>
        <w:tc>
          <w:tcPr>
            <w:tcW w:w="3119"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[25%]</w:t>
            </w:r>
          </w:p>
        </w:tc>
        <w:tc>
          <w:tcPr>
            <w:tcW w:w="29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pPr>
            <w:r>
              <w:rPr>
                <w:color w:val="000000"/>
              </w:rPr>
              <w:t> </w:t>
            </w:r>
            <w:r>
              <w:rPr>
                <w:rFonts w:ascii="Times New Roman;serif" w:hAnsi="Times New Roman;serif"/>
                <w:b w:val="false"/>
                <w:color w:val="000000"/>
                <w:sz w:val="20"/>
              </w:rPr>
              <w:t>[4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Anniversary of Date of Grant]</w:t>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Change in Control</w:t>
      </w:r>
      <w:r>
        <w:rPr>
          <w:rFonts w:ascii="Times New Roman;serif" w:hAnsi="Times New Roman;serif"/>
          <w:b w:val="false"/>
          <w:color w:val="000000"/>
          <w:sz w:val="20"/>
        </w:rPr>
        <w:t>. (i) Notwithstanding the foregoing, in the event that a “</w:t>
      </w:r>
      <w:r>
        <w:rPr>
          <w:rFonts w:ascii="Times New Roman;serif" w:hAnsi="Times New Roman;serif"/>
          <w:b w:val="false"/>
          <w:color w:val="000000"/>
          <w:sz w:val="20"/>
          <w:u w:val="single"/>
        </w:rPr>
        <w:t>Change in Control</w:t>
      </w:r>
      <w:r>
        <w:rPr>
          <w:color w:val="000000"/>
        </w:rPr>
        <w:t xml:space="preserve">” </w:t>
      </w:r>
      <w:r>
        <w:rPr>
          <w:rFonts w:ascii="Times New Roman;serif" w:hAnsi="Times New Roman;serif"/>
          <w:b w:val="false"/>
          <w:color w:val="000000"/>
          <w:sz w:val="20"/>
        </w:rPr>
        <w:t>(which for purposes of this Exhibit shall have the meaning set forth in the Plan as modified by the language at the end of this Exhibit) occurs at a time when any portion of the Time-Based RSUs remains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 Any remaining unvested Time-Based RSUs shall remain subject to the vesting schedule described above.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(ii) In addition: (1) in the event that your employment by the Company is terminated by the Company without Cause (as defined in the Plan) (x) at any time following a Change in Control or (y) in specific contemplation of a Change in Control or (2) in the event you resign with “Good Reason” (as defined below) at any time following a Change in Control, you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(iii) The term “Good Reason” shall have the meaning set forth in any employment, consulting or other agreement between the Company or an Affiliate and you in effect on the date hereof, or, in the absence of such definition therein, the occurrence, without your prior written consent, of any of the following events:</w:t>
      </w:r>
    </w:p>
    <w:p>
      <w:pPr>
        <w:pStyle w:val="TextBody"/>
        <w:bidi w:val="0"/>
        <w:spacing w:before="0" w:after="0"/>
        <w:jc w:val="both"/>
        <w:rPr/>
      </w:pPr>
      <w:r>
        <w:rPr/>
      </w:r>
    </w:p>
    <w:p>
      <w:pPr>
        <w:pStyle w:val="TextBody"/>
        <w:bidi w:val="0"/>
        <w:spacing w:lineRule="auto" w:line="288"/>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(1)a substantial reduction of your duties or responsibilities, or Participant being required to report to any person other than the Board or the Company’s Chief Executive Officer or President; provided that, if there is a Change in Control and you retain a similar title and similar duties with the Company or any entity that acquires the Company (or any affiliate or subsidiary of such entity)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such Change in Control, any change in your title shall not a constitute a significant reduction of your duties and authorities hereunder;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(2)your job title is adversely changed, provided that if there is a Change in Control and you retain a similar title and similar duties with the Company or any entity that acquires the Company (or any affiliate or subsidiary of such entity) following such Change in Control, any change in your title shall not constitute a significant reduction of your duties and authorities hereunder;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(3)following a Change in Control, a change in the office or location where you are based of more than thirty (30) miles, which new location is more than thirty (30) miles from your primary residence; or</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(4)following a Change in Control, a breach by the Company of any material term of any employment, consulting, or similar agreement between the Company and you;</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provided that, a termination by you with Good Reason shall be effective only if, within thirty (30) days following your first becoming aware of the circumstances giving rise to Good Reason, you deliver a “notice of termination” for Good Reason to the Company, and the Company within fifteen (15) days following its receipt of such notification has failed to cure the circumstances giving rise to Good Reason.</w:t>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Death; Disability</w:t>
      </w:r>
      <w:r>
        <w:rPr>
          <w:rFonts w:ascii="Times New Roman;serif" w:hAnsi="Times New Roman;serif"/>
          <w:b w:val="false"/>
          <w:color w:val="000000"/>
          <w:sz w:val="20"/>
        </w:rPr>
        <w:t xml:space="preserve">. Notwithstanding the foregoing, in the event your employment with the Company (or its Affiliates) is terminated due to your death or Disability at a time when any portion of the Time-Based RSUs remains unvested, the portion of the Time-Based RSUs which is unvested shall become immediately vested effective as of the date of termination due to death or Disability.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Retirement</w:t>
      </w:r>
      <w:r>
        <w:rPr>
          <w:rFonts w:ascii="Times New Roman;serif" w:hAnsi="Times New Roman;serif"/>
          <w:b w:val="false"/>
          <w:color w:val="000000"/>
          <w:sz w:val="20"/>
        </w:rPr>
        <w:t>. Notwithstanding the foregoing, and assuming that such Time-Based RSUs have been outstanding for at least six (6) months from the Date of Grant, in the event that your employment with the Company (or its Affiliates) is terminated, other than by the Company (or its Affiliates) for Cause (as defined in the Plan),</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i.after having attained age [sixty (60)] with at least [ten (10)] years of service with the Company (or its Affiliates) at a time when any portion of the Time-Based RSUs remains unvested, then [one-hundred percent (100%)] of that portion of your Time-Based RSUs (and only that portion) that is scheduled to vest within the next twelve (12) months shall become immediately vested as of the date you terminate employment, and any remaining unvested portion of the Time-Based RSUs shall be immediately forfeited; and</w:t>
      </w:r>
    </w:p>
    <w:p>
      <w:pPr>
        <w:pStyle w:val="TextBody"/>
        <w:bidi w:val="0"/>
        <w:spacing w:before="0" w:after="0"/>
        <w:jc w:val="both"/>
        <w:rPr/>
      </w:pPr>
      <w:r>
        <w:rPr/>
      </w:r>
    </w:p>
    <w:p>
      <w:pPr>
        <w:pStyle w:val="TextBody"/>
        <w:bidi w:val="0"/>
        <w:spacing w:lineRule="auto" w:line="288" w:before="0" w:after="240"/>
        <w:ind w:left="0" w:right="0" w:hanging="270"/>
        <w:jc w:val="both"/>
        <w:rPr/>
      </w:pPr>
      <w:r>
        <w:rPr>
          <w:rFonts w:ascii="Times New Roman;serif" w:hAnsi="Times New Roman;serif"/>
          <w:b w:val="false"/>
          <w:color w:val="000000"/>
          <w:sz w:val="20"/>
        </w:rPr>
        <w:t>ii.after having attained age [sixty (60)] with at least [five (5)] years and less than [ten (10) years] of service with the Company (or its Affiliates) at a time when any portion of the Time-Based RSUs remains unvested, then the applicable percentage of your Time-Based RSUs (and only that portion) that is scheduled to vest within the next twelve (12) months, as described below (the “</w:t>
      </w:r>
      <w:r>
        <w:rPr>
          <w:rFonts w:ascii="Times New Roman;serif" w:hAnsi="Times New Roman;serif"/>
          <w:b w:val="false"/>
          <w:color w:val="000000"/>
          <w:sz w:val="20"/>
          <w:u w:val="single"/>
        </w:rPr>
        <w:t>Prorated Percentage</w:t>
      </w:r>
      <w:r>
        <w:rPr>
          <w:color w:val="000000"/>
        </w:rPr>
        <w:t>”</w:t>
      </w:r>
      <w:r>
        <w:rPr>
          <w:rFonts w:ascii="Times New Roman;serif" w:hAnsi="Times New Roman;serif"/>
          <w:b w:val="false"/>
          <w:color w:val="000000"/>
          <w:sz w:val="20"/>
        </w:rPr>
        <w:t>), shall become immediately vested as of the date you terminate employment, and any remaining unvested portion of the Time-Based RSUs shall be immediately forfeited.</w:t>
      </w:r>
    </w:p>
    <w:tbl>
      <w:tblPr>
        <w:tblW w:w="4334" w:type="dxa"/>
        <w:jc w:val="left"/>
        <w:tblInd w:w="0" w:type="dxa"/>
        <w:tblLayout w:type="fixed"/>
        <w:tblCellMar>
          <w:top w:w="28" w:type="dxa"/>
          <w:left w:w="28" w:type="dxa"/>
          <w:bottom w:w="28" w:type="dxa"/>
          <w:right w:w="28" w:type="dxa"/>
        </w:tblCellMar>
      </w:tblPr>
      <w:tblGrid>
        <w:gridCol w:w="917"/>
        <w:gridCol w:w="807"/>
        <w:gridCol w:w="811"/>
        <w:gridCol w:w="526"/>
        <w:gridCol w:w="526"/>
        <w:gridCol w:w="747"/>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[Completed Years of Service: </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least</w:t>
            </w:r>
          </w:p>
        </w:tc>
        <w:tc>
          <w:tcPr>
            <w:tcW w:w="1799"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Prorated Percentage </w:t>
            </w:r>
          </w:p>
        </w:tc>
      </w:tr>
      <w:tr>
        <w:trPr/>
        <w:tc>
          <w:tcPr>
            <w:tcW w:w="2535"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Five (5) years</w:t>
            </w:r>
          </w:p>
        </w:tc>
        <w:tc>
          <w:tcPr>
            <w:tcW w:w="17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933" w:type="dxa"/>
        <w:jc w:val="left"/>
        <w:tblInd w:w="0" w:type="dxa"/>
        <w:tblLayout w:type="fixed"/>
        <w:tblCellMar>
          <w:top w:w="28" w:type="dxa"/>
          <w:left w:w="28" w:type="dxa"/>
          <w:bottom w:w="28" w:type="dxa"/>
          <w:right w:w="28" w:type="dxa"/>
        </w:tblCellMar>
      </w:tblPr>
      <w:tblGrid>
        <w:gridCol w:w="487"/>
        <w:gridCol w:w="428"/>
        <w:gridCol w:w="434"/>
        <w:gridCol w:w="171"/>
        <w:gridCol w:w="171"/>
        <w:gridCol w:w="242"/>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Six (6) years</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34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Seven (7) years</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34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Eight (8) years</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1349"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Nine (9) years</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90%]</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Section 1(c), years of service with the Company (or its Affiliates) does not include tenure at any organization acquired by the Company (or its Affiliates) prior to the closing date of such acquisition. </w:t>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Special 409A Rule</w:t>
      </w:r>
      <w:r>
        <w:rPr>
          <w:rFonts w:ascii="Times New Roman;serif" w:hAnsi="Times New Roman;serif"/>
          <w:b w:val="false"/>
          <w:color w:val="000000"/>
          <w:sz w:val="20"/>
        </w:rPr>
        <w:t>. Notwithstanding anything to the contrary in this Exhibit, to the extent necessary to comply with Section 409A of the Code, a Change in Control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color w:val="000000"/>
          <w:sz w:val="20"/>
        </w:rPr>
        <w:t>2.</w:t>
      </w:r>
      <w:r>
        <w:rPr>
          <w:rFonts w:ascii="Times New Roman;serif" w:hAnsi="Times New Roman;serif"/>
          <w:b/>
          <w:color w:val="000000"/>
          <w:sz w:val="20"/>
          <w:u w:val="single"/>
        </w:rPr>
        <w:t>Settlement</w:t>
      </w:r>
      <w:r>
        <w:rPr>
          <w:rFonts w:ascii="Times New Roman;serif" w:hAnsi="Times New Roman;serif"/>
          <w:b w:val="false"/>
          <w:color w:val="000000"/>
          <w:sz w:val="20"/>
        </w:rPr>
        <w:t>. As soon as practicable following each applicable Vesting Date (including as applicable the date of consummation of a Change in Control and/or certain terminations of employment), but in no event later than the end of the short-term deferral period applicable to a Restricted Stock Unit, the Company shall settle the portion of the Award that is vested on such date and shall therefore (i) issue and deliver to you one share of Common Stock for each Restricted Stock Unit pursuant to the Award that has vested (the “</w:t>
      </w:r>
      <w:r>
        <w:rPr>
          <w:rFonts w:ascii="Times New Roman;serif" w:hAnsi="Times New Roman;serif"/>
          <w:b w:val="false"/>
          <w:color w:val="000000"/>
          <w:sz w:val="20"/>
          <w:u w:val="single"/>
        </w:rPr>
        <w:t>RSU Shares</w:t>
      </w:r>
      <w:r>
        <w:rPr>
          <w:color w:val="000000"/>
        </w:rPr>
        <w:t>”</w:t>
      </w:r>
      <w:r>
        <w:rPr>
          <w:rFonts w:ascii="Times New Roman;serif" w:hAnsi="Times New Roman;serif"/>
          <w:b w:val="false"/>
          <w:color w:val="000000"/>
          <w:sz w:val="20"/>
        </w:rPr>
        <w:t xml:space="preserve">) with any fractional shares paid out in cash (and, upon such settlement, the Restricted Stock Units shall cease to be credited to the Account) and (ii) enter your name as a stockholder of record with respect to the RSU Shares on the books of the Company. </w:t>
      </w:r>
    </w:p>
    <w:p>
      <w:pPr>
        <w:pStyle w:val="TextBody"/>
        <w:bidi w:val="0"/>
        <w:spacing w:before="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Exhibit 2A</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Performance-Based Restricted Stock Units – Vesting and Settlement Terms</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u w:val="single"/>
        </w:rPr>
        <w:t>Vesting</w:t>
      </w:r>
      <w:r>
        <w:rPr>
          <w:rFonts w:ascii="Times New Roman;serif" w:hAnsi="Times New Roman;serif"/>
          <w:b w:val="false"/>
          <w:color w:val="000000"/>
          <w:sz w:val="20"/>
        </w:rPr>
        <w:t>. Except as otherwise provided herein, the Award shall cliff vest on [ ] (for purposes of Exhibits 2A and 2B, the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 xml:space="preserve">), based on continuous employment with the Company (or its Affiliates) through the Vesting Date and subject to the achievement of the applicable performance metrics goals set forth in Exhibit 2B below during the Performance Period.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Change in Control</w:t>
      </w:r>
      <w:r>
        <w:rPr>
          <w:rFonts w:ascii="Times New Roman;serif" w:hAnsi="Times New Roman;serif"/>
          <w:b w:val="false"/>
          <w:color w:val="000000"/>
          <w:sz w:val="20"/>
        </w:rPr>
        <w:t>. Notwithstanding the foregoing:</w:t>
      </w:r>
    </w:p>
    <w:p>
      <w:pPr>
        <w:pStyle w:val="TextBody"/>
        <w:bidi w:val="0"/>
        <w:spacing w:before="0" w:after="0"/>
        <w:jc w:val="both"/>
        <w:rPr/>
      </w:pPr>
      <w:r>
        <w:rPr/>
      </w:r>
    </w:p>
    <w:p>
      <w:pPr>
        <w:pStyle w:val="TextBody"/>
        <w:bidi w:val="0"/>
        <w:spacing w:lineRule="auto" w:line="288" w:before="0" w:after="0"/>
        <w:ind w:left="0" w:right="0" w:hanging="27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Revenue-Based RSUs</w:t>
      </w:r>
      <w:r>
        <w:rPr>
          <w:rFonts w:ascii="Times New Roman;serif" w:hAnsi="Times New Roman;serif"/>
          <w:b w:val="false"/>
          <w:color w:val="000000"/>
          <w:sz w:val="20"/>
        </w:rPr>
        <w:t>. In the event that a “Change in Control” (which for purposes of this Agreement shall have the meaning set forth in the Plan as modified by the language at the end of this Exhibit) occurs before [ ], [one hundred percent (100%)] of the Revenue-Based RSUs will be deemed banked as of the date of the Change in Control. For the avoidance of doubt, in such event, you will be unable to earn any additional Revenue-Based RSUs (i.e., performance payout will not exceed [100%]).</w:t>
      </w:r>
    </w:p>
    <w:p>
      <w:pPr>
        <w:pStyle w:val="TextBody"/>
        <w:bidi w:val="0"/>
        <w:spacing w:before="0" w:after="0"/>
        <w:jc w:val="both"/>
        <w:rPr/>
      </w:pPr>
      <w:r>
        <w:rPr/>
      </w:r>
    </w:p>
    <w:p>
      <w:pPr>
        <w:pStyle w:val="TextBody"/>
        <w:bidi w:val="0"/>
        <w:spacing w:lineRule="auto" w:line="288" w:before="0" w:after="0"/>
        <w:ind w:left="0" w:right="0" w:hanging="27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TSR-Based RSUs</w:t>
      </w:r>
      <w:r>
        <w:rPr>
          <w:rFonts w:ascii="Times New Roman;serif" w:hAnsi="Times New Roman;serif"/>
          <w:b w:val="false"/>
          <w:color w:val="000000"/>
          <w:sz w:val="20"/>
        </w:rPr>
        <w:t xml:space="preserve">. In the event that a Change in Control occurs on or before the first anniversary of the Date of Grant, [one hundred percent (100%)] of the TSR-Based RSUs will be deemed banked as of the date of the Change in Control. For the avoidance of doubt, in such event, you will be unable to earn any additional TSR-Based RSUs. In the event that a Change in Control occurs after the first anniversary of the Date of Grant, then (i) the Performance Period shall be deemed to end on the date of the Change in Control, and the Committee shall determine the TSR of the Company and the Peer Group (as defined below) as of such date, and shall determine the number of TSR-Based RSUs earned by you; and (ii) for purposes of determination of the Company’s TSR for the last day of the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Performance Period, as set forth in Exhibit 2B, Section 1(c)(iii)). </w:t>
      </w:r>
    </w:p>
    <w:p>
      <w:pPr>
        <w:pStyle w:val="TextBody"/>
        <w:bidi w:val="0"/>
        <w:spacing w:before="0" w:after="0"/>
        <w:jc w:val="both"/>
        <w:rPr/>
      </w:pPr>
      <w:r>
        <w:rPr/>
      </w:r>
    </w:p>
    <w:p>
      <w:pPr>
        <w:pStyle w:val="TextBody"/>
        <w:bidi w:val="0"/>
        <w:spacing w:lineRule="auto" w:line="288" w:before="0" w:after="240"/>
        <w:ind w:left="0" w:right="0" w:hanging="270"/>
        <w:jc w:val="both"/>
        <w:rPr/>
      </w:pPr>
      <w:r>
        <w:rPr>
          <w:rFonts w:ascii="Times New Roman;serif" w:hAnsi="Times New Roman;serif"/>
          <w:b w:val="false"/>
          <w:color w:val="000000"/>
          <w:sz w:val="20"/>
        </w:rPr>
        <w:t>iii.The Performance-Based RSUs deemed banked in accordance with the foregoing provisions of this Section 1 of this Exhibit will be treated as immediately vested in accordance with the schedule set forth in the special Change in Control vesting chart below (the “</w:t>
      </w:r>
      <w:r>
        <w:rPr>
          <w:rFonts w:ascii="Times New Roman;serif" w:hAnsi="Times New Roman;serif"/>
          <w:b w:val="false"/>
          <w:color w:val="000000"/>
          <w:sz w:val="20"/>
          <w:u w:val="single"/>
        </w:rPr>
        <w:t>Special CIC Vesting Chart</w:t>
      </w:r>
      <w:r>
        <w:rPr>
          <w:color w:val="000000"/>
        </w:rPr>
        <w:t>”</w:t>
      </w:r>
      <w:r>
        <w:rPr>
          <w:rFonts w:ascii="Times New Roman;serif" w:hAnsi="Times New Roman;serif"/>
          <w:b w:val="false"/>
          <w:color w:val="000000"/>
          <w:sz w:val="20"/>
        </w:rPr>
        <w:t xml:space="preserve">) as well as additional vesting based on the methodology set forth below in this Section 1, subject to your continuous employment with the Company or an Affiliate through the consummation of the Change in Control, assuming for such purpose that such deemed banked Performance-Based RSUs had originally been subject only to time-based vesting, as set forth in the Special CIC Vesting Chart. </w:t>
      </w:r>
    </w:p>
    <w:tbl>
      <w:tblPr>
        <w:tblW w:w="6208" w:type="dxa"/>
        <w:jc w:val="left"/>
        <w:tblInd w:w="0" w:type="dxa"/>
        <w:tblLayout w:type="fixed"/>
        <w:tblCellMar>
          <w:top w:w="28" w:type="dxa"/>
          <w:left w:w="28" w:type="dxa"/>
          <w:bottom w:w="28" w:type="dxa"/>
          <w:right w:w="28" w:type="dxa"/>
        </w:tblCellMar>
      </w:tblPr>
      <w:tblGrid>
        <w:gridCol w:w="1815"/>
        <w:gridCol w:w="1594"/>
        <w:gridCol w:w="1600"/>
        <w:gridCol w:w="350"/>
        <w:gridCol w:w="350"/>
        <w:gridCol w:w="499"/>
      </w:tblGrid>
      <w:tr>
        <w:trPr/>
        <w:tc>
          <w:tcPr>
            <w:tcW w:w="181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Vested Percent of Deemed Banked Performance-Based RSUs</w:t>
            </w:r>
          </w:p>
        </w:tc>
        <w:tc>
          <w:tcPr>
            <w:tcW w:w="1199"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Vesting Date</w:t>
            </w:r>
          </w:p>
        </w:tc>
      </w:tr>
      <w:tr>
        <w:trPr/>
        <w:tc>
          <w:tcPr>
            <w:tcW w:w="500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[33.33%]</w:t>
            </w:r>
          </w:p>
        </w:tc>
        <w:tc>
          <w:tcPr>
            <w:tcW w:w="11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500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[66.67%]</w:t>
            </w:r>
          </w:p>
        </w:tc>
        <w:tc>
          <w:tcPr>
            <w:tcW w:w="11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5009"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[100%]</w:t>
            </w:r>
          </w:p>
        </w:tc>
        <w:tc>
          <w:tcPr>
            <w:tcW w:w="11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br/>
        <w:t>Effective as of the consummation of the Change in Control: (x) the portion of the deemed banked Performance-Based RSUs with Vesting Dates that either occurred prior to the consummation of the Change in Control or will occur within one year of the Change in Control, in each case, as set forth in the Special CIC Vesting Chart, shall accelerate and become immediately vested and (y) the remaining portion of the deemed banked Performance-Based RSUs (i.e., those with a Vesting Date (pursuant to the Special CIC Chart) to occur more than one year after the consummation of the Change in Control) shall cliff vest on [ ], subject to your continuous employment with the Company or an Affiliate through such date; provided that (1) in the event that your employment by the Company is terminated by the Company without Cause (x) at any time following a Change in Control or (y) in specific contemplation of a Change in Control or (2) in the event you resign with Good Reason at any time following a Change in Control, you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banked Performance-Based RSUs which is unvested as of the termination date.</w:t>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Death or Disability</w:t>
      </w:r>
      <w:r>
        <w:rPr>
          <w:rFonts w:ascii="Times New Roman;serif" w:hAnsi="Times New Roman;serif"/>
          <w:b w:val="false"/>
          <w:color w:val="000000"/>
          <w:sz w:val="20"/>
        </w:rPr>
        <w:t>. Notwithstanding the foregoing:</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Prior to a Change in Control</w:t>
      </w:r>
      <w:r>
        <w:rPr>
          <w:rFonts w:ascii="Times New Roman;serif" w:hAnsi="Times New Roman;serif"/>
          <w:b w:val="false"/>
          <w:color w:val="000000"/>
          <w:sz w:val="20"/>
        </w:rPr>
        <w:t>. In the event that no Change in Control has occurred and your employment with the Company (or its Affiliates) is terminated due to your death or Disability prior to the completion of the Performance Period, you shall become immediately vested in a number of Performance-Based RSUs equal to (x) the number of completed full months from the first date in the Performance Period to the date of your termination due to death or Disability divided by (y) [36 multiplied by (z) 100%] of the Performance-Based RSUs, effective as of the date of your termination due to death or Disability. The remaining portion of the Performance-Based RSUs will not vest.</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After a Change in Control</w:t>
      </w:r>
      <w:r>
        <w:rPr>
          <w:rFonts w:ascii="Times New Roman;serif" w:hAnsi="Times New Roman;serif"/>
          <w:b w:val="false"/>
          <w:color w:val="000000"/>
          <w:sz w:val="20"/>
        </w:rPr>
        <w:t>. In the event that your employment with the Company (or its Affiliates) is terminated due to your death or Disability prior to the Vesting Date but after a Change in Control has occurred, you shall become immediately vested in 100% of the Performance-Based RSUs that were deemed banked as a result of the Change in Control pursuant to Section 1(a) of this Exhibit, effective as of the date of your termination due to death or Disability. The remaining portion of the Performance Based RSUs will not vest.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Retirement</w:t>
      </w:r>
      <w:r>
        <w:rPr>
          <w:rFonts w:ascii="Times New Roman;serif" w:hAnsi="Times New Roman;serif"/>
          <w:b w:val="false"/>
          <w:color w:val="000000"/>
          <w:sz w:val="20"/>
        </w:rPr>
        <w:t>. Notwithstanding the foregoing, and assuming that such Performance-Based RSUs have been outstanding for at least six (6) months from the Date of Grant, in the event that your employment with the Company (or its Affiliates) is terminated, other than by Company (or its Affiliates) for Cause,</w:t>
      </w:r>
    </w:p>
    <w:p>
      <w:pPr>
        <w:pStyle w:val="TextBody"/>
        <w:bidi w:val="0"/>
        <w:spacing w:before="0" w:after="0"/>
        <w:jc w:val="both"/>
        <w:rPr/>
      </w:pPr>
      <w:r>
        <w:rPr/>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i.after having attained age [sixty (60)] with at least [ten (10) years] of service with the Company (or its Affiliates) prior to the Vesting Date, you shall earn a pro rata portion of the Performance-Based RSUs based on actual Company performance (with respect to the Revenue and TSR performance goals) at the end of the Performance Period, as determined by the Committee.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Such proration shall be determined as follows: the total number of Performance-Based RSUs that would have been earned based on performance results if Participant had remained continuously employed through the end of the Performance Period shall instead be earned on a pro-rata basis, by multiplying such number of Performance-Based RSUs by the quotient of (x) divided by (y), where (x) equals the total number of calendar years during the Performance Period in which Participant was employed with the Company or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its Affiliate prior to the termination date (counting any partial calendar year of employment as a full year for this purpose ) and (y) equals three (3). The resulting number of Performance-Based RSUs shall be rounded to the nearest whole number;</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ii.after having attained age [sixty (60)] with at least [five (5) years] and less than [ten (10) years] of service with the Company (or its Affiliates) prior to [●], the Vesting Date for the Performance-Based RSUs, you shall earn a pro rata portion of the Performance-Based RSUs calculated in accordance with the methodology outlined in Section 1(c)(i) immediately above, provided that such amount shall be reduced by the applicable percentage set forth below (the “Reduction Percentage”).</w:t>
      </w:r>
    </w:p>
    <w:p>
      <w:pPr>
        <w:pStyle w:val="TextBody"/>
        <w:bidi w:val="0"/>
        <w:spacing w:before="0" w:after="160"/>
        <w:ind w:left="0" w:right="0" w:firstLine="180"/>
        <w:jc w:val="both"/>
        <w:rPr/>
      </w:pPr>
      <w:r>
        <w:rPr/>
      </w:r>
    </w:p>
    <w:tbl>
      <w:tblPr>
        <w:tblW w:w="4470" w:type="dxa"/>
        <w:jc w:val="left"/>
        <w:tblInd w:w="0" w:type="dxa"/>
        <w:tblLayout w:type="fixed"/>
        <w:tblCellMar>
          <w:top w:w="28" w:type="dxa"/>
          <w:left w:w="28" w:type="dxa"/>
          <w:bottom w:w="28" w:type="dxa"/>
          <w:right w:w="28" w:type="dxa"/>
        </w:tblCellMar>
      </w:tblPr>
      <w:tblGrid>
        <w:gridCol w:w="917"/>
        <w:gridCol w:w="807"/>
        <w:gridCol w:w="811"/>
        <w:gridCol w:w="566"/>
        <w:gridCol w:w="566"/>
        <w:gridCol w:w="803"/>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[Completed Years of Service: </w:t>
            </w:r>
          </w:p>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At least</w:t>
            </w:r>
          </w:p>
        </w:tc>
        <w:tc>
          <w:tcPr>
            <w:tcW w:w="1935"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Reduction Percentage</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Five (5) years</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Six (6) years</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Seven (7) years</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Eight (8) years</w:t>
            </w:r>
          </w:p>
        </w:tc>
        <w:tc>
          <w:tcPr>
            <w:tcW w:w="19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535"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Nine (9) years</w:t>
            </w:r>
          </w:p>
        </w:tc>
        <w:tc>
          <w:tcPr>
            <w:tcW w:w="19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hereof, years of service with the Company (or its Affiliates) does not include tenure at any organization acquired by the Company (or its Affiliates) prior to the closing date of such acquisition.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Performance-Based RSUs that become vested as a result of this Section 1(c) shall be settled in accordance with Section 2 of this Exhibit after the end of the Performance Period. The determination of any prorated Performance-Based RSU shall be made by the Committee in its sole discretion.</w:t>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Special 409A Rule.</w:t>
      </w:r>
      <w:r>
        <w:rPr>
          <w:color w:val="000000"/>
        </w:rPr>
        <w:t xml:space="preserve"> </w:t>
      </w:r>
      <w:r>
        <w:rPr>
          <w:rFonts w:ascii="Times New Roman;serif" w:hAnsi="Times New Roman;serif"/>
          <w:b w:val="false"/>
          <w:color w:val="000000"/>
          <w:sz w:val="20"/>
        </w:rPr>
        <w:t>Notwithstanding anything to the contrary in this Exhibit,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bidi w:val="0"/>
        <w:spacing w:before="0" w:after="0"/>
        <w:jc w:val="both"/>
        <w:rPr/>
      </w:pPr>
      <w:r>
        <w:rPr/>
      </w:r>
    </w:p>
    <w:p>
      <w:pPr>
        <w:pStyle w:val="TextBody"/>
        <w:bidi w:val="0"/>
        <w:spacing w:lineRule="auto" w:line="321" w:before="0" w:after="160"/>
        <w:ind w:left="0" w:right="0" w:hanging="180"/>
        <w:jc w:val="both"/>
        <w:rPr/>
      </w:pPr>
      <w:r>
        <w:rPr>
          <w:rFonts w:ascii="Times New Roman;serif" w:hAnsi="Times New Roman;serif"/>
          <w:b w:val="false"/>
          <w:color w:val="000000"/>
          <w:sz w:val="20"/>
        </w:rPr>
        <w:t xml:space="preserve">2. </w:t>
      </w:r>
      <w:r>
        <w:rPr>
          <w:rFonts w:ascii="Times New Roman;serif" w:hAnsi="Times New Roman;serif"/>
          <w:b w:val="false"/>
          <w:color w:val="000000"/>
          <w:sz w:val="20"/>
          <w:u w:val="single"/>
        </w:rPr>
        <w:t>Settlement</w:t>
      </w:r>
      <w:r>
        <w:rPr>
          <w:rFonts w:ascii="Times New Roman;serif" w:hAnsi="Times New Roman;serif"/>
          <w:b w:val="false"/>
          <w:color w:val="000000"/>
          <w:sz w:val="20"/>
        </w:rPr>
        <w:t>. As soon as practicable following the date that a Performance-Based RSU becomes vested, but in no event later than the end of the short-term deferral period applicable to such Performance-Based RSU, the Company shall settle the portion of the Award that is vested on such date and shall therefore (i) issue and deliver to you one share of Common Stock for each such Performance-Based RSU that has vested (the “</w:t>
      </w:r>
      <w:r>
        <w:rPr>
          <w:rFonts w:ascii="Times New Roman;serif" w:hAnsi="Times New Roman;serif"/>
          <w:b w:val="false"/>
          <w:color w:val="000000"/>
          <w:sz w:val="20"/>
          <w:u w:val="single"/>
        </w:rPr>
        <w:t>RSU Shares</w:t>
      </w:r>
      <w:r>
        <w:rPr>
          <w:color w:val="000000"/>
        </w:rPr>
        <w:t>”</w:t>
      </w:r>
      <w:r>
        <w:rPr>
          <w:rFonts w:ascii="Times New Roman;serif" w:hAnsi="Times New Roman;serif"/>
          <w:b w:val="false"/>
          <w:color w:val="000000"/>
          <w:sz w:val="20"/>
        </w:rPr>
        <w:t>) with any fractional shares paid out in cash (and, upon such settlement, the Performance-Based RSU shall cease to be credited to the Account) and (ii) enter your name as a stockholder of record with respect to the RSU Shares on the books of the Company. For the avoidance of doubt, to the extent that the number of Performance-Based RSUs vesting is dependent upon the achievement of performance metrics, the Committee shall make all determinations with respect to the vesting of such Performance-Based RSUs as soon as administratively practicable after the end of the performance period described in the Exhibit (or as of the Change in Control, as applicable) so that the settlement of any earned and vested Performance-Based RSUs shall be made within the applicable short-term deferral period for purposes of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Exhibit 2B</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Performance-Based Restricted Stock Units – Performance Metrics Goals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1.Performance Metrics Goals</w:t>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Definitions</w:t>
      </w:r>
    </w:p>
    <w:p>
      <w:pPr>
        <w:pStyle w:val="TextBody"/>
        <w:bidi w:val="0"/>
        <w:spacing w:lineRule="auto" w:line="321" w:before="0" w:after="0"/>
        <w:ind w:left="0" w:right="0" w:hanging="180"/>
        <w:jc w:val="both"/>
        <w:rPr/>
      </w:pPr>
      <w:r>
        <w:rPr>
          <w:rFonts w:ascii="Times New Roman;serif" w:hAnsi="Times New Roman;serif"/>
          <w:b w:val="false"/>
          <w:color w:val="000000"/>
          <w:sz w:val="20"/>
        </w:rPr>
        <w:t>i.</w:t>
      </w:r>
      <w:r>
        <w:rPr>
          <w:color w:val="000000"/>
        </w:rPr>
        <w:t>“</w:t>
      </w:r>
      <w:r>
        <w:rPr>
          <w:rFonts w:ascii="Times New Roman;serif" w:hAnsi="Times New Roman;serif"/>
          <w:b w:val="false"/>
          <w:color w:val="000000"/>
          <w:sz w:val="20"/>
          <w:u w:val="single"/>
        </w:rPr>
        <w:t>Performance Period</w:t>
      </w:r>
      <w:r>
        <w:rPr>
          <w:color w:val="000000"/>
        </w:rPr>
        <w:t>”</w:t>
      </w:r>
      <w:r>
        <w:rPr>
          <w:rFonts w:ascii="Times New Roman;serif" w:hAnsi="Times New Roman;serif"/>
          <w:b w:val="false"/>
          <w:color w:val="000000"/>
          <w:sz w:val="20"/>
        </w:rPr>
        <w:t xml:space="preserve">: [____] </w:t>
      </w:r>
    </w:p>
    <w:p>
      <w:pPr>
        <w:pStyle w:val="TextBody"/>
        <w:bidi w:val="0"/>
        <w:spacing w:lineRule="auto" w:line="321" w:before="0" w:after="0"/>
        <w:ind w:left="0" w:right="0" w:hanging="180"/>
        <w:jc w:val="both"/>
        <w:rPr/>
      </w:pPr>
      <w:r>
        <w:rPr>
          <w:rFonts w:ascii="Times New Roman;serif" w:hAnsi="Times New Roman;serif"/>
          <w:b w:val="false"/>
          <w:color w:val="000000"/>
          <w:sz w:val="20"/>
        </w:rPr>
        <w:t>ii.</w:t>
      </w:r>
      <w:r>
        <w:rPr>
          <w:color w:val="000000"/>
          <w:u w:val="single"/>
        </w:rPr>
        <w:t>“</w:t>
      </w:r>
      <w:r>
        <w:rPr>
          <w:rFonts w:ascii="Times New Roman;serif" w:hAnsi="Times New Roman;serif"/>
          <w:b w:val="false"/>
          <w:color w:val="000000"/>
          <w:sz w:val="20"/>
          <w:u w:val="single"/>
        </w:rPr>
        <w:t>Aggre</w:t>
      </w:r>
      <w:r>
        <w:rPr>
          <w:rFonts w:ascii="Times New Roman;serif" w:hAnsi="Times New Roman;serif"/>
          <w:b w:val="false"/>
          <w:color w:val="000000"/>
          <w:sz w:val="20"/>
          <w:u w:val="single"/>
          <w:shd w:fill="FFFFFF" w:val="clear"/>
        </w:rPr>
        <w:t>gate Revenue Target</w:t>
      </w:r>
      <w:r>
        <w:rPr>
          <w:color w:val="000000"/>
          <w:shd w:fill="FFFFFF" w:val="clear"/>
        </w:rPr>
        <w:t xml:space="preserve">” </w:t>
      </w:r>
      <w:r>
        <w:rPr>
          <w:rFonts w:ascii="Times New Roman;serif" w:hAnsi="Times New Roman;serif"/>
          <w:b w:val="false"/>
          <w:color w:val="000000"/>
          <w:sz w:val="20"/>
          <w:shd w:fill="FFFFFF" w:val="clear"/>
        </w:rPr>
        <w:t>for the Revenue-Based RSUs during the Performance Period: [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Revenue-Based RSUs</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i.Except as may otherwise be provided herein, the Revenue-Based RSUs shall vest based on the achievement of Company revenues against the Aggregate Revenue Target for the Performance Period. “Revenue” shall have the meaning given such term in the Board-approved budget for the fiscal year in which the Award is granted.</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ii.The sliding scale used to determine payout achievement of the Aggregate Revenue Target is as set forth in the table below: </w:t>
      </w:r>
    </w:p>
    <w:tbl>
      <w:tblPr>
        <w:tblW w:w="10205" w:type="dxa"/>
        <w:jc w:val="left"/>
        <w:tblInd w:w="0" w:type="dxa"/>
        <w:tblLayout w:type="fixed"/>
        <w:tblCellMar>
          <w:top w:w="28" w:type="dxa"/>
          <w:left w:w="28" w:type="dxa"/>
          <w:bottom w:w="28" w:type="dxa"/>
          <w:right w:w="28" w:type="dxa"/>
        </w:tblCellMar>
      </w:tblPr>
      <w:tblGrid>
        <w:gridCol w:w="2889"/>
        <w:gridCol w:w="2540"/>
        <w:gridCol w:w="2553"/>
        <w:gridCol w:w="648"/>
        <w:gridCol w:w="648"/>
        <w:gridCol w:w="927"/>
      </w:tblGrid>
      <w:tr>
        <w:trPr/>
        <w:tc>
          <w:tcPr>
            <w:tcW w:w="288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7982"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321" w:before="80" w:after="80"/>
              <w:jc w:val="both"/>
              <w:rPr>
                <w:rFonts w:ascii="Times New Roman;serif" w:hAnsi="Times New Roman;serif"/>
                <w:b/>
                <w:color w:val="000000"/>
                <w:sz w:val="20"/>
              </w:rPr>
            </w:pPr>
            <w:r>
              <w:rPr>
                <w:rFonts w:ascii="Times New Roman;serif" w:hAnsi="Times New Roman;serif"/>
                <w:b/>
                <w:color w:val="000000"/>
                <w:sz w:val="20"/>
              </w:rPr>
              <w:t>Achievement of Aggregate Revenue Target</w:t>
            </w:r>
          </w:p>
        </w:tc>
        <w:tc>
          <w:tcPr>
            <w:tcW w:w="2223"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321" w:before="80" w:after="80"/>
              <w:jc w:val="both"/>
              <w:rPr>
                <w:rFonts w:ascii="Times New Roman;serif" w:hAnsi="Times New Roman;serif"/>
                <w:b/>
                <w:color w:val="000000"/>
                <w:sz w:val="20"/>
              </w:rPr>
            </w:pPr>
            <w:r>
              <w:rPr>
                <w:rFonts w:ascii="Times New Roman;serif" w:hAnsi="Times New Roman;serif"/>
                <w:b/>
                <w:color w:val="000000"/>
                <w:sz w:val="20"/>
              </w:rPr>
              <w:t>Funding</w:t>
            </w:r>
          </w:p>
        </w:tc>
      </w:tr>
      <w:tr>
        <w:trPr/>
        <w:tc>
          <w:tcPr>
            <w:tcW w:w="79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[110%]</w:t>
            </w:r>
          </w:p>
        </w:tc>
        <w:tc>
          <w:tcPr>
            <w:tcW w:w="22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79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[100%]</w:t>
            </w:r>
          </w:p>
        </w:tc>
        <w:tc>
          <w:tcPr>
            <w:tcW w:w="22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79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[90%]</w:t>
            </w:r>
          </w:p>
        </w:tc>
        <w:tc>
          <w:tcPr>
            <w:tcW w:w="222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0205" w:type="dxa"/>
            <w:gridSpan w:val="6"/>
            <w:tcBorders>
              <w:top w:val="single" w:sz="8" w:space="0" w:color="000000"/>
            </w:tcBorders>
            <w:tcMar>
              <w:top w:w="30" w:type="dxa"/>
              <w:left w:w="0" w:type="dxa"/>
              <w:bottom w:w="0" w:type="dxa"/>
              <w:right w:w="0" w:type="dxa"/>
            </w:tcMar>
            <w:vAlign w:val="center"/>
          </w:tcPr>
          <w:p>
            <w:pPr>
              <w:pStyle w:val="TableContents"/>
              <w:bidi w:val="0"/>
              <w:spacing w:before="0" w:after="120"/>
              <w:jc w:val="both"/>
              <w:rPr/>
            </w:pPr>
            <w:r>
              <w:rPr/>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extent the Company’s Achievement of Aggregate Revenue Target at the end of the Performance Period falls in between [90%] and [100%] or [100%] and [110%], the funding percentage of Revenue-Based RSUs earned will be determined based on straight line interpolation between the two points, based on the funding scale set forth above.</w:t>
            </w:r>
          </w:p>
        </w:tc>
      </w:tr>
    </w:tbl>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TSR-Based RSUs</w:t>
      </w:r>
    </w:p>
    <w:p>
      <w:pPr>
        <w:pStyle w:val="TextBody"/>
        <w:bidi w:val="0"/>
        <w:spacing w:before="0" w:after="0"/>
        <w:jc w:val="both"/>
        <w:rPr/>
      </w:pPr>
      <w:r>
        <w:rPr/>
      </w:r>
    </w:p>
    <w:p>
      <w:pPr>
        <w:pStyle w:val="TextBody"/>
        <w:bidi w:val="0"/>
        <w:spacing w:lineRule="auto" w:line="288"/>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i.The Company’s TSR for the Performance Period will be computed and then compared to the TSR of the companies in the Peer Group (listed below). You shall earn [200%, 150%, 100%, 50% or 0%] of the TSR-Based RSUs, as applicable, if the Company’s TSR for the Performance Period equals or exceeds the 80th, 65th, 50th, 35th or 20th percentile, respectively, of the Peer Group, when ranked by TSR for the Performance Period. The percentage of TSR-Based RSUs earned will be determined based on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straight-line interpolation to the extent the Company’s TSR falls in between the 20th and 80th percentiles, as per the chart below: </w:t>
      </w:r>
    </w:p>
    <w:p>
      <w:pPr>
        <w:pStyle w:val="TextBody"/>
        <w:bidi w:val="0"/>
        <w:spacing w:before="0" w:after="160"/>
        <w:ind w:left="0" w:right="0" w:firstLine="180"/>
        <w:jc w:val="both"/>
        <w:rPr/>
      </w:pPr>
      <w:r>
        <w:rPr/>
      </w:r>
    </w:p>
    <w:tbl>
      <w:tblPr>
        <w:tblW w:w="2940" w:type="dxa"/>
        <w:jc w:val="left"/>
        <w:tblInd w:w="0" w:type="dxa"/>
        <w:tblLayout w:type="fixed"/>
        <w:tblCellMar>
          <w:top w:w="28" w:type="dxa"/>
          <w:left w:w="28" w:type="dxa"/>
          <w:bottom w:w="28" w:type="dxa"/>
          <w:right w:w="28" w:type="dxa"/>
        </w:tblCellMar>
      </w:tblPr>
      <w:tblGrid>
        <w:gridCol w:w="754"/>
        <w:gridCol w:w="664"/>
        <w:gridCol w:w="666"/>
        <w:gridCol w:w="250"/>
        <w:gridCol w:w="250"/>
        <w:gridCol w:w="35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21" w:before="80" w:after="80"/>
              <w:jc w:val="both"/>
              <w:rPr>
                <w:rFonts w:ascii="Times New Roman;serif" w:hAnsi="Times New Roman;serif"/>
                <w:b/>
                <w:color w:val="000000"/>
                <w:sz w:val="20"/>
              </w:rPr>
            </w:pPr>
            <w:r>
              <w:rPr>
                <w:rFonts w:ascii="Times New Roman;serif" w:hAnsi="Times New Roman;serif"/>
                <w:b/>
                <w:color w:val="000000"/>
                <w:sz w:val="20"/>
              </w:rPr>
              <w:t>[Target TSR Percentile</w:t>
            </w:r>
          </w:p>
        </w:tc>
        <w:tc>
          <w:tcPr>
            <w:tcW w:w="856"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321" w:before="80" w:after="80"/>
              <w:jc w:val="both"/>
              <w:rPr>
                <w:rFonts w:ascii="Times New Roman;serif" w:hAnsi="Times New Roman;serif"/>
                <w:b/>
                <w:color w:val="000000"/>
                <w:sz w:val="20"/>
              </w:rPr>
            </w:pPr>
            <w:r>
              <w:rPr>
                <w:rFonts w:ascii="Times New Roman;serif" w:hAnsi="Times New Roman;serif"/>
                <w:b/>
                <w:color w:val="000000"/>
                <w:sz w:val="20"/>
              </w:rPr>
              <w:t>Funding</w:t>
            </w:r>
          </w:p>
        </w:tc>
      </w:tr>
      <w:tr>
        <w:trPr/>
        <w:tc>
          <w:tcPr>
            <w:tcW w:w="2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80.0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2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65.0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2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50.0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35.0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0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20.0</w:t>
            </w:r>
          </w:p>
        </w:tc>
        <w:tc>
          <w:tcPr>
            <w:tcW w:w="85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80" w:after="80"/>
              <w:jc w:val="both"/>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ind w:left="0" w:right="0" w:firstLine="72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ii.Notwithstanding the foregoing, if the Company’s TSR for the TSR Performance Period is negative, the maximum percentage of TSR-Based RSUs that may be earned is 100% regardless of the Company’s actual percentile ranking relative to the peer Group.  </w:t>
      </w:r>
    </w:p>
    <w:p>
      <w:pPr>
        <w:pStyle w:val="TextBody"/>
        <w:bidi w:val="0"/>
        <w:spacing w:before="0" w:after="0"/>
        <w:jc w:val="both"/>
        <w:rPr/>
      </w:pPr>
      <w:r>
        <w:rPr/>
      </w:r>
    </w:p>
    <w:p>
      <w:pPr>
        <w:pStyle w:val="TextBody"/>
        <w:bidi w:val="0"/>
        <w:spacing w:lineRule="auto" w:line="288"/>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iii.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trading day), except as provided in Exhibit 2A, Section 1(a) in the event of a Change in Control.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iv. The Committee has designated the following peer group of public companies in the Company’s 8-digit Global Industry Classification Standard sub-industry group (the “Peer Group”):</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8" w:type="dxa"/>
            <w:gridSpan w:val="12"/>
            <w:tcBorders>
              <w:top w:val="single" w:sz="8" w:space="0" w:color="000000"/>
              <w:left w:val="single" w:sz="8" w:space="0" w:color="000000"/>
              <w:right w:val="single" w:sz="8" w:space="0" w:color="000000"/>
            </w:tcBorders>
            <w:shd w:fill="D9D9D9" w:val="clear"/>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both"/>
              <w:rPr/>
            </w:pPr>
            <w:r>
              <w:rPr/>
            </w:r>
          </w:p>
        </w:tc>
      </w:tr>
      <w:tr>
        <w:trPr/>
        <w:tc>
          <w:tcPr>
            <w:tcW w:w="342" w:type="dxa"/>
            <w:gridSpan w:val="3"/>
            <w:tcBorders>
              <w:top w:val="single" w:sz="4" w:space="0" w:color="000000"/>
              <w:left w:val="single" w:sz="8" w:space="0" w:color="000000"/>
              <w:bottom w:val="single" w:sz="8" w:space="0" w:color="000000"/>
            </w:tcBorders>
            <w:tcMar>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160"/>
              <w:jc w:val="both"/>
              <w:rPr/>
            </w:pPr>
            <w:r>
              <w:rPr/>
            </w:r>
          </w:p>
        </w:tc>
        <w:tc>
          <w:tcPr>
            <w:tcW w:w="327"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160"/>
              <w:jc w:val="both"/>
              <w:rPr/>
            </w:pPr>
            <w:r>
              <w:rPr/>
            </w:r>
          </w:p>
        </w:tc>
        <w:tc>
          <w:tcPr>
            <w:tcW w:w="372" w:type="dxa"/>
            <w:gridSpan w:val="3"/>
            <w:tcBorders>
              <w:top w:val="single" w:sz="4" w:space="0" w:color="000000"/>
              <w:left w:val="single" w:sz="4" w:space="0" w:color="000000"/>
              <w:bottom w:val="single" w:sz="8" w:space="0" w:color="000000"/>
              <w:right w:val="single" w:sz="8" w:space="0" w:color="000000"/>
            </w:tcBorders>
            <w:vAlign w:val="center"/>
          </w:tcPr>
          <w:p>
            <w:pPr>
              <w:pStyle w:val="TableContents"/>
              <w:bidi w:val="0"/>
              <w:spacing w:before="0" w:after="160"/>
              <w:jc w:val="both"/>
              <w:rPr/>
            </w:pPr>
            <w:r>
              <w:rPr/>
            </w:r>
          </w:p>
        </w:tc>
      </w:tr>
    </w:tbl>
    <w:p>
      <w:pPr>
        <w:pStyle w:val="TextBody"/>
        <w:bidi w:val="0"/>
        <w:spacing w:before="0" w:after="0"/>
        <w:ind w:left="0" w:right="0" w:firstLine="108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5.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60"/>
        <w:jc w:val="both"/>
        <w:rPr/>
      </w:pPr>
      <w:r>
        <w:rPr/>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Companies in the Peer Group that are not publicly traded on the last day of the Performance Period shall not be taken into account for TSR purposes (except that any such company that goes bankrupt will be deemed to have a negative 100% TSR).</w:t>
      </w:r>
    </w:p>
    <w:p>
      <w:pPr>
        <w:pStyle w:val="TextBody"/>
        <w:bidi w:val="0"/>
        <w:spacing w:before="0" w:after="160"/>
        <w:ind w:left="0" w:right="0" w:firstLine="720"/>
        <w:jc w:val="both"/>
        <w:rPr/>
      </w:pPr>
      <w:r>
        <w:rPr/>
      </w:r>
    </w:p>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br/>
        <w:t>2025 OMNIBUS INCENTIVE PLAN</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[FORM OF] RESTRICTED STOCK UNIT AWARD AGREEMENT</w:t>
      </w:r>
    </w:p>
    <w:p>
      <w:pPr>
        <w:pStyle w:val="TextBody"/>
        <w:bidi w:val="0"/>
        <w:spacing w:lineRule="auto" w:line="321" w:before="0" w:after="160"/>
        <w:ind w:left="0" w:right="0" w:firstLine="720"/>
        <w:jc w:val="both"/>
        <w:rPr/>
      </w:pPr>
      <w:r>
        <w:rPr>
          <w:rFonts w:ascii="Times New Roman;serif" w:hAnsi="Times New Roman;serif"/>
          <w:b w:val="false"/>
          <w:color w:val="000000"/>
          <w:sz w:val="20"/>
        </w:rPr>
        <w:t>THIS NOTICE OF RESTRICTED STOCK UNIT AWARD AGREEMENT (the “</w:t>
      </w:r>
      <w:r>
        <w:rPr>
          <w:rFonts w:ascii="Times New Roman;serif" w:hAnsi="Times New Roman;serif"/>
          <w:b w:val="false"/>
          <w:color w:val="000000"/>
          <w:sz w:val="20"/>
          <w:u w:val="single"/>
        </w:rPr>
        <w:t>Grant Notice</w:t>
      </w:r>
      <w:r>
        <w:rPr>
          <w:color w:val="000000"/>
        </w:rPr>
        <w:t xml:space="preserve">” </w:t>
      </w:r>
      <w:r>
        <w:rPr>
          <w:rFonts w:ascii="Times New Roman;serif" w:hAnsi="Times New Roman;serif"/>
          <w:b w:val="false"/>
          <w:color w:val="000000"/>
          <w:sz w:val="20"/>
        </w:rPr>
        <w:t>and, together with the Terms and Conditions and the applicable Exhibits (each, as defined below),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between EXLSERVICE HOLDINGS,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you, is made pursuant and subject to the provisions of the Company’s 2025 Omnibus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and all capitalized terms used herein that are defined in the Plan shall have the same meaning given to them in the Plan unless otherwise defined herein. </w:t>
      </w:r>
    </w:p>
    <w:p>
      <w:pPr>
        <w:pStyle w:val="TextBody"/>
        <w:bidi w:val="0"/>
        <w:spacing w:lineRule="auto" w:line="321" w:before="0" w:after="160"/>
        <w:ind w:left="0" w:right="0" w:firstLine="720"/>
        <w:jc w:val="both"/>
        <w:rPr/>
      </w:pPr>
      <w:r>
        <w:rPr>
          <w:rFonts w:ascii="Times New Roman;serif" w:hAnsi="Times New Roman;serif"/>
          <w:b w:val="false"/>
          <w:color w:val="000000"/>
          <w:sz w:val="20"/>
        </w:rPr>
        <w:t>WHEREAS, the Plan provides for the award from time to time, in the discretion of the Compensation and Talent Management Committee of the Board of Directors of the Company, of Restricted Stock Units, representing shares of common stock of the Company, $0.001 par value per share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the vesting and issuance of which is subject to continued employment with the Company or its applicable Affiliate and the other conditions set forth on the following pages (the “</w:t>
      </w:r>
      <w:r>
        <w:rPr>
          <w:rFonts w:ascii="Times New Roman;serif" w:hAnsi="Times New Roman;serif"/>
          <w:b w:val="false"/>
          <w:color w:val="000000"/>
          <w:sz w:val="20"/>
          <w:u w:val="single"/>
        </w:rPr>
        <w:t>Terms and Conditions</w:t>
      </w:r>
      <w:r>
        <w:rPr>
          <w:color w:val="000000"/>
        </w:rPr>
        <w:t>”</w:t>
      </w:r>
      <w:r>
        <w:rPr>
          <w:rFonts w:ascii="Times New Roman;serif" w:hAnsi="Times New Roman;serif"/>
          <w:b w:val="false"/>
          <w:color w:val="000000"/>
          <w:sz w:val="20"/>
        </w:rPr>
        <w:t>) and the exhibits attached hereto (the “</w:t>
      </w:r>
      <w:r>
        <w:rPr>
          <w:rFonts w:ascii="Times New Roman;serif" w:hAnsi="Times New Roman;serif"/>
          <w:b w:val="false"/>
          <w:color w:val="000000"/>
          <w:sz w:val="20"/>
          <w:u w:val="single"/>
        </w:rPr>
        <w:t>Exhibits</w:t>
      </w:r>
      <w:r>
        <w:rPr>
          <w:color w:val="000000"/>
        </w:rPr>
        <w:t>”</w:t>
      </w:r>
      <w:r>
        <w:rPr>
          <w:rFonts w:ascii="Times New Roman;serif" w:hAnsi="Times New Roman;serif"/>
          <w:b w:val="false"/>
          <w:color w:val="000000"/>
          <w:sz w:val="20"/>
        </w:rPr>
        <w:t>).</w:t>
      </w:r>
    </w:p>
    <w:p>
      <w:pPr>
        <w:pStyle w:val="TextBody"/>
        <w:bidi w:val="0"/>
        <w:spacing w:lineRule="auto" w:line="321" w:before="0" w:after="160"/>
        <w:ind w:left="0" w:right="0" w:firstLine="720"/>
        <w:jc w:val="both"/>
        <w:rPr/>
      </w:pPr>
      <w:r>
        <w:rPr>
          <w:rFonts w:ascii="Times New Roman;serif" w:hAnsi="Times New Roman;serif"/>
          <w:b w:val="false"/>
          <w:color w:val="000000"/>
          <w:sz w:val="20"/>
        </w:rPr>
        <w:t>WHEREAS, the Committee has determined that it is in the best interests of the Company and its stockholders to grant to you an award of Restricted Stock Units as further described herein (the “</w:t>
      </w:r>
      <w:r>
        <w:rPr>
          <w:rFonts w:ascii="Times New Roman;serif" w:hAnsi="Times New Roman;serif"/>
          <w:b w:val="false"/>
          <w:color w:val="000000"/>
          <w:sz w:val="20"/>
          <w:u w:val="single"/>
        </w:rPr>
        <w:t>Award</w:t>
      </w:r>
      <w:r>
        <w:rPr>
          <w:color w:val="000000"/>
        </w:rPr>
        <w:t>”</w:t>
      </w:r>
      <w:r>
        <w:rPr>
          <w:rFonts w:ascii="Times New Roman;serif" w:hAnsi="Times New Roman;serif"/>
          <w:b w:val="false"/>
          <w:color w:val="000000"/>
          <w:sz w:val="20"/>
        </w:rPr>
        <w:t>);</w:t>
      </w:r>
    </w:p>
    <w:p>
      <w:pPr>
        <w:pStyle w:val="TextBody"/>
        <w:bidi w:val="0"/>
        <w:spacing w:lineRule="auto" w:line="321"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for and in consideration of the premises and the covenants of the parties contained in the Agreement, and for other good and valuable consideration, the receipt of which is hereby acknowledged, the parties hereto, for themselves, their successors and assigns, hereby agree as follows:</w:t>
      </w:r>
    </w:p>
    <w:p>
      <w:pPr>
        <w:pStyle w:val="TextBody"/>
        <w:bidi w:val="0"/>
        <w:spacing w:lineRule="auto" w:line="321" w:before="0" w:after="16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Award Summary</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75"/>
        <w:gridCol w:w="329"/>
        <w:gridCol w:w="329"/>
        <w:gridCol w:w="329"/>
        <w:gridCol w:w="329"/>
        <w:gridCol w:w="329"/>
        <w:gridCol w:w="329"/>
        <w:gridCol w:w="329"/>
        <w:gridCol w:w="332"/>
        <w:gridCol w:w="786"/>
        <w:gridCol w:w="756"/>
        <w:gridCol w:w="756"/>
        <w:gridCol w:w="756"/>
        <w:gridCol w:w="756"/>
        <w:gridCol w:w="756"/>
        <w:gridCol w:w="756"/>
        <w:gridCol w:w="756"/>
        <w:gridCol w:w="1117"/>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3010"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left"/>
              <w:rPr/>
            </w:pPr>
            <w:r>
              <w:rPr>
                <w:rFonts w:ascii="Times New Roman;serif" w:hAnsi="Times New Roman;serif"/>
                <w:b w:val="false"/>
                <w:color w:val="000000"/>
                <w:sz w:val="20"/>
              </w:rPr>
              <w:t>Grantee (“</w:t>
            </w:r>
            <w:r>
              <w:rPr>
                <w:rFonts w:ascii="Times New Roman;serif" w:hAnsi="Times New Roman;serif"/>
                <w:b w:val="false"/>
                <w:color w:val="000000"/>
                <w:sz w:val="20"/>
                <w:u w:val="single"/>
              </w:rPr>
              <w:t>you</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w:t>
            </w:r>
          </w:p>
        </w:tc>
        <w:tc>
          <w:tcPr>
            <w:tcW w:w="7195"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[#ParticipantName#]</w:t>
            </w:r>
          </w:p>
        </w:tc>
      </w:tr>
      <w:tr>
        <w:trPr/>
        <w:tc>
          <w:tcPr>
            <w:tcW w:w="3010"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left"/>
              <w:rPr/>
            </w:pPr>
            <w:r>
              <w:rPr>
                <w:color w:val="000000"/>
              </w:rPr>
              <w:t>“</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w:t>
            </w:r>
          </w:p>
        </w:tc>
        <w:tc>
          <w:tcPr>
            <w:tcW w:w="7195"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w:t>
            </w:r>
          </w:p>
        </w:tc>
      </w:tr>
      <w:tr>
        <w:trPr/>
        <w:tc>
          <w:tcPr>
            <w:tcW w:w="3010" w:type="dxa"/>
            <w:gridSpan w:val="9"/>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Number of Restricted Stock Units granted and Restricted Stock Unit Type allocation:</w:t>
            </w:r>
          </w:p>
        </w:tc>
        <w:tc>
          <w:tcPr>
            <w:tcW w:w="7195"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pPr>
            <w:r>
              <w:rPr>
                <w:rFonts w:ascii="Times New Roman;serif" w:hAnsi="Times New Roman;serif"/>
                <w:b w:val="false"/>
                <w:color w:val="000000"/>
                <w:sz w:val="20"/>
                <w:shd w:fill="FFFFFF" w:val="clear"/>
              </w:rPr>
              <w:t>[# of Restricted Stock Units granted] total Restricted Stock Units, consisting of the following Restricted Stock Unit types (“</w:t>
            </w:r>
            <w:r>
              <w:rPr>
                <w:rFonts w:ascii="Times New Roman;serif" w:hAnsi="Times New Roman;serif"/>
                <w:b w:val="false"/>
                <w:color w:val="000000"/>
                <w:sz w:val="20"/>
                <w:u w:val="single"/>
                <w:shd w:fill="FFFFFF" w:val="clear"/>
              </w:rPr>
              <w:t>Restricted Stock Unit Types</w:t>
            </w:r>
            <w:r>
              <w:rPr>
                <w:color w:val="000000"/>
                <w:shd w:fill="FFFFFF" w:val="clear"/>
              </w:rPr>
              <w:t>”</w:t>
            </w:r>
            <w:r>
              <w:rPr>
                <w:rFonts w:ascii="Times New Roman;serif" w:hAnsi="Times New Roman;serif"/>
                <w:b w:val="false"/>
                <w:color w:val="000000"/>
                <w:sz w:val="20"/>
                <w:shd w:fill="FFFFFF" w:val="clear"/>
              </w:rPr>
              <w:t>):</w:t>
            </w:r>
          </w:p>
        </w:tc>
      </w:tr>
      <w:tr>
        <w:trPr/>
        <w:tc>
          <w:tcPr>
            <w:tcW w:w="3010" w:type="dxa"/>
            <w:gridSpan w:val="9"/>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7195"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pPr>
            <w:r>
              <w:rPr>
                <w:rFonts w:ascii="Times New Roman;serif" w:hAnsi="Times New Roman;serif"/>
                <w:b/>
                <w:color w:val="000000"/>
                <w:sz w:val="20"/>
              </w:rPr>
              <w:t>[40%] Time-Based RSUs</w:t>
            </w:r>
            <w:r>
              <w:rPr>
                <w:rFonts w:ascii="Times New Roman;serif" w:hAnsi="Times New Roman;serif"/>
                <w:b w:val="false"/>
                <w:color w:val="000000"/>
                <w:sz w:val="20"/>
              </w:rPr>
              <w:t>, which shall vest based on continued employment with the Company (“</w:t>
            </w:r>
            <w:r>
              <w:rPr>
                <w:rFonts w:ascii="Times New Roman;serif" w:hAnsi="Times New Roman;serif"/>
                <w:b w:val="false"/>
                <w:color w:val="000000"/>
                <w:sz w:val="20"/>
                <w:u w:val="single"/>
              </w:rPr>
              <w:t>Time-Based RSUs</w:t>
            </w:r>
            <w:r>
              <w:rPr>
                <w:color w:val="000000"/>
              </w:rPr>
              <w:t>”</w:t>
            </w:r>
            <w:r>
              <w:rPr>
                <w:rFonts w:ascii="Times New Roman;serif" w:hAnsi="Times New Roman;serif"/>
                <w:b w:val="false"/>
                <w:color w:val="000000"/>
                <w:sz w:val="20"/>
              </w:rPr>
              <w:t>); and</w:t>
            </w:r>
          </w:p>
        </w:tc>
      </w:tr>
      <w:tr>
        <w:trPr/>
        <w:tc>
          <w:tcPr>
            <w:tcW w:w="3010" w:type="dxa"/>
            <w:gridSpan w:val="9"/>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7195"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pPr>
            <w:r>
              <w:rPr>
                <w:rFonts w:ascii="Times New Roman;serif" w:hAnsi="Times New Roman;serif"/>
                <w:b w:val="false"/>
                <w:color w:val="000000"/>
                <w:sz w:val="20"/>
              </w:rPr>
              <w:t>Performance- Based RSUs, which shall vest based on continued employment with the Company and the achievement of specified performance criteria described herein (the “</w:t>
            </w:r>
            <w:r>
              <w:rPr>
                <w:rFonts w:ascii="Times New Roman;serif" w:hAnsi="Times New Roman;serif"/>
                <w:b w:val="false"/>
                <w:color w:val="000000"/>
                <w:sz w:val="20"/>
                <w:u w:val="single"/>
              </w:rPr>
              <w:t>Performance-Based RSUs</w:t>
            </w:r>
            <w:r>
              <w:rPr>
                <w:color w:val="000000"/>
              </w:rPr>
              <w:t>”</w:t>
            </w:r>
            <w:r>
              <w:rPr>
                <w:rFonts w:ascii="Times New Roman;serif" w:hAnsi="Times New Roman;serif"/>
                <w:b w:val="false"/>
                <w:color w:val="000000"/>
                <w:sz w:val="20"/>
              </w:rPr>
              <w:t>), at target, as follows:</w:t>
            </w:r>
          </w:p>
          <w:p>
            <w:pPr>
              <w:pStyle w:val="TableContents"/>
              <w:bidi w:val="0"/>
              <w:spacing w:lineRule="auto" w:line="321" w:before="0" w:after="0"/>
              <w:ind w:left="0" w:right="0" w:hanging="360"/>
              <w:jc w:val="both"/>
              <w:rPr/>
            </w:pPr>
            <w:r>
              <w:rPr>
                <w:color w:val="000000"/>
              </w:rPr>
              <w:t>•</w:t>
            </w:r>
            <w:r>
              <w:rPr>
                <w:rFonts w:ascii="Times New Roman;serif" w:hAnsi="Times New Roman;serif"/>
                <w:b/>
                <w:color w:val="000000"/>
                <w:sz w:val="20"/>
              </w:rPr>
              <w:t xml:space="preserve">[24% Revenue-Based RSUs </w:t>
            </w:r>
            <w:r>
              <w:rPr>
                <w:rFonts w:ascii="Times New Roman;serif" w:hAnsi="Times New Roman;serif"/>
                <w:b w:val="false"/>
                <w:color w:val="000000"/>
                <w:sz w:val="20"/>
              </w:rPr>
              <w:t>(as defined in Exhibit 2)</w:t>
            </w:r>
          </w:p>
          <w:p>
            <w:pPr>
              <w:pStyle w:val="TableContents"/>
              <w:bidi w:val="0"/>
              <w:spacing w:lineRule="auto" w:line="321" w:before="0" w:after="160"/>
              <w:ind w:left="0" w:right="0" w:hanging="360"/>
              <w:jc w:val="both"/>
              <w:rPr/>
            </w:pPr>
            <w:r>
              <w:rPr>
                <w:color w:val="000000"/>
              </w:rPr>
              <w:t>•</w:t>
            </w:r>
            <w:r>
              <w:rPr>
                <w:rFonts w:ascii="Times New Roman;serif" w:hAnsi="Times New Roman;serif"/>
                <w:b/>
                <w:color w:val="000000"/>
                <w:sz w:val="20"/>
              </w:rPr>
              <w:t xml:space="preserve">36% TSR-Based RSUs </w:t>
            </w:r>
            <w:r>
              <w:rPr>
                <w:rFonts w:ascii="Times New Roman;serif" w:hAnsi="Times New Roman;serif"/>
                <w:b w:val="false"/>
                <w:color w:val="000000"/>
                <w:sz w:val="20"/>
              </w:rPr>
              <w:t>(as defined Exhibit 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w:t>
                      </w:r>
                      <w:r>
                        <w:rPr>
                          <w:color w:val="000000"/>
                        </w:rPr>
                        <w:t>        </w:t>
                      </w:r>
                    </w:p>
                  </w:txbxContent>
                </v:textbox>
                <w10:wrap type="none"/>
              </v:rect>
            </w:pict>
          </mc:Fallback>
        </mc:AlternateContent>
      </w:r>
    </w:p>
    <w:tbl>
      <w:tblPr>
        <w:tblW w:w="5089" w:type="dxa"/>
        <w:jc w:val="left"/>
        <w:tblInd w:w="0" w:type="dxa"/>
        <w:tblLayout w:type="fixed"/>
        <w:tblCellMar>
          <w:top w:w="28" w:type="dxa"/>
          <w:left w:w="28" w:type="dxa"/>
          <w:bottom w:w="28" w:type="dxa"/>
          <w:right w:w="28" w:type="dxa"/>
        </w:tblCellMar>
      </w:tblPr>
      <w:tblGrid>
        <w:gridCol w:w="205"/>
        <w:gridCol w:w="180"/>
        <w:gridCol w:w="180"/>
        <w:gridCol w:w="180"/>
        <w:gridCol w:w="180"/>
        <w:gridCol w:w="180"/>
        <w:gridCol w:w="180"/>
        <w:gridCol w:w="180"/>
        <w:gridCol w:w="180"/>
        <w:gridCol w:w="364"/>
        <w:gridCol w:w="364"/>
        <w:gridCol w:w="364"/>
        <w:gridCol w:w="364"/>
        <w:gridCol w:w="364"/>
        <w:gridCol w:w="364"/>
        <w:gridCol w:w="364"/>
        <w:gridCol w:w="364"/>
        <w:gridCol w:w="532"/>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645"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Vesting Schedule: </w:t>
            </w:r>
          </w:p>
        </w:tc>
        <w:tc>
          <w:tcPr>
            <w:tcW w:w="3444"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Time-Based RSUs: See Exhibit 1</w:t>
            </w:r>
          </w:p>
        </w:tc>
      </w:tr>
      <w:tr>
        <w:trPr/>
        <w:tc>
          <w:tcPr>
            <w:tcW w:w="1645" w:type="dxa"/>
            <w:gridSpan w:val="9"/>
            <w:tcBorders>
              <w:left w:val="single" w:sz="4" w:space="0" w:color="000000"/>
              <w:bottom w:val="single" w:sz="4" w:space="0" w:color="000000"/>
            </w:tcBorders>
            <w:tcMar>
              <w:top w:w="0" w:type="dxa"/>
              <w:right w:w="0" w:type="dxa"/>
            </w:tcMar>
            <w:vAlign w:val="center"/>
          </w:tcPr>
          <w:p>
            <w:pPr>
              <w:pStyle w:val="TableContents"/>
              <w:bidi w:val="0"/>
              <w:spacing w:before="0" w:after="160"/>
              <w:jc w:val="left"/>
              <w:rPr/>
            </w:pPr>
            <w:r>
              <w:rPr/>
            </w:r>
          </w:p>
        </w:tc>
        <w:tc>
          <w:tcPr>
            <w:tcW w:w="3444"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Performance-Based RSUs: See Exhibit 2 </w:t>
            </w:r>
          </w:p>
        </w:tc>
      </w:tr>
    </w:tbl>
    <w:p>
      <w:pPr>
        <w:pStyle w:val="TextBody"/>
        <w:bidi w:val="0"/>
        <w:spacing w:lineRule="auto" w:line="321" w:before="0" w:after="160"/>
        <w:jc w:val="both"/>
        <w:rPr/>
      </w:pPr>
      <w:r>
        <w:rPr>
          <w:rFonts w:ascii="Times New Roman;serif" w:hAnsi="Times New Roman;serif"/>
          <w:b w:val="false"/>
          <w:color w:val="000000"/>
          <w:sz w:val="20"/>
          <w:u w:val="single"/>
        </w:rPr>
        <w:t>2. Acceptance of Award and Agreement by Participant</w:t>
      </w:r>
      <w:r>
        <w:rPr>
          <w:rFonts w:ascii="Times New Roman;serif" w:hAnsi="Times New Roman;serif"/>
          <w:b w:val="false"/>
          <w:color w:val="000000"/>
          <w:sz w:val="20"/>
        </w:rPr>
        <w:t>.</w:t>
      </w:r>
    </w:p>
    <w:p>
      <w:pPr>
        <w:pStyle w:val="TextBody"/>
        <w:bidi w:val="0"/>
        <w:spacing w:lineRule="auto" w:line="321" w:before="0" w:after="160"/>
        <w:jc w:val="both"/>
        <w:rPr/>
      </w:pPr>
      <w:r>
        <w:rPr>
          <w:rFonts w:ascii="Times New Roman;serif" w:hAnsi="Times New Roman;serif"/>
          <w:b w:val="false"/>
          <w:color w:val="000000"/>
          <w:sz w:val="20"/>
        </w:rPr>
        <w:t>You shall have no rights with respect to the Agreement unless you shall have accepted the Agreement by electronically accepting this Agreement on the Fidelity Investments website prior to the close of business on the sixtieth (60</w:t>
      </w:r>
      <w:r>
        <w:rPr>
          <w:rFonts w:ascii="Times New Roman;serif" w:hAnsi="Times New Roman;serif"/>
          <w:b w:val="false"/>
          <w:color w:val="000000"/>
          <w:sz w:val="13"/>
        </w:rPr>
        <w:t>th</w:t>
      </w:r>
      <w:r>
        <w:rPr>
          <w:rFonts w:ascii="Times New Roman;serif" w:hAnsi="Times New Roman;serif"/>
          <w:b w:val="false"/>
          <w:color w:val="000000"/>
          <w:sz w:val="20"/>
        </w:rPr>
        <w:t xml:space="preserve">) day after the date of your receipt of this Grant Notice. You acknowledge that, for administrative purposes, you may be required to accept the Agreement on the Fidelity Investments Website three separate times with respect to each of the Restricted Stock Unit Types granted as of the Date of Grant. Such acceptances shall be considered separate acceptances of each Restricted Stock Unit Type for purposes of the Fidelity Investments website but shall together constitute one acceptance of the Agreement. For the avoidance of doubt, the number of Restricted Stock Units granted to you as of the Date of Grant shall in no event exceed the quantities indicated in this Grant Notice. </w:t>
      </w:r>
    </w:p>
    <w:p>
      <w:pPr>
        <w:pStyle w:val="TextBody"/>
        <w:bidi w:val="0"/>
        <w:spacing w:lineRule="auto" w:line="321" w:before="0" w:after="16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2</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2</w:t>
                      </w:r>
                      <w:r>
                        <w:rPr>
                          <w:color w:val="000000"/>
                        </w:rPr>
                        <w:t>        </w:t>
                      </w:r>
                    </w:p>
                  </w:txbxContent>
                </v:textbox>
                <w10:wrap type="none"/>
              </v:rect>
            </w:pict>
          </mc:Fallback>
        </mc:AlternateContent>
      </w:r>
    </w:p>
    <w:p>
      <w:pPr>
        <w:pStyle w:val="TextBody"/>
        <w:bidi w:val="0"/>
        <w:spacing w:before="0" w:after="160"/>
        <w:jc w:val="left"/>
        <w:rPr/>
      </w:pPr>
      <w:r>
        <w:rPr/>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have caused the Agreement to be signed on their behalf.</w:t>
      </w:r>
    </w:p>
    <w:p>
      <w:pPr>
        <w:pStyle w:val="TextBody"/>
        <w:bidi w:val="0"/>
        <w:spacing w:before="0" w:after="160"/>
        <w:jc w:val="left"/>
        <w:rPr/>
      </w:pPr>
      <w:r>
        <w:rPr/>
      </w:r>
    </w:p>
    <w:p>
      <w:pPr>
        <w:pStyle w:val="TextBody"/>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before="0" w:after="160"/>
        <w:jc w:val="left"/>
        <w:rPr/>
      </w:pPr>
      <w:r>
        <w:rPr/>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before="0" w:after="160"/>
        <w:jc w:val="left"/>
        <w:rPr/>
      </w:pPr>
      <w:r>
        <w:rPr/>
      </w:r>
    </w:p>
    <w:p>
      <w:pPr>
        <w:pStyle w:val="TextBody"/>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PARTICIPANT</w:t>
      </w:r>
    </w:p>
    <w:p>
      <w:pPr>
        <w:pStyle w:val="TextBody"/>
        <w:bidi w:val="0"/>
        <w:spacing w:before="0" w:after="160"/>
        <w:jc w:val="left"/>
        <w:rPr/>
      </w:pPr>
      <w:r>
        <w:rPr/>
      </w:r>
    </w:p>
    <w:p>
      <w:pPr>
        <w:pStyle w:val="TextBody"/>
        <w:bidi w:val="0"/>
        <w:spacing w:lineRule="auto" w:line="321" w:before="0" w:after="160"/>
        <w:jc w:val="left"/>
        <w:rPr/>
      </w:pPr>
      <w:r>
        <w:rPr>
          <w:rFonts w:ascii="Times New Roman;serif" w:hAnsi="Times New Roman;serif"/>
          <w:b w:val="false"/>
          <w:color w:val="000000"/>
          <w:sz w:val="20"/>
          <w:shd w:fill="FFFFFF" w:val="clear"/>
        </w:rPr>
        <w:t>By: #ParticipantName#</w:t>
      </w:r>
      <w:r>
        <w:rPr>
          <w:color w:val="000000"/>
          <w:u w:val="single"/>
        </w:rPr>
        <w:t>    </w:t>
      </w:r>
      <w:r>
        <w:rPr>
          <w:rFonts w:ascii="Times New Roman;serif" w:hAnsi="Times New Roman;serif"/>
          <w:b w:val="false"/>
          <w:color w:val="000000"/>
          <w:sz w:val="20"/>
          <w:u w:val="single"/>
        </w:rPr>
        <w:t>____________</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SIGNED BY ELECTRONIC SIGNATURE</w:t>
      </w:r>
    </w:p>
    <w:p>
      <w:pPr>
        <w:pStyle w:val="TextBody"/>
        <w:bidi w:val="0"/>
        <w:spacing w:before="0" w:after="160"/>
        <w:jc w:val="left"/>
        <w:rPr/>
      </w:pPr>
      <w:r>
        <w:rPr/>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BY ELECTRONICALLY ACCEPTING THE AWARD, YOU AGREE THAT (i) SUCH ACCEPTANCE CONSTITUTES YOUR ELECTRONIC SIGNATURE IN EXECUTION OF THE AGREEMENT; (ii) YOU AGREE TO BE BOUND BY THE PROVISIONS OF THE PLAN AND THE AGREEMENT; (iii) YOU HAVE REVIEWED THE PLAN AND THE AGREEMENT IN THEIR ENTIRETY, HAVE HAD AN OPPORTUNITY TO OBTAIN THE ADVICE OF COUNSEL PRIOR TO ACCEPTING THE AWARD AND FULLY UNDERSTAND ALL OF THE PROVISIONS OF THE PLAN AND THE AGREEMENT; (iv) YOU HAVE BEEN PROVIDED WITH A COPY OR ELECTRONIC ACCESS TO A COPY OF THE PROSPECTUS FOR THE PLAN; AND (v) YOU HEREBY AGREE TO ACCEPT AS BINDING, CONCLUSIVE AND FINAL ALL DECISIONS OR INTERPRETATIONS OF THE COMMITTEE UPON ANY QUESTIONS ARISING UNDER THE PLAN AND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3</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3</w:t>
                      </w:r>
                      <w:r>
                        <w:rPr>
                          <w:color w:val="000000"/>
                        </w:rPr>
                        <w:t>        </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TERMS AND CONDITIONS</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Grant of Restricted Stock Units</w:t>
      </w:r>
      <w:r>
        <w:rPr>
          <w:rFonts w:ascii="Times New Roman;serif" w:hAnsi="Times New Roman;serif"/>
          <w:b w:val="false"/>
          <w:color w:val="000000"/>
          <w:sz w:val="20"/>
        </w:rPr>
        <w:t>. The Company hereby grants to you, on the Date of Grant, the Award set forth in the Grant Notice. Such Award shall be credited to a separate account maintained for you on the books of the Company (the “</w:t>
      </w:r>
      <w:r>
        <w:rPr>
          <w:rFonts w:ascii="Times New Roman;serif" w:hAnsi="Times New Roman;serif"/>
          <w:b w:val="false"/>
          <w:color w:val="000000"/>
          <w:sz w:val="20"/>
          <w:u w:val="single"/>
        </w:rPr>
        <w:t>Account</w:t>
      </w:r>
      <w:r>
        <w:rPr>
          <w:color w:val="000000"/>
        </w:rPr>
        <w:t>”</w:t>
      </w:r>
      <w:r>
        <w:rPr>
          <w:rFonts w:ascii="Times New Roman;serif" w:hAnsi="Times New Roman;serif"/>
          <w:b w:val="false"/>
          <w:color w:val="000000"/>
          <w:sz w:val="20"/>
        </w:rPr>
        <w:t xml:space="preserve">). On any given date, the value of each Restricted Stock Unit comprising the Award shall equal the Fair Market Value of one share of Common Stock.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Vesting and Settlement</w:t>
      </w:r>
      <w:r>
        <w:rPr>
          <w:rFonts w:ascii="Times New Roman;serif" w:hAnsi="Times New Roman;serif"/>
          <w:b w:val="false"/>
          <w:color w:val="000000"/>
          <w:sz w:val="20"/>
        </w:rPr>
        <w:t>. The Award shall vest and settle in accordance with the terms and conditions set forth in the Exhibit(s) hereto. The day on which a portion of the Award vests in accordance with this Agreement is referred to as a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Incorporation by Reference, Etc</w:t>
      </w:r>
      <w:r>
        <w:rPr>
          <w:rFonts w:ascii="Times New Roman;serif" w:hAnsi="Times New Roman;serif"/>
          <w:b w:val="false"/>
          <w:color w:val="000000"/>
          <w:sz w:val="20"/>
        </w:rPr>
        <w:t>. The provisions of the Plan are hereby incorporated herein by reference. Except as otherwise expressly set forth herein, the Agreement shall be construed in accordance with the provisions of the Plan and any capitalized terms not otherwise defined in the Agreement shall have the definitions set forth in the Plan. The Committee shall have final authority to interpret and construe the Plan and the Agreement and to make any and all determinations under them, and its decision shall be binding and conclusive upon you and your legal representative in respect of any questions arising under the Plan or the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Dividend Equivalents</w:t>
      </w:r>
      <w:r>
        <w:rPr>
          <w:rFonts w:ascii="Times New Roman;serif" w:hAnsi="Times New Roman;serif"/>
          <w:b w:val="false"/>
          <w:color w:val="000000"/>
          <w:sz w:val="20"/>
        </w:rPr>
        <w:t>. If on any date that Restricted Stock Units remain credited to the Account, dividends are paid by the Company on outstanding shares of its Common Stock (“</w:t>
      </w:r>
      <w:r>
        <w:rPr>
          <w:rFonts w:ascii="Times New Roman;serif" w:hAnsi="Times New Roman;serif"/>
          <w:b w:val="false"/>
          <w:color w:val="000000"/>
          <w:sz w:val="20"/>
          <w:u w:val="single"/>
        </w:rPr>
        <w:t>Shares</w:t>
      </w:r>
      <w:r>
        <w:rPr>
          <w:color w:val="000000"/>
        </w:rPr>
        <w:t>”</w:t>
      </w:r>
      <w:r>
        <w:rPr>
          <w:rFonts w:ascii="Times New Roman;serif" w:hAnsi="Times New Roman;serif"/>
          <w:b w:val="false"/>
          <w:color w:val="000000"/>
          <w:sz w:val="20"/>
        </w:rPr>
        <w:t>) (each, a “</w:t>
      </w:r>
      <w:r>
        <w:rPr>
          <w:rFonts w:ascii="Times New Roman;serif" w:hAnsi="Times New Roman;serif"/>
          <w:b w:val="false"/>
          <w:color w:val="000000"/>
          <w:sz w:val="20"/>
          <w:u w:val="single"/>
        </w:rPr>
        <w:t>Dividend Payment Date</w:t>
      </w:r>
      <w:r>
        <w:rPr>
          <w:color w:val="000000"/>
        </w:rPr>
        <w:t>”</w:t>
      </w:r>
      <w:r>
        <w:rPr>
          <w:rFonts w:ascii="Times New Roman;serif" w:hAnsi="Times New Roman;serif"/>
          <w:b w:val="false"/>
          <w:color w:val="000000"/>
          <w:sz w:val="20"/>
        </w:rPr>
        <w:t>), then your Account shall, as of each such Dividend Payment Date, be credited with an amount (each such amount, a “</w:t>
      </w:r>
      <w:r>
        <w:rPr>
          <w:rFonts w:ascii="Times New Roman;serif" w:hAnsi="Times New Roman;serif"/>
          <w:b w:val="false"/>
          <w:color w:val="000000"/>
          <w:sz w:val="20"/>
          <w:u w:val="single"/>
        </w:rPr>
        <w:t>Dividend Equivalent Amount</w:t>
      </w:r>
      <w:r>
        <w:rPr>
          <w:color w:val="000000"/>
        </w:rPr>
        <w:t>”</w:t>
      </w:r>
      <w:r>
        <w:rPr>
          <w:rFonts w:ascii="Times New Roman;serif" w:hAnsi="Times New Roman;serif"/>
          <w:b w:val="false"/>
          <w:color w:val="000000"/>
          <w:sz w:val="20"/>
        </w:rPr>
        <w:t xml:space="preserve">)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issuance and delivery of one share of Common Stock for each Restricted Stock Unit subject to the Award that has vested (“the </w:t>
      </w:r>
      <w:r>
        <w:rPr>
          <w:rFonts w:ascii="Times New Roman;serif" w:hAnsi="Times New Roman;serif"/>
          <w:b w:val="false"/>
          <w:color w:val="000000"/>
          <w:sz w:val="20"/>
          <w:u w:val="single"/>
        </w:rPr>
        <w:t>RSU Shares</w:t>
      </w:r>
      <w:r>
        <w:rPr>
          <w:color w:val="000000"/>
        </w:rPr>
        <w:t>”</w:t>
      </w:r>
      <w:r>
        <w:rPr>
          <w:rFonts w:ascii="Times New Roman;serif" w:hAnsi="Times New Roman;serif"/>
          <w:b w:val="false"/>
          <w:color w:val="000000"/>
          <w:sz w:val="20"/>
        </w:rPr>
        <w:t>), you shall be entitled to receive a payment, without interest, of an amount in cash equal to the accumulated Dividend Equivalent Amounts in respect of the RSU Shares so delivered.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Taxes and Withholding</w:t>
      </w:r>
      <w:r>
        <w:rPr>
          <w:rFonts w:ascii="Times New Roman;serif" w:hAnsi="Times New Roman;serif"/>
          <w:b w:val="false"/>
          <w:color w:val="000000"/>
          <w:sz w:val="20"/>
        </w:rPr>
        <w:t>. Regardless of any action the Company or your employer (the “</w:t>
      </w:r>
      <w:r>
        <w:rPr>
          <w:rFonts w:ascii="Times New Roman;serif" w:hAnsi="Times New Roman;serif"/>
          <w:b w:val="false"/>
          <w:color w:val="000000"/>
          <w:sz w:val="20"/>
          <w:u w:val="single"/>
        </w:rPr>
        <w:t>Employer</w:t>
      </w:r>
      <w:r>
        <w:rPr>
          <w:color w:val="000000"/>
        </w:rPr>
        <w:t>”</w:t>
      </w:r>
      <w:r>
        <w:rPr>
          <w:rFonts w:ascii="Times New Roman;serif" w:hAnsi="Times New Roman;serif"/>
          <w:b w:val="false"/>
          <w:color w:val="000000"/>
          <w:sz w:val="20"/>
        </w:rPr>
        <w:t>) takes with respect to any or all income tax, social insurance, payroll tax, payment on account or other tax-related items related to your participation in the Plan and legally applicable to you or deemed by the Company or the Employer to be an appropriate charge to you even if technically due by the Company or the Employer (“</w:t>
      </w:r>
      <w:r>
        <w:rPr>
          <w:rFonts w:ascii="Times New Roman;serif" w:hAnsi="Times New Roman;serif"/>
          <w:b w:val="false"/>
          <w:color w:val="000000"/>
          <w:sz w:val="20"/>
          <w:u w:val="single"/>
        </w:rPr>
        <w:t>Tax-Related Items</w:t>
      </w:r>
      <w:r>
        <w:rPr>
          <w:color w:val="000000"/>
        </w:rPr>
        <w:t>”</w:t>
      </w:r>
      <w:r>
        <w:rPr>
          <w:rFonts w:ascii="Times New Roman;serif" w:hAnsi="Times New Roman;serif"/>
          <w:b w:val="false"/>
          <w:color w:val="000000"/>
          <w:sz w:val="20"/>
        </w:rPr>
        <w:t>), you acknowledge that the ultimate liability for all Tax-Related Items is and remains your responsibility and may exceed the amount actually withheld by the Company or the Employer. You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Units, the issuance of RSU Shares upon vesting/settlement of the Restricted Stock Units, the subsequent sale of RSU Shares acquired pursuant to such issuance and the receipt of any dividends and/or any dividend equivalents; and (2) do not commit to and are under no obligation to structure the terms of the grant or any aspect of the Restricted Stock Units to reduce or eliminate your liability for Tax-Related Items or achieve any particular tax result. Further, if you have become subject to tax in more than one jurisdiction between the date of grant and the date of any relevant taxable event, you acknowledge that the Company and/or the Employer (or former employer, as applicable) may be required to withhold or account for Tax-Related Items in more than one jurisdiction.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Upon the settlement of the Award in accordance herewith in RSU Shares, you shall be required, as a condition of such settlement, to pay to the Company by check or wire transfer the amount of any income, payroll, or social tax withholding that the Company determines is required; provided that you may elect to satisfy such tax withholding obligation by having the Company withhold from the settlement that number of RSU Shares having a Fair Market Value equal to the amount of such withholding. To avoid negative accounting treatment, the Company may withhold or account for Tax-Related Items by considering applicable minimum statutory withholding amounts or other applicable withholding rates. If the obligation for Tax-Related Items is satisfied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4</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4</w:t>
                      </w:r>
                      <w:r>
                        <w:rPr>
                          <w:color w:val="000000"/>
                        </w:rPr>
                        <w:t>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by withholding in RSU Shares, for tax purposes, you are deemed to have been issued the full number of Shares subject to the vested Restricted Stock Units, notwithstanding that a number of the RSU Shares are held back solely for the purpose of paying the Tax-Related Items due as a result of any aspect of your participation in the Plan.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Forfeiture</w:t>
      </w:r>
      <w:r>
        <w:rPr>
          <w:rFonts w:ascii="Times New Roman;serif" w:hAnsi="Times New Roman;serif"/>
          <w:b w:val="false"/>
          <w:color w:val="000000"/>
          <w:sz w:val="20"/>
        </w:rPr>
        <w:t>. Except as otherwise provided in the Agreement, the Plan, or as set forth in any employment, consulting or other agreement between the Company or an Affiliate and you in effect on the date hereof, if your employment with the Company terminates prior to any Vesting Date for any reason, all remaining Restricted Stock Units credited to the Account shall be forfeited without further consideration to you. In addition, the Award or any RSU Shares shall be subject to cancellation, forfeiture or recoupment as determined by the Committee upon the occurrence of a violation of material Company policies, misstatement of financial or other material information about the Company, fraud, misconduct, breach of noncompetition, confidentiality, nonsolicitation, noninterference, corporate property protection, or other agreements, including any confidentiality and restrictive covenant agreement, that may apply to you, or other conduct by you that the Committee determines is detrimental to the business or reputation of the Company and its Affiliates, including facts and circumstances discovered after termination of service; provided, however, that this sentence will only be applied to you to the extent that it does not violate applicable law. Notwithstanding anything else herein to the contrary, in consideration for the grant of this Award, you agree to be subject to (i) any applicable compensation, clawback, recoupment or similar policies of the Company or its Affiliates in effect from time to time, whether adopted before or after the Date of Grant, including without limitation the ExlService Holdings, Inc. Clawback Policy, and (ii) such other clawback rules as may be required by applicable law ((i) and (ii) together, the “Clawback Provisions.”) You understand that the Clawback Provisions are not limited to amounts payable in connection with the Award.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Restrictions</w:t>
      </w:r>
      <w:r>
        <w:rPr>
          <w:rFonts w:ascii="Times New Roman;serif" w:hAnsi="Times New Roman;serif"/>
          <w:b w:val="false"/>
          <w:color w:val="000000"/>
          <w:sz w:val="20"/>
        </w:rPr>
        <w:t>. The Award granted hereunder may not be sold, pledged or otherwise transferred (other than by will or the laws of descent and distribution) and may not be subject to lien, garnishment, attachment or other legal process. You acknowledge and agree that, with respect to each Restricted Stock Unit credited to your Account, you have no voting rights with respect to the Company unless and until each such Restricted Stock Unit is settled in RSU Shares pursuant to the Exhibit(s).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8.</w:t>
      </w:r>
      <w:r>
        <w:rPr>
          <w:rFonts w:ascii="Times New Roman;serif" w:hAnsi="Times New Roman;serif"/>
          <w:b w:val="false"/>
          <w:color w:val="000000"/>
          <w:sz w:val="20"/>
          <w:u w:val="single"/>
        </w:rPr>
        <w:t>Rights as a Stockholder</w:t>
      </w:r>
      <w:r>
        <w:rPr>
          <w:rFonts w:ascii="Times New Roman;serif" w:hAnsi="Times New Roman;serif"/>
          <w:b w:val="false"/>
          <w:color w:val="000000"/>
          <w:sz w:val="20"/>
        </w:rPr>
        <w:t>. Upon and following each Vesting Date (as defined in the Exhibit(s)), you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you shall not be deemed for any purpose to be the owner of shares of Common Stock underlying the Restricted Stock Units.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Miscellaneous</w:t>
      </w:r>
      <w:r>
        <w:rPr>
          <w:rFonts w:ascii="Times New Roman;serif" w:hAnsi="Times New Roman;serif"/>
          <w:b w:val="false"/>
          <w:color w:val="000000"/>
          <w:sz w:val="20"/>
        </w:rPr>
        <w:t>.</w:t>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 Assets</w:t>
      </w:r>
      <w:r>
        <w:rPr>
          <w:rFonts w:ascii="Times New Roman;serif" w:hAnsi="Times New Roman;serif"/>
          <w:b w:val="false"/>
          <w:color w:val="000000"/>
          <w:sz w:val="20"/>
        </w:rPr>
        <w:t>. All amounts credited to the Account under the Agreement shall continue for all purposes to be part of the general assets of the Company. Your interest in the Account shall make you only a general, unsecured creditor of the Company.</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Notices</w:t>
      </w:r>
      <w:r>
        <w:rPr>
          <w:rFonts w:ascii="Times New Roman;serif" w:hAnsi="Times New Roman;serif"/>
          <w:b w:val="false"/>
          <w:color w:val="000000"/>
          <w:sz w:val="20"/>
        </w:rPr>
        <w:t>. All notices, demands and other communications provided for or permitted hereunder shall be made in writing and shall be by registered or certified first-class mail, return receipt requested, telecopier, courier service or personal delivery: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to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ExlService Holdings, Inc.</w:t>
        <w:br/>
        <w:t>320 Park Avenue, 29th Floor</w:t>
        <w:br/>
        <w:t>New York, NY 10022</w:t>
        <w:br/>
        <w:t>Attention: General Counsel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to you, at your last known address on file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5</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5</w:t>
                      </w:r>
                      <w:r>
                        <w:rPr>
                          <w:color w:val="000000"/>
                        </w:rPr>
                        <w:t>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Severability</w:t>
      </w:r>
      <w:r>
        <w:rPr>
          <w:rFonts w:ascii="Times New Roman;serif" w:hAnsi="Times New Roman;serif"/>
          <w:b w:val="false"/>
          <w:color w:val="000000"/>
          <w:sz w:val="20"/>
        </w:rPr>
        <w:t>. The invalidity or unenforceability of any provision of the Agreement shall not affect the validity or enforceability of any other provision of the Agreement, and each other provision of the Agreement shall be severable and enforceable to the extent permitted by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No Rights to Employment</w:t>
      </w:r>
      <w:r>
        <w:rPr>
          <w:rFonts w:ascii="Times New Roman;serif" w:hAnsi="Times New Roman;serif"/>
          <w:b w:val="false"/>
          <w:color w:val="000000"/>
          <w:sz w:val="20"/>
        </w:rPr>
        <w:t>. Nothing contained in the Agreement shall be construed as giving you any right to be retained, in any position, as an employee, consultant or director of the Company (or its Affiliates) or shall interfere with or restrict in any way the right of the Company (or its Affiliates), which are hereby expressly reserved, to remove, terminate or discharge you at any time for any reason whatsoever.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Beneficiary</w:t>
      </w:r>
      <w:r>
        <w:rPr>
          <w:rFonts w:ascii="Times New Roman;serif" w:hAnsi="Times New Roman;serif"/>
          <w:b w:val="false"/>
          <w:color w:val="000000"/>
          <w:sz w:val="20"/>
        </w:rPr>
        <w:t>. You may file with the Committee a written designation of a beneficiary on such form as may be prescribed by the Committee and may, from time to time, amend or revoke such designation. If no designated beneficiary survives you, your estate shall be deemed to be your beneficiary.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Successors</w:t>
      </w:r>
      <w:r>
        <w:rPr>
          <w:rFonts w:ascii="Times New Roman;serif" w:hAnsi="Times New Roman;serif"/>
          <w:b w:val="false"/>
          <w:color w:val="000000"/>
          <w:sz w:val="20"/>
        </w:rPr>
        <w:t>. The terms of the Agreement shall be binding upon and inure to the benefit of the Company and its successors and assigns, and to you and your beneficiaries, executors, administrators, heirs and successors.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i/>
          <w:color w:val="000000"/>
          <w:sz w:val="20"/>
        </w:rPr>
        <w:t>g.</w:t>
      </w:r>
      <w:r>
        <w:rPr>
          <w:rFonts w:ascii="Times New Roman;serif" w:hAnsi="Times New Roman;serif"/>
          <w:b/>
          <w:i/>
          <w:color w:val="000000"/>
          <w:sz w:val="20"/>
          <w:u w:val="single"/>
        </w:rPr>
        <w:t>Personal Data</w:t>
      </w:r>
      <w:r>
        <w:rPr>
          <w:rFonts w:ascii="Times New Roman;serif" w:hAnsi="Times New Roman;serif"/>
          <w:b w:val="false"/>
          <w:color w:val="000000"/>
          <w:sz w:val="20"/>
        </w:rPr>
        <w:t xml:space="preserve">. </w:t>
      </w:r>
      <w:r>
        <w:rPr>
          <w:rFonts w:ascii="Times New Roman;serif" w:hAnsi="Times New Roman;serif"/>
          <w:b/>
          <w:i/>
          <w:color w:val="000000"/>
          <w:sz w:val="20"/>
        </w:rPr>
        <w:t>You hereby explicitly and unambiguously consents to the collection, use and transfer, in electronic or other form, of your personal data as described in this Agreement by and among, as applicable, the Employer, the Company and any Affiliate of the Company for the exclusive purpose of implementing, administering and managing your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You understands that the Company and the Employer may hold certain personal information about you, including, but not limited to, your name, home address and telephone number, date of birth, social insurance or other identification number, salary, nationality, job title, any Shares or directorships held in the Company, details of all Restricted Stock Units or any other entitlement to Shares awarded, canceled, exercised, vested, unvested or outstanding in your favor, for the exclusive purpose of implementing, administering and managing the Plan (“</w:t>
      </w:r>
      <w:r>
        <w:rPr>
          <w:rFonts w:ascii="Times New Roman;serif" w:hAnsi="Times New Roman;serif"/>
          <w:b/>
          <w:i/>
          <w:color w:val="000000"/>
          <w:sz w:val="20"/>
          <w:u w:val="single"/>
        </w:rPr>
        <w:t>Data</w:t>
      </w:r>
      <w:r>
        <w:rPr>
          <w:color w:val="000000"/>
        </w:rPr>
        <w:t>”</w:t>
      </w:r>
      <w:r>
        <w:rPr>
          <w:rFonts w:ascii="Times New Roman;serif" w:hAnsi="Times New Roman;serif"/>
          <w:b/>
          <w:i/>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You understand that Data will be transferred to any third party assisting the Company with the implementation, administration and management of the Plan. You understand that the recipients of the Data may be located in your country, or elsewhere, and that the recipients’ country may have different data privacy laws and protections than your country. You understand that you may request a list with the names and addresses of any potential recipients of the Data by contacting the your local human resources representative. You authorize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refusal or withdrawal of consent may affect your ability to participate in the Plan. For more information on the consequences of your refusal to consent or withdrawal of consent, you understand that you may contact your local human resources representative.</w:t>
      </w:r>
    </w:p>
    <w:p>
      <w:pPr>
        <w:pStyle w:val="TextBody"/>
        <w:bidi w:val="0"/>
        <w:spacing w:before="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6</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6</w:t>
                      </w: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0"/>
        </w:rPr>
        <w:t>h.</w:t>
      </w:r>
      <w:r>
        <w:rPr>
          <w:rFonts w:ascii="Times New Roman;serif" w:hAnsi="Times New Roman;serif"/>
          <w:b w:val="false"/>
          <w:color w:val="000000"/>
          <w:sz w:val="20"/>
          <w:u w:val="single"/>
        </w:rPr>
        <w:t>Nature of Grant</w:t>
      </w:r>
      <w:r>
        <w:rPr>
          <w:rFonts w:ascii="Times New Roman;serif" w:hAnsi="Times New Roman;serif"/>
          <w:b w:val="false"/>
          <w:color w:val="000000"/>
          <w:sz w:val="20"/>
        </w:rPr>
        <w:t xml:space="preserve">. By signing the Agreement, you acknowledge and agree that: </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Plan is established voluntarily by the Company, it is discretionary in nature, and it may be modified, amended, suspended or terminated by the Company at any time;</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iii.all decisions with respect to future grants, if any, will be at the sole discretion of the Company;</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iv.your participation in the Plan is voluntary;</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v.your participation in the Plan shall not create a right to any employment with the Employer and shall not interfere with the ability of the Employer to terminate your employment relationship, if any, at any time;</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vi.the Restricted Stock Units and the RSU Shares subject to the Restricted Stock Units are an extraordinary item that does not constitute compensation of any kind for services of any kind rendered to the Company or the Employer, and which is outside the scope of your employment or service contract, if any; </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vii.the Restricted Stock Units and the RSU Shares subject to the Restricted Stock Units are not intended to replace any pension rights or compensation;</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viii.the Restricted Stock Units and the RSU Shares subject to the Restricted Stock Units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Affiliate of the Company;</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ix.the future value of the RSU Shares is unknown and cannot be predicted with certainty;</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x.in consideration of the grant of the Restricted Stock Units, no claim or entitlement to compensation or damages shall arise from forfeiture of the Restricted Stock Units resulting from termination of your employment (for any reason whatsoever and whether or not in breach of local labor laws) and you irrevocably release the Company and the Employer from any such claim that may arise; if, notwithstanding the foregoing, any such claim is found by a court of competent jurisdiction to have arisen, you shall be deemed irrevocably to have waived your right to pursue or seek remedy for any such claim or entitlement;</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xi.in the event of termination of your employment (whether or not in breach of local labor laws), your right to receive Restricted Stock Units under the Plan and to vest in such Restricted Stock Units, if any, will terminate effective as of the date that you are no longer actively providing services and will not be extended by any notice period mandated under local law (e.g., active service would not include a period of “garden leave” or similar period pursuant to local law); the Committee shall have the exclusive discretion to determine when you are no longer actively employed for purposes of the Restricted Stock Units; and</w:t>
      </w:r>
    </w:p>
    <w:p>
      <w:pPr>
        <w:pStyle w:val="TextBody"/>
        <w:bidi w:val="0"/>
        <w:spacing w:lineRule="auto" w:line="321"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xii.the Restricted Stock Units and the benefits under the Plan, if any, will not automatically transfer to another company in the case of a merger, take-over or transfer of liability.</w:t>
      </w:r>
    </w:p>
    <w:p>
      <w:pPr>
        <w:pStyle w:val="TextBody"/>
        <w:bidi w:val="0"/>
        <w:spacing w:before="0" w:after="0"/>
        <w:jc w:val="both"/>
        <w:rPr/>
      </w:pPr>
      <w:r>
        <w:rPr/>
      </w:r>
    </w:p>
    <w:p>
      <w:pPr>
        <w:pStyle w:val="TextBody"/>
        <w:bidi w:val="0"/>
        <w:spacing w:lineRule="auto" w:line="321" w:before="0" w:after="160"/>
        <w:ind w:left="0" w:right="0" w:hanging="360"/>
        <w:jc w:val="both"/>
        <w:rPr/>
      </w:pPr>
      <w:r>
        <w:rPr>
          <w:rFonts w:ascii="Aptos;sans-serif" w:hAnsi="Aptos;sans-serif"/>
          <w:b w:val="false"/>
          <w:color w:val="000000"/>
          <w:sz w:val="24"/>
        </w:rPr>
        <w:t>i.</w:t>
      </w:r>
      <w:r>
        <w:rPr>
          <w:rFonts w:ascii="Times New Roman;serif" w:hAnsi="Times New Roman;serif"/>
          <w:b w:val="false"/>
          <w:color w:val="000000"/>
          <w:sz w:val="20"/>
          <w:u w:val="single"/>
        </w:rPr>
        <w:t>Language</w:t>
      </w:r>
      <w:r>
        <w:rPr>
          <w:rFonts w:ascii="Times New Roman;serif" w:hAnsi="Times New Roman;serif"/>
          <w:b w:val="false"/>
          <w:color w:val="000000"/>
          <w:sz w:val="20"/>
        </w:rPr>
        <w:t xml:space="preserve">. If you have received this Agreement or any other document related to the Plan translated into a language other than English and if the meaning of the translated version is different than the English version, the English version will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7</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7</w:t>
                      </w: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0"/>
        </w:rPr>
        <w:t>j.</w:t>
      </w:r>
      <w:r>
        <w:rPr>
          <w:rFonts w:ascii="Times New Roman;serif" w:hAnsi="Times New Roman;serif"/>
          <w:b w:val="false"/>
          <w:color w:val="000000"/>
          <w:sz w:val="20"/>
          <w:u w:val="single"/>
        </w:rPr>
        <w:t>Appendix</w:t>
      </w:r>
      <w:r>
        <w:rPr>
          <w:rFonts w:ascii="Times New Roman;serif" w:hAnsi="Times New Roman;serif"/>
          <w:b w:val="false"/>
          <w:color w:val="000000"/>
          <w:sz w:val="20"/>
        </w:rPr>
        <w:t>. Notwithstanding any provision herein, your participation in the Plan shall be subject to any special terms and conditions as set forth in the appendix for your country of residence, if any (the “</w:t>
      </w:r>
      <w:r>
        <w:rPr>
          <w:rFonts w:ascii="Times New Roman;serif" w:hAnsi="Times New Roman;serif"/>
          <w:b w:val="false"/>
          <w:color w:val="000000"/>
          <w:sz w:val="20"/>
          <w:u w:val="single"/>
        </w:rPr>
        <w:t>Appendix</w:t>
      </w:r>
      <w:r>
        <w:rPr>
          <w:color w:val="000000"/>
        </w:rPr>
        <w:t>”</w:t>
      </w:r>
      <w:r>
        <w:rPr>
          <w:rFonts w:ascii="Times New Roman;serif" w:hAnsi="Times New Roman;serif"/>
          <w:b w:val="false"/>
          <w:color w:val="000000"/>
          <w:sz w:val="20"/>
        </w:rPr>
        <w:t xml:space="preserve">). Moreover, if you relocate to one of the countries included in the Appendix, the special terms and conditions for such country will apply to you, to the extent the Company determines that the application of such terms and conditions is necessary or advisable in order to comply with local law or facilitate the administration of the Plan. The Appendix, if any, constitutes part of this Agreement. </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0"/>
        </w:rPr>
        <w:t>k.</w:t>
      </w:r>
      <w:r>
        <w:rPr>
          <w:rFonts w:ascii="Times New Roman;serif" w:hAnsi="Times New Roman;serif"/>
          <w:b w:val="false"/>
          <w:color w:val="000000"/>
          <w:sz w:val="20"/>
          <w:u w:val="single"/>
        </w:rPr>
        <w:t>Imposition of Other Requirements</w:t>
      </w:r>
      <w:r>
        <w:rPr>
          <w:rFonts w:ascii="Times New Roman;serif" w:hAnsi="Times New Roman;serif"/>
          <w:b w:val="false"/>
          <w:color w:val="000000"/>
          <w:sz w:val="20"/>
        </w:rPr>
        <w:t>. The Company reserves the right to impose other requirements on your participation in the Plan, on the Restricted Stock Units and on any RSU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l.</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The Agreement, the Appendix hereto, if any, and the Plan contain the entire agreement and understanding of the parties hereto with respect to the subject matter contained herein and supersede all prior communications, representations and negotiations in respect thereto. Except as expressly set forth in the Plan or as otherwise provided in the Agreement, no change, modification or waiver of any provision of the Agreement shall be valid unless the same is in writing and signed by the parties hereto.</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0"/>
        </w:rPr>
        <w:t>m.</w:t>
      </w:r>
      <w:r>
        <w:rPr>
          <w:rFonts w:ascii="Times New Roman;serif" w:hAnsi="Times New Roman;serif"/>
          <w:b w:val="false"/>
          <w:color w:val="000000"/>
          <w:sz w:val="20"/>
          <w:u w:val="single"/>
        </w:rPr>
        <w:t>Governing Law and Venue</w:t>
      </w:r>
      <w:r>
        <w:rPr>
          <w:rFonts w:ascii="Times New Roman;serif" w:hAnsi="Times New Roman;serif"/>
          <w:b w:val="false"/>
          <w:color w:val="000000"/>
          <w:sz w:val="20"/>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For purposes of litigating any dispute that arises directly or indirectly from the relationship of the parties evidenced by the Restricted Stock Units or this Agreement, the parties hereby submit to and consent to the exclusive jurisdiction of the State of New York, and agree that such litigation shall be conducted only in the courts of the State of New York, or the federal courts for the United States for the Southern District of New York, and no other courts, where this grant is made and/or to be performed.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n.</w:t>
      </w:r>
      <w:r>
        <w:rPr>
          <w:rFonts w:ascii="Times New Roman;serif" w:hAnsi="Times New Roman;serif"/>
          <w:b w:val="false"/>
          <w:color w:val="000000"/>
          <w:sz w:val="20"/>
          <w:u w:val="single"/>
        </w:rPr>
        <w:t>JURY TRIAL WAIVER</w:t>
      </w:r>
      <w:r>
        <w:rPr>
          <w:rFonts w:ascii="Times New Roman;serif" w:hAnsi="Times New Roman;serif"/>
          <w:b w:val="false"/>
          <w:color w:val="000000"/>
          <w:sz w:val="20"/>
        </w:rPr>
        <w:t>. THE PARTIES EXPRESSLY AND KNOWINGLY WAIVE ANY RIGHT TO A JURY TRIAL IN THE EVENT ANY ACTION ARISING UNDER OR IN CONNECTION WITH THIS AGREEMENT IS LITIGATED OR HEARD IN ANY COURT.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o.</w:t>
      </w:r>
      <w:r>
        <w:rPr>
          <w:rFonts w:ascii="Times New Roman;serif" w:hAnsi="Times New Roman;serif"/>
          <w:b w:val="false"/>
          <w:color w:val="000000"/>
          <w:sz w:val="20"/>
          <w:u w:val="single"/>
        </w:rPr>
        <w:t>Electronic Delivery and Acceptance</w:t>
      </w:r>
      <w:r>
        <w:rPr>
          <w:rFonts w:ascii="Times New Roman;serif" w:hAnsi="Times New Roman;serif"/>
          <w:b w:val="false"/>
          <w:color w:val="000000"/>
          <w:sz w:val="20"/>
        </w:rPr>
        <w:t>. The Company has decided to deliver documents related to current or future participation in the Plan by electronic means and to request your consent to participate in the Plan by electronic means. You hereby consent to receive such documents by electronic delivery and agree to participate in the Plan through the current plan administrator’s on-line system, or any other on-line system or electronic means that the Company may decide, in its sole discretion, to use in the future.</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0"/>
        </w:rPr>
        <w:t>p.</w:t>
      </w:r>
      <w:r>
        <w:rPr>
          <w:rFonts w:ascii="Times New Roman;serif" w:hAnsi="Times New Roman;serif"/>
          <w:b w:val="false"/>
          <w:color w:val="000000"/>
          <w:sz w:val="20"/>
          <w:u w:val="single"/>
        </w:rPr>
        <w:t>Headings</w:t>
      </w:r>
      <w:r>
        <w:rPr>
          <w:rFonts w:ascii="Times New Roman;serif" w:hAnsi="Times New Roman;serif"/>
          <w:b w:val="false"/>
          <w:color w:val="000000"/>
          <w:sz w:val="20"/>
        </w:rPr>
        <w:t>. The headings of the Sections of the Agreement are provided for convenience only and are not to serve as a basis for interpretation or construction, and shall not constitute a part, of the Agreement.</w:t>
      </w:r>
    </w:p>
    <w:p>
      <w:pPr>
        <w:pStyle w:val="TextBody"/>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8</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8</w:t>
                      </w:r>
                      <w:r>
                        <w:rPr>
                          <w:color w:val="000000"/>
                        </w:rPr>
                        <w:t>        </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Exhibit 1</w: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Time-Based Restricted Stock Units – Vesting and Settlement Terms</w:t>
      </w:r>
    </w:p>
    <w:p>
      <w:pPr>
        <w:pStyle w:val="TextBody"/>
        <w:bidi w:val="0"/>
        <w:spacing w:lineRule="auto" w:line="288" w:before="0" w:after="240"/>
        <w:ind w:left="0" w:right="0" w:hanging="360"/>
        <w:jc w:val="both"/>
        <w:rPr/>
      </w:pPr>
      <w:r>
        <w:rPr>
          <w:rFonts w:ascii="Times New Roman;serif" w:hAnsi="Times New Roman;serif"/>
          <w:b/>
          <w:color w:val="000000"/>
          <w:sz w:val="20"/>
        </w:rPr>
        <w:t>1.</w:t>
      </w:r>
      <w:r>
        <w:rPr>
          <w:rFonts w:ascii="Times New Roman;serif" w:hAnsi="Times New Roman;serif"/>
          <w:b/>
          <w:color w:val="000000"/>
          <w:sz w:val="20"/>
          <w:u w:val="single"/>
        </w:rPr>
        <w:t>Vesting</w:t>
      </w:r>
      <w:r>
        <w:rPr>
          <w:rFonts w:ascii="Times New Roman;serif" w:hAnsi="Times New Roman;serif"/>
          <w:b w:val="false"/>
          <w:color w:val="000000"/>
          <w:sz w:val="20"/>
        </w:rPr>
        <w:t>. Except as otherwise provided herein, subject to your continued employment with the Company (or its Affiliates) through each applicable Vesting Date listed in the chart below (the “</w:t>
      </w:r>
      <w:r>
        <w:rPr>
          <w:rFonts w:ascii="Times New Roman;serif" w:hAnsi="Times New Roman;serif"/>
          <w:b w:val="false"/>
          <w:color w:val="000000"/>
          <w:sz w:val="20"/>
          <w:u w:val="single"/>
        </w:rPr>
        <w:t>Vesting Chart</w:t>
      </w:r>
      <w:r>
        <w:rPr>
          <w:color w:val="000000"/>
        </w:rPr>
        <w:t>”</w:t>
      </w:r>
      <w:r>
        <w:rPr>
          <w:rFonts w:ascii="Times New Roman;serif" w:hAnsi="Times New Roman;serif"/>
          <w:b w:val="false"/>
          <w:color w:val="000000"/>
          <w:sz w:val="20"/>
        </w:rPr>
        <w:t>), the Time-Based RSUs awarded to you pursuant to the Grant Notice shall become vested as follows:</w:t>
      </w:r>
    </w:p>
    <w:tbl>
      <w:tblPr>
        <w:tblW w:w="6029" w:type="dxa"/>
        <w:jc w:val="left"/>
        <w:tblInd w:w="0" w:type="dxa"/>
        <w:tblLayout w:type="fixed"/>
        <w:tblCellMar>
          <w:top w:w="28" w:type="dxa"/>
          <w:left w:w="28" w:type="dxa"/>
          <w:bottom w:w="28" w:type="dxa"/>
          <w:right w:w="28" w:type="dxa"/>
        </w:tblCellMar>
      </w:tblPr>
      <w:tblGrid>
        <w:gridCol w:w="1130"/>
        <w:gridCol w:w="993"/>
        <w:gridCol w:w="996"/>
        <w:gridCol w:w="849"/>
        <w:gridCol w:w="849"/>
        <w:gridCol w:w="1212"/>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Percent of Time-Based RSUs Vesting</w:t>
            </w:r>
          </w:p>
        </w:tc>
        <w:tc>
          <w:tcPr>
            <w:tcW w:w="2910"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color w:val="000000"/>
              </w:rPr>
              <w:t>“</w:t>
            </w:r>
            <w:r>
              <w:rPr>
                <w:rFonts w:ascii="Times New Roman;serif" w:hAnsi="Times New Roman;serif"/>
                <w:b w:val="false"/>
                <w:color w:val="000000"/>
                <w:sz w:val="20"/>
                <w:u w:val="single"/>
              </w:rPr>
              <w:t>Vesting Date</w:t>
            </w:r>
            <w:r>
              <w:rPr>
                <w:color w:val="000000"/>
              </w:rPr>
              <w:t>”</w:t>
            </w:r>
          </w:p>
        </w:tc>
      </w:tr>
      <w:tr>
        <w:trPr/>
        <w:tc>
          <w:tcPr>
            <w:tcW w:w="311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9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Anniversary of Date of Grant]</w:t>
            </w:r>
          </w:p>
        </w:tc>
      </w:tr>
      <w:tr>
        <w:trPr/>
        <w:tc>
          <w:tcPr>
            <w:tcW w:w="311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9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Anniversary of Date of Grant]</w:t>
            </w:r>
          </w:p>
        </w:tc>
      </w:tr>
      <w:tr>
        <w:trPr/>
        <w:tc>
          <w:tcPr>
            <w:tcW w:w="311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9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Anniversary of Date of Grant]</w:t>
            </w:r>
          </w:p>
        </w:tc>
      </w:tr>
      <w:tr>
        <w:trPr/>
        <w:tc>
          <w:tcPr>
            <w:tcW w:w="3119"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9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Anniversary of Date of Grant]</w:t>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Change in Control</w:t>
      </w:r>
      <w:r>
        <w:rPr>
          <w:rFonts w:ascii="Times New Roman;serif" w:hAnsi="Times New Roman;serif"/>
          <w:b w:val="false"/>
          <w:color w:val="000000"/>
          <w:sz w:val="20"/>
        </w:rPr>
        <w:t>. (i) Notwithstanding the foregoing, in the event that a “</w:t>
      </w:r>
      <w:r>
        <w:rPr>
          <w:rFonts w:ascii="Times New Roman;serif" w:hAnsi="Times New Roman;serif"/>
          <w:b w:val="false"/>
          <w:color w:val="000000"/>
          <w:sz w:val="20"/>
          <w:u w:val="single"/>
        </w:rPr>
        <w:t>Change in Control</w:t>
      </w:r>
      <w:r>
        <w:rPr>
          <w:color w:val="000000"/>
        </w:rPr>
        <w:t xml:space="preserve">” </w:t>
      </w:r>
      <w:r>
        <w:rPr>
          <w:rFonts w:ascii="Times New Roman;serif" w:hAnsi="Times New Roman;serif"/>
          <w:b w:val="false"/>
          <w:color w:val="000000"/>
          <w:sz w:val="20"/>
        </w:rPr>
        <w:t>(which for purposes of this Exhibit shall have the meaning set forth in the Plan as modified by the language at the end of this Exhibit) occurs at a time when any portion of the Time-Based RSUs remains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 Any remaining unvested Time-Based RSUs shall remain subject to the vesting schedule described above.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(ii) In addition: (1) in the event that your employment by the Company is terminated by the Company without Cause (as defined in the Plan) (x) at any time following a Change in Control or (y) in specific contemplation of a Change in Control or (2) in the event you resign with “Good Reason” (as defined below) at any time following a Change in Control, you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(iii) The term “Good Reason” shall have the meaning set forth in any employment, consulting or other agreement between the Company or an Affiliate and you in effect on the date hereof, or, in the absence of such definition therein, the occurrence, without your prior written consent, of any of the following events: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(1)a substantial reduction of your duties or responsibilities, or Participant being required to report to any person other than the Board or the Company’s Chief Executive Officer or President; provided that, if there is a Change in Control and you retain a similar title and similar duties with the Company or any entity that acquires the Company (or any affiliate or subsidiary of such entity) following such Change in Control, any change in your title shall not a constitute a significant reduction of your duties and authorities hereunder;</w:t>
      </w:r>
    </w:p>
    <w:p>
      <w:pPr>
        <w:pStyle w:val="TextBody"/>
        <w:bidi w:val="0"/>
        <w:spacing w:before="0" w:after="0"/>
        <w:jc w:val="both"/>
        <w:rPr/>
      </w:pPr>
      <w:r>
        <w:rPr/>
      </w:r>
    </w:p>
    <w:p>
      <w:pPr>
        <w:pStyle w:val="TextBody"/>
        <w:bidi w:val="0"/>
        <w:spacing w:lineRule="auto" w:line="288"/>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(2)your job title is adversely changed, provided that if there is a Change in Control and you retain a similar title and similar duties with the Company or any entity that acquires the Company (or any affiliate or subsidiary of such entity)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9</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9</w:t>
                      </w:r>
                      <w:r>
                        <w:rPr>
                          <w:color w:val="000000"/>
                        </w:rPr>
                        <w:t>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such Change in Control, any change in your title shall not constitute a significant reduction of your duties and authorities hereunder;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(3)following a Change in Control, a change in the office or location where you are based of more than thirty (30) miles, which new location is more than thirty (30) miles from your primary residence; or</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(4)following a Change in Control, a breach by the Company of any material term of any employment, consulting, or similar agreement between the Company and you;</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provided that, a termination by you with Good Reason shall be effective only if, within thirty (30) days following your first becoming aware of the circumstances giving rise to Good Reason, you deliver a “notice of termination” for Good Reason to the Company, and the Company within fifteen (15) days following its receipt of such notification has failed to cure the circumstances giving rise to Good Reason.</w:t>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Death; Disability</w:t>
      </w:r>
      <w:r>
        <w:rPr>
          <w:rFonts w:ascii="Times New Roman;serif" w:hAnsi="Times New Roman;serif"/>
          <w:b w:val="false"/>
          <w:color w:val="000000"/>
          <w:sz w:val="20"/>
        </w:rPr>
        <w:t xml:space="preserve">. Notwithstanding the foregoing, in the event your employment with the Company (or its Affiliates) is terminated due to your death or Disability at a time when any portion of the Time-Based RSUs remains unvested, the portion of the Time-Based RSUs which is unvested shall become immediately vested effective as of the date of termination due to death or Disability.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Retirement</w:t>
      </w:r>
      <w:r>
        <w:rPr>
          <w:rFonts w:ascii="Times New Roman;serif" w:hAnsi="Times New Roman;serif"/>
          <w:b w:val="false"/>
          <w:color w:val="000000"/>
          <w:sz w:val="20"/>
        </w:rPr>
        <w:t>. Notwithstanding the foregoing, and assuming that such Time-Based RSUs have been outstanding for at least six (6) months from the Date of Grant, in the event that your employment with the Company (or its Affiliates) is terminated, other than by the Company (or its Affiliates) for Cause (as defined in the Plan),</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i.after having attained age [sixty (60)] with at least [ten (10) year]s of service with the Company (or its Affiliates) at a time when any portion of the Time-Based RSUs remains unvested, then [one-hundred percent (100%)] of that portion of your Time-Based RSUs (and only that portion) that is scheduled to vest within the next twelve (12) months shall become immediately vested as of the date you terminate employment, and any remaining unvested portion of the Time-Based RSUs shall be immediately forfeited; and</w:t>
      </w:r>
    </w:p>
    <w:p>
      <w:pPr>
        <w:pStyle w:val="TextBody"/>
        <w:bidi w:val="0"/>
        <w:spacing w:before="0" w:after="0"/>
        <w:jc w:val="both"/>
        <w:rPr/>
      </w:pPr>
      <w:r>
        <w:rPr/>
      </w:r>
    </w:p>
    <w:p>
      <w:pPr>
        <w:pStyle w:val="TextBody"/>
        <w:bidi w:val="0"/>
        <w:spacing w:lineRule="auto" w:line="288" w:before="0" w:after="240"/>
        <w:ind w:left="0" w:right="0" w:hanging="180"/>
        <w:jc w:val="both"/>
        <w:rPr/>
      </w:pPr>
      <w:r>
        <w:rPr>
          <w:rFonts w:ascii="Times New Roman;serif" w:hAnsi="Times New Roman;serif"/>
          <w:b w:val="false"/>
          <w:color w:val="000000"/>
          <w:sz w:val="20"/>
        </w:rPr>
        <w:t>ii.after having attained age [sixty (60)] with at least [five (5) years] and less than[ ten (10) years] of service with the Company (or its Affiliates) at a time when any portion of the Time-Based RSUs remains unvested, then the applicable percentage of your Time-Based RSUs (and only that portion) that is scheduled to vest within the next twelve (12) months, as described below (the “</w:t>
      </w:r>
      <w:r>
        <w:rPr>
          <w:rFonts w:ascii="Times New Roman;serif" w:hAnsi="Times New Roman;serif"/>
          <w:b w:val="false"/>
          <w:color w:val="000000"/>
          <w:sz w:val="20"/>
          <w:u w:val="single"/>
        </w:rPr>
        <w:t>Prorated Percentage</w:t>
      </w:r>
      <w:r>
        <w:rPr>
          <w:color w:val="000000"/>
        </w:rPr>
        <w:t>”</w:t>
      </w:r>
      <w:r>
        <w:rPr>
          <w:rFonts w:ascii="Times New Roman;serif" w:hAnsi="Times New Roman;serif"/>
          <w:b w:val="false"/>
          <w:color w:val="000000"/>
          <w:sz w:val="20"/>
        </w:rPr>
        <w:t>), shall become immediately vested as of the date you terminate employment, and any remaining unvested portion of the Time-Based RSUs shall be immediately forfeited.</w:t>
      </w:r>
    </w:p>
    <w:tbl>
      <w:tblPr>
        <w:tblW w:w="4334" w:type="dxa"/>
        <w:jc w:val="left"/>
        <w:tblInd w:w="0" w:type="dxa"/>
        <w:tblLayout w:type="fixed"/>
        <w:tblCellMar>
          <w:top w:w="28" w:type="dxa"/>
          <w:left w:w="28" w:type="dxa"/>
          <w:bottom w:w="28" w:type="dxa"/>
          <w:right w:w="28" w:type="dxa"/>
        </w:tblCellMar>
      </w:tblPr>
      <w:tblGrid>
        <w:gridCol w:w="917"/>
        <w:gridCol w:w="807"/>
        <w:gridCol w:w="811"/>
        <w:gridCol w:w="526"/>
        <w:gridCol w:w="526"/>
        <w:gridCol w:w="747"/>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[Completed Years of Service: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 least</w:t>
            </w:r>
          </w:p>
        </w:tc>
        <w:tc>
          <w:tcPr>
            <w:tcW w:w="1799"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 xml:space="preserve">Prorated Percentage </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Five (5) years</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Six (6) years</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535"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Seven (7) years</w:t>
            </w:r>
          </w:p>
        </w:tc>
        <w:tc>
          <w:tcPr>
            <w:tcW w:w="17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70%</w:t>
            </w:r>
          </w:p>
        </w:tc>
      </w:tr>
    </w:tbl>
    <w:p>
      <w:pPr>
        <w:pStyle w:val="TextBody"/>
        <w:bidi w:val="0"/>
        <w:spacing w:before="0" w:after="0"/>
        <w:ind w:left="0" w:right="0" w:firstLine="45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10</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10</w:t>
                      </w:r>
                      <w:r>
                        <w:rPr>
                          <w:color w:val="000000"/>
                        </w:rPr>
                        <w:t>        </w:t>
                      </w:r>
                    </w:p>
                  </w:txbxContent>
                </v:textbox>
                <w10:wrap type="none"/>
              </v:rect>
            </w:pict>
          </mc:Fallback>
        </mc:AlternateContent>
      </w:r>
    </w:p>
    <w:tbl>
      <w:tblPr>
        <w:tblW w:w="1888" w:type="dxa"/>
        <w:jc w:val="left"/>
        <w:tblInd w:w="0" w:type="dxa"/>
        <w:tblLayout w:type="fixed"/>
        <w:tblCellMar>
          <w:top w:w="28" w:type="dxa"/>
          <w:left w:w="28" w:type="dxa"/>
          <w:bottom w:w="28" w:type="dxa"/>
          <w:right w:w="28" w:type="dxa"/>
        </w:tblCellMar>
      </w:tblPr>
      <w:tblGrid>
        <w:gridCol w:w="473"/>
        <w:gridCol w:w="413"/>
        <w:gridCol w:w="418"/>
        <w:gridCol w:w="171"/>
        <w:gridCol w:w="171"/>
        <w:gridCol w:w="242"/>
      </w:tblGrid>
      <w:tr>
        <w:trPr/>
        <w:tc>
          <w:tcPr>
            <w:tcW w:w="4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Eight (8) years</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1304"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Nine (9) years</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90%]</w:t>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Section 1(c), years of service with the Company (or its Affiliates) does not include tenure at any organization acquired by the Company (or its Affiliates) prior to the closing date of such acquisition. </w:t>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Special 409A Rule</w:t>
      </w:r>
      <w:r>
        <w:rPr>
          <w:rFonts w:ascii="Times New Roman;serif" w:hAnsi="Times New Roman;serif"/>
          <w:b w:val="false"/>
          <w:color w:val="000000"/>
          <w:sz w:val="20"/>
        </w:rPr>
        <w:t>. Notwithstanding anything to the contrary in this Exhibit, to the extent necessary to comply with Section 409A of the Code, a Change in Control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color w:val="000000"/>
          <w:sz w:val="20"/>
        </w:rPr>
        <w:t>2.</w:t>
      </w:r>
      <w:r>
        <w:rPr>
          <w:rFonts w:ascii="Times New Roman;serif" w:hAnsi="Times New Roman;serif"/>
          <w:b/>
          <w:color w:val="000000"/>
          <w:sz w:val="20"/>
          <w:u w:val="single"/>
        </w:rPr>
        <w:t>Settlement</w:t>
      </w:r>
      <w:r>
        <w:rPr>
          <w:rFonts w:ascii="Times New Roman;serif" w:hAnsi="Times New Roman;serif"/>
          <w:b w:val="false"/>
          <w:color w:val="000000"/>
          <w:sz w:val="20"/>
        </w:rPr>
        <w:t>. As soon as practicable following each applicable Vesting Date (including as applicable the date of consummation of a Change in Control and/or certain terminations of employment), but in no event later than the end of the short-term deferral period applicable to a Restricted Stock Unit, the Company shall settle the portion of the Award that is vested on such date and shall therefore (i) issue and deliver to you one share of Common Stock for each Restricted Stock Unit pursuant to the Award that has vested (the “</w:t>
      </w:r>
      <w:r>
        <w:rPr>
          <w:rFonts w:ascii="Times New Roman;serif" w:hAnsi="Times New Roman;serif"/>
          <w:b w:val="false"/>
          <w:color w:val="000000"/>
          <w:sz w:val="20"/>
          <w:u w:val="single"/>
        </w:rPr>
        <w:t>RSU Shares</w:t>
      </w:r>
      <w:r>
        <w:rPr>
          <w:color w:val="000000"/>
        </w:rPr>
        <w:t>”</w:t>
      </w:r>
      <w:r>
        <w:rPr>
          <w:rFonts w:ascii="Times New Roman;serif" w:hAnsi="Times New Roman;serif"/>
          <w:b w:val="false"/>
          <w:color w:val="000000"/>
          <w:sz w:val="20"/>
        </w:rPr>
        <w:t xml:space="preserve">) with any fractional shares paid out in cash (and, upon such settlement, the Restricted Stock Units shall cease to be credited to the Account) and (ii) enter your name as a stockholder of record with respect to the RSU Shares on the books of the Company. </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11</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11</w:t>
                      </w:r>
                      <w:r>
                        <w:rPr>
                          <w:color w:val="000000"/>
                        </w:rPr>
                        <w:t>        </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Exhibit 2A</w: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Performance-Based Restricted Stock Units – Vesting and Settlement Terms</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u w:val="single"/>
        </w:rPr>
        <w:t>Vesting</w:t>
      </w:r>
      <w:r>
        <w:rPr>
          <w:rFonts w:ascii="Times New Roman;serif" w:hAnsi="Times New Roman;serif"/>
          <w:b w:val="false"/>
          <w:color w:val="000000"/>
          <w:sz w:val="20"/>
        </w:rPr>
        <w:t>. Except as otherwise provided herein, the Award shall cliff vest on [ ] (for purposes of Exhibits 2A and 2B, the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 xml:space="preserve">), based on continuous employment with the Company (or its Affiliates) through the Vesting Date and subject to the achievement of the applicable performance metrics goals set forth in Exhibit 2B below during the Performance Period.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Change in Control</w:t>
      </w:r>
      <w:r>
        <w:rPr>
          <w:rFonts w:ascii="Times New Roman;serif" w:hAnsi="Times New Roman;serif"/>
          <w:b w:val="false"/>
          <w:color w:val="000000"/>
          <w:sz w:val="20"/>
        </w:rPr>
        <w:t>. Notwithstanding the foregoing:</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Revenue-Based RSUs</w:t>
      </w:r>
      <w:r>
        <w:rPr>
          <w:rFonts w:ascii="Times New Roman;serif" w:hAnsi="Times New Roman;serif"/>
          <w:b w:val="false"/>
          <w:color w:val="000000"/>
          <w:sz w:val="20"/>
        </w:rPr>
        <w:t>. In the event that a “Change in Control” (which for purposes of this Agreement shall have the meaning set forth in the Plan as modified by the language at the end of this Exhibit) occurs before [ ], [one hundred percent (100%)] of the Revenue-Based RSUs will be deemed banked as of the date of the Change in Control. For the avoidance of doubt, in such event, you will be unable to earn any additional Revenue-Based RSUs (i.e., performance payout will not exceed [100%]).</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TSR-Based RSUs</w:t>
      </w:r>
      <w:r>
        <w:rPr>
          <w:rFonts w:ascii="Times New Roman;serif" w:hAnsi="Times New Roman;serif"/>
          <w:b w:val="false"/>
          <w:color w:val="000000"/>
          <w:sz w:val="20"/>
        </w:rPr>
        <w:t xml:space="preserve">. In the event that a Change in Control occurs on or before the first anniversary of the Date of Grant, [one hundred percent (100%)] of the TSR-Based RSUs will be deemed banked as of the date of the Change in Control. For the avoidance of doubt, in such event, you will be unable to earn any additional TSR-Based RSUs. In the event that a Change in Control occurs after the first anniversary of the Date of Grant, then (i) the Performance Period shall be deemed to end on the date of the Change in Control, and the Committee shall determine the TSR of the Company and the Peer Group (as defined below) as of such date, and shall determine the number of TSR-Based RSUs earned by you; and (ii) for purposes of determination of the Company’s TSR for the last day of the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Performance Period, as set forth in Exhibit 2B, Section 1(c)(iii)). </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0"/>
        </w:rPr>
        <w:t>iii. The Performance-Based RSUs deemed banked in accordance with the foregoing provisions of this Section 1 of this Exhibit will be treated as immediately vested in accordance with the schedule set forth in the special Change in Control vesting chart below (the “</w:t>
      </w:r>
      <w:r>
        <w:rPr>
          <w:rFonts w:ascii="Times New Roman;serif" w:hAnsi="Times New Roman;serif"/>
          <w:b w:val="false"/>
          <w:color w:val="000000"/>
          <w:sz w:val="20"/>
          <w:u w:val="single"/>
        </w:rPr>
        <w:t>Special CIC Vesting Chart</w:t>
      </w:r>
      <w:r>
        <w:rPr>
          <w:color w:val="000000"/>
        </w:rPr>
        <w:t>”</w:t>
      </w:r>
      <w:r>
        <w:rPr>
          <w:rFonts w:ascii="Times New Roman;serif" w:hAnsi="Times New Roman;serif"/>
          <w:b w:val="false"/>
          <w:color w:val="000000"/>
          <w:sz w:val="20"/>
        </w:rPr>
        <w:t xml:space="preserve">) as well as additional vesting based on the methodology set forth below in this Section 1, subject to your continuous employment with the Company or an Affiliate through the consummation of the Change in Control, assuming for such purpose that such deemed banked Performance-Based RSUs had originally been subject only to time-based vesting, as set forth in the Special CIC Vesting Chart. </w:t>
      </w:r>
    </w:p>
    <w:tbl>
      <w:tblPr>
        <w:tblW w:w="6208" w:type="dxa"/>
        <w:jc w:val="left"/>
        <w:tblInd w:w="0" w:type="dxa"/>
        <w:tblLayout w:type="fixed"/>
        <w:tblCellMar>
          <w:top w:w="28" w:type="dxa"/>
          <w:left w:w="28" w:type="dxa"/>
          <w:bottom w:w="28" w:type="dxa"/>
          <w:right w:w="28" w:type="dxa"/>
        </w:tblCellMar>
      </w:tblPr>
      <w:tblGrid>
        <w:gridCol w:w="1815"/>
        <w:gridCol w:w="1594"/>
        <w:gridCol w:w="1600"/>
        <w:gridCol w:w="350"/>
        <w:gridCol w:w="350"/>
        <w:gridCol w:w="499"/>
      </w:tblGrid>
      <w:tr>
        <w:trPr/>
        <w:tc>
          <w:tcPr>
            <w:tcW w:w="181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Vested Percent of Deemed Banked Performance-Based RSUs</w:t>
            </w:r>
          </w:p>
        </w:tc>
        <w:tc>
          <w:tcPr>
            <w:tcW w:w="1199"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Vesting Date</w:t>
            </w:r>
          </w:p>
        </w:tc>
      </w:tr>
      <w:tr>
        <w:trPr/>
        <w:tc>
          <w:tcPr>
            <w:tcW w:w="500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[33.33%]</w:t>
            </w:r>
          </w:p>
        </w:tc>
        <w:tc>
          <w:tcPr>
            <w:tcW w:w="11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5009"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[66.67%]</w:t>
            </w:r>
          </w:p>
        </w:tc>
        <w:tc>
          <w:tcPr>
            <w:tcW w:w="11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5009"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1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12</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12</w:t>
                      </w: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Effective as of the consummation of the Change in Control: (x) the portion of the deemed banked Performance-Based RSUs with Vesting Dates that either occurred prior to the consummation of the Change in Control or will occur within one year of the Change in Control, in each case, as set forth in the Special CIC Vesting Chart, shall accelerate and become immediately vested and (y) the remaining portion of the deemed banked Performance-Based RSUs (i.e., those with a Vesting Date (pursuant to the Special CIC Chart) to occur more than one year after the consummation of the Change in Control) shall cliff vest on [ ], subject to your continuous employment with the Company or an Affiliate through such date; provided that (1) in the event that your employment by the Company is terminated by the Company without Cause (x) at any time following a Change in Control or (y) in specific contemplation of a Change in Control or (2) in the event you resign with Good Reason at any time following a Change in Control, you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banked Performance-Based RSUs which is unvested as of the termination date.</w:t>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Death or Disability</w:t>
      </w:r>
      <w:r>
        <w:rPr>
          <w:rFonts w:ascii="Times New Roman;serif" w:hAnsi="Times New Roman;serif"/>
          <w:b w:val="false"/>
          <w:color w:val="000000"/>
          <w:sz w:val="20"/>
        </w:rPr>
        <w:t>. Notwithstanding the foregoing:</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Prior to a Change in Control</w:t>
      </w:r>
      <w:r>
        <w:rPr>
          <w:rFonts w:ascii="Times New Roman;serif" w:hAnsi="Times New Roman;serif"/>
          <w:b w:val="false"/>
          <w:color w:val="000000"/>
          <w:sz w:val="20"/>
        </w:rPr>
        <w:t>. In the event that no Change in Control has occurred and your employment with the Company (or its Affiliates) is terminated due to your death or Disability prior to the completion of the Performance Period, you shall become immediately vested in a number of Performance-Based RSUs equal to (x) the number of completed full months from the first date in the Performance Period to the date of your termination due to death or Disability divided by (y) [36 multiplied by (z) 100%] of the Performance-Based RSUs, effective as of the date of your termination due to death or Disability. The remaining portion of the Performance-Based RSUs will not vest.</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After a Change in Control</w:t>
      </w:r>
      <w:r>
        <w:rPr>
          <w:rFonts w:ascii="Times New Roman;serif" w:hAnsi="Times New Roman;serif"/>
          <w:b w:val="false"/>
          <w:color w:val="000000"/>
          <w:sz w:val="20"/>
        </w:rPr>
        <w:t>. In the event that your employment with the Company (or its Affiliates) is terminated due to your death or Disability prior to the Vesting Date but after a Change in Control has occurred, you shall become immediately vested in 100% of the Performance-Based RSUs that were deemed banked as a result of the Change in Control pursuant to Section 1(a) of this Exhibit, effective as of the date of your termination due to death or Disability. The remaining portion of the Performance Based RSUs will not vest.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Retirement</w:t>
      </w:r>
      <w:r>
        <w:rPr>
          <w:rFonts w:ascii="Times New Roman;serif" w:hAnsi="Times New Roman;serif"/>
          <w:b w:val="false"/>
          <w:color w:val="000000"/>
          <w:sz w:val="20"/>
        </w:rPr>
        <w:t>. Notwithstanding the foregoing, and assuming that such Performance-Based RSUs have been outstanding for at least six (6) months from the Date of Grant, in the event that your employment with the Company (or its Affiliates) is terminated, other than by Company (or its Affiliates) for Cause,</w:t>
      </w:r>
    </w:p>
    <w:p>
      <w:pPr>
        <w:pStyle w:val="TextBody"/>
        <w:bidi w:val="0"/>
        <w:spacing w:before="0" w:after="0"/>
        <w:jc w:val="both"/>
        <w:rPr/>
      </w:pPr>
      <w:r>
        <w:rPr/>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i.after having attained age [sixty (60)] with at least [ten (10) years] of service with the Company (or its Affiliates) prior to the Vesting Date, you shall earn a pro rata portion of the Performance-Based RSUs based on actual Company performance (with respect to the Revenue and TSR performance goals) at the end of the Performance Period, as determined by the Committee.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Such proration shall be determined as follows: the total number of Performance-Based RSUs that would have been earned based on performance results if Participant had remained continuously employed through the end of the Performance Period shall instead be earned on a pro-rata basis, by multiplying such number of Performance-Based RSUs by the quotient of (x) divided by (y), where (x) equals the total number of calendar years during the Performance Period in which Participant was employed with the Company or its Affiliate prior to the termination date (counting any partial calendar year of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13</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13</w:t>
                      </w: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employment as a full year for this purpose ) and (y) equals three (3). The resulting number of Performance-Based RSUs shall be rounded to the nearest whole number;</w:t>
      </w:r>
    </w:p>
    <w:p>
      <w:pPr>
        <w:pStyle w:val="TextBody"/>
        <w:bidi w:val="0"/>
        <w:spacing w:before="0" w:after="0"/>
        <w:jc w:val="both"/>
        <w:rPr/>
      </w:pPr>
      <w:r>
        <w:rPr/>
      </w:r>
    </w:p>
    <w:p>
      <w:pPr>
        <w:pStyle w:val="TextBody"/>
        <w:bidi w:val="0"/>
        <w:spacing w:lineRule="auto" w:line="321" w:before="0" w:after="16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ii.after having attained age sixty (60) with at least [five (5) years] and less than [ten (10) years] of service with the Company (or its Affiliates) prior to [●], the Vesting Date for the Performance-Based RSUs, you shall earn a pro rata portion of the Performance-Based RSUs calculated in accordance with the methodology outlined in Section 1(c)(i) immediately above, provided that such amount shall be reduced by the applicable percentage set forth below (the “Reduction Percentage”).</w:t>
      </w:r>
    </w:p>
    <w:p>
      <w:pPr>
        <w:pStyle w:val="TextBody"/>
        <w:bidi w:val="0"/>
        <w:spacing w:before="0" w:after="160"/>
        <w:ind w:left="0" w:right="0" w:firstLine="180"/>
        <w:jc w:val="both"/>
        <w:rPr/>
      </w:pPr>
      <w:r>
        <w:rPr/>
      </w:r>
    </w:p>
    <w:tbl>
      <w:tblPr>
        <w:tblW w:w="4470" w:type="dxa"/>
        <w:jc w:val="left"/>
        <w:tblInd w:w="0" w:type="dxa"/>
        <w:tblLayout w:type="fixed"/>
        <w:tblCellMar>
          <w:top w:w="28" w:type="dxa"/>
          <w:left w:w="28" w:type="dxa"/>
          <w:bottom w:w="28" w:type="dxa"/>
          <w:right w:w="28" w:type="dxa"/>
        </w:tblCellMar>
      </w:tblPr>
      <w:tblGrid>
        <w:gridCol w:w="917"/>
        <w:gridCol w:w="807"/>
        <w:gridCol w:w="811"/>
        <w:gridCol w:w="566"/>
        <w:gridCol w:w="566"/>
        <w:gridCol w:w="803"/>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 xml:space="preserve">[Completed Years of Service: </w:t>
            </w:r>
          </w:p>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At least</w:t>
            </w:r>
          </w:p>
        </w:tc>
        <w:tc>
          <w:tcPr>
            <w:tcW w:w="1935" w:type="dxa"/>
            <w:gridSpan w:val="3"/>
            <w:tcBorders>
              <w:top w:val="single" w:sz="2"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Reduction Percentage</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Five (5) years</w:t>
            </w:r>
          </w:p>
        </w:tc>
        <w:tc>
          <w:tcPr>
            <w:tcW w:w="1935" w:type="dxa"/>
            <w:gridSpan w:val="3"/>
            <w:tcBorders>
              <w:top w:val="single" w:sz="4" w:space="0" w:color="000000"/>
              <w:left w:val="single" w:sz="4" w:space="0" w:color="000000"/>
              <w:right w:val="single" w:sz="4" w:space="0" w:color="000000"/>
            </w:tcBorders>
            <w:tcMar>
              <w:top w:w="30" w:type="dxa"/>
              <w:left w:w="1947"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Six (6) years</w:t>
            </w:r>
          </w:p>
        </w:tc>
        <w:tc>
          <w:tcPr>
            <w:tcW w:w="1935" w:type="dxa"/>
            <w:gridSpan w:val="3"/>
            <w:tcBorders>
              <w:top w:val="single" w:sz="4" w:space="0" w:color="000000"/>
              <w:left w:val="single" w:sz="4" w:space="0" w:color="000000"/>
              <w:right w:val="single" w:sz="4" w:space="0" w:color="000000"/>
            </w:tcBorders>
            <w:tcMar>
              <w:top w:w="30" w:type="dxa"/>
              <w:left w:w="1947"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Seven (7) years</w:t>
            </w:r>
          </w:p>
        </w:tc>
        <w:tc>
          <w:tcPr>
            <w:tcW w:w="1935" w:type="dxa"/>
            <w:gridSpan w:val="3"/>
            <w:tcBorders>
              <w:top w:val="single" w:sz="4" w:space="0" w:color="000000"/>
              <w:left w:val="single" w:sz="4" w:space="0" w:color="000000"/>
              <w:right w:val="single" w:sz="4" w:space="0" w:color="000000"/>
            </w:tcBorders>
            <w:tcMar>
              <w:top w:w="30" w:type="dxa"/>
              <w:left w:w="1947"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535"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Eight (8) years</w:t>
            </w:r>
          </w:p>
        </w:tc>
        <w:tc>
          <w:tcPr>
            <w:tcW w:w="1935" w:type="dxa"/>
            <w:gridSpan w:val="3"/>
            <w:tcBorders>
              <w:top w:val="single" w:sz="4" w:space="0" w:color="000000"/>
              <w:left w:val="single" w:sz="4" w:space="0" w:color="000000"/>
              <w:right w:val="single" w:sz="4" w:space="0" w:color="000000"/>
            </w:tcBorders>
            <w:tcMar>
              <w:top w:w="30" w:type="dxa"/>
              <w:left w:w="1947"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535" w:type="dxa"/>
            <w:gridSpan w:val="3"/>
            <w:tcBorders>
              <w:top w:val="single" w:sz="4" w:space="0" w:color="000000"/>
              <w:left w:val="single" w:sz="2"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Nine (9) years</w:t>
            </w:r>
          </w:p>
        </w:tc>
        <w:tc>
          <w:tcPr>
            <w:tcW w:w="1935" w:type="dxa"/>
            <w:gridSpan w:val="3"/>
            <w:tcBorders>
              <w:top w:val="single" w:sz="4" w:space="0" w:color="000000"/>
              <w:left w:val="single" w:sz="4" w:space="0" w:color="000000"/>
              <w:bottom w:val="single" w:sz="4" w:space="0" w:color="000000"/>
              <w:right w:val="single" w:sz="4" w:space="0" w:color="000000"/>
            </w:tcBorders>
            <w:tcMar>
              <w:top w:w="30" w:type="dxa"/>
              <w:left w:w="1947"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before="0" w:after="0"/>
        <w:ind w:left="0" w:right="0" w:firstLine="72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hereof, years of service with the Company (or its Affiliates) does not include tenure at any organization acquired by the Company (or its Affiliates) prior to the closing date of such acquisition.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Performance-Based RSUs that become vested as a result of this Section 1(c) shall be settled in accordance with Section 2 of this Exhibit after the end of the Performance Period. The determination of any prorated Performance-Based RSU shall be made by the Committee in its sole discretion.</w:t>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Special 409A Rule.</w:t>
      </w:r>
      <w:r>
        <w:rPr>
          <w:color w:val="000000"/>
        </w:rPr>
        <w:t xml:space="preserve"> </w:t>
      </w:r>
      <w:r>
        <w:rPr>
          <w:rFonts w:ascii="Times New Roman;serif" w:hAnsi="Times New Roman;serif"/>
          <w:b w:val="false"/>
          <w:color w:val="000000"/>
          <w:sz w:val="20"/>
        </w:rPr>
        <w:t>Notwithstanding anything to the contrary in this Exhibit,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bidi w:val="0"/>
        <w:spacing w:before="0" w:after="0"/>
        <w:jc w:val="both"/>
        <w:rPr/>
      </w:pPr>
      <w:r>
        <w:rPr/>
      </w:r>
    </w:p>
    <w:p>
      <w:pPr>
        <w:pStyle w:val="TextBody"/>
        <w:bidi w:val="0"/>
        <w:spacing w:lineRule="auto" w:line="321" w:before="0" w:after="160"/>
        <w:ind w:left="0" w:right="0" w:hanging="180"/>
        <w:jc w:val="both"/>
        <w:rPr/>
      </w:pPr>
      <w:r>
        <w:rPr>
          <w:rFonts w:ascii="Times New Roman;serif" w:hAnsi="Times New Roman;serif"/>
          <w:b w:val="false"/>
          <w:color w:val="000000"/>
          <w:sz w:val="20"/>
        </w:rPr>
        <w:t xml:space="preserve">2. </w:t>
      </w:r>
      <w:r>
        <w:rPr>
          <w:rFonts w:ascii="Times New Roman;serif" w:hAnsi="Times New Roman;serif"/>
          <w:b w:val="false"/>
          <w:color w:val="000000"/>
          <w:sz w:val="20"/>
          <w:u w:val="single"/>
        </w:rPr>
        <w:t>Settlement</w:t>
      </w:r>
      <w:r>
        <w:rPr>
          <w:rFonts w:ascii="Times New Roman;serif" w:hAnsi="Times New Roman;serif"/>
          <w:b w:val="false"/>
          <w:color w:val="000000"/>
          <w:sz w:val="20"/>
        </w:rPr>
        <w:t>. As soon as practicable following the date that a Performance-Based RSU becomes vested, but in no event later than the end of the short-term deferral period applicable to such Performance-Based RSU, the Company shall settle the portion of the Award that is vested on such date and shall therefore (i) issue and deliver to you one share of Common Stock for each such Performance-Based RSU that has vested (the “</w:t>
      </w:r>
      <w:r>
        <w:rPr>
          <w:rFonts w:ascii="Times New Roman;serif" w:hAnsi="Times New Roman;serif"/>
          <w:b w:val="false"/>
          <w:color w:val="000000"/>
          <w:sz w:val="20"/>
          <w:u w:val="single"/>
        </w:rPr>
        <w:t>RSU Shares</w:t>
      </w:r>
      <w:r>
        <w:rPr>
          <w:color w:val="000000"/>
        </w:rPr>
        <w:t>”</w:t>
      </w:r>
      <w:r>
        <w:rPr>
          <w:rFonts w:ascii="Times New Roman;serif" w:hAnsi="Times New Roman;serif"/>
          <w:b w:val="false"/>
          <w:color w:val="000000"/>
          <w:sz w:val="20"/>
        </w:rPr>
        <w:t xml:space="preserve">) with any fractional shares paid out in cash (and, upon such settlement, the Performance-Based RSU shall cease to be credited to the Account) and (ii) enter your name as a stockholder of record with respect to the RSU Shares on the books of the Company. For the avoidance of doubt, to the extent that the number of Performance-Based RSUs vesting is dependent upon the achievement of performance metrics, the Committee shall make all determinations with respect to the vesting of such Performance-Based RSUs as soon as administratively practicable after the end of the performance period described in the Exhibit (or as of the Change in Control, as applicable) so that the settlement of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14</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14</w:t>
                      </w:r>
                      <w:r>
                        <w:rPr>
                          <w:color w:val="000000"/>
                        </w:rPr>
                        <w:t>        </w:t>
                      </w:r>
                    </w:p>
                  </w:txbxContent>
                </v:textbox>
                <w10:wrap type="none"/>
              </v:rect>
            </w:pict>
          </mc:Fallback>
        </mc:AlternateConten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any earned and vested Performance-Based RSUs shall be made within the applicable short-term deferral period for purposes of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15</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15</w:t>
                      </w:r>
                      <w:r>
                        <w:rPr>
                          <w:color w:val="000000"/>
                        </w:rPr>
                        <w:t>        </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2B</w:t>
      </w:r>
    </w:p>
    <w:p>
      <w:pPr>
        <w:pStyle w:val="TextBody"/>
        <w:bidi w:val="0"/>
        <w:spacing w:lineRule="auto" w:line="321" w:before="0" w:after="1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Performance-Based Restricted Stock Units – Performance Metrics Goals</w:t>
      </w:r>
    </w:p>
    <w:p>
      <w:pPr>
        <w:pStyle w:val="TextBody"/>
        <w:bidi w:val="0"/>
        <w:spacing w:lineRule="auto" w:line="288" w:before="0" w:after="0"/>
        <w:ind w:left="0" w:right="0" w:hanging="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1.Performance Metrics Goals</w:t>
      </w:r>
    </w:p>
    <w:p>
      <w:pPr>
        <w:pStyle w:val="TextBody"/>
        <w:bidi w:val="0"/>
        <w:spacing w:lineRule="auto" w:line="288" w:before="0" w:after="0"/>
        <w:ind w:left="0" w:right="0" w:hanging="360"/>
        <w:jc w:val="left"/>
        <w:rPr/>
      </w:pPr>
      <w:r>
        <w:rPr>
          <w:rFonts w:ascii="Times New Roman;serif" w:hAnsi="Times New Roman;serif"/>
          <w:b w:val="false"/>
          <w:color w:val="000000"/>
          <w:sz w:val="20"/>
          <w:shd w:fill="FFFFFF" w:val="clear"/>
        </w:rPr>
        <w:t>a.</w:t>
      </w:r>
      <w:r>
        <w:rPr>
          <w:rFonts w:ascii="Times New Roman;serif" w:hAnsi="Times New Roman;serif"/>
          <w:b w:val="false"/>
          <w:color w:val="000000"/>
          <w:sz w:val="20"/>
          <w:u w:val="single"/>
          <w:shd w:fill="FFFFFF" w:val="clear"/>
        </w:rPr>
        <w:t>Definitions</w:t>
      </w:r>
    </w:p>
    <w:p>
      <w:pPr>
        <w:pStyle w:val="TextBody"/>
        <w:bidi w:val="0"/>
        <w:spacing w:lineRule="auto" w:line="321" w:before="0" w:after="0"/>
        <w:ind w:left="0" w:right="0" w:hanging="180"/>
        <w:jc w:val="both"/>
        <w:rPr/>
      </w:pPr>
      <w:r>
        <w:rPr>
          <w:rFonts w:ascii="Times New Roman;serif" w:hAnsi="Times New Roman;serif"/>
          <w:b w:val="false"/>
          <w:color w:val="000000"/>
          <w:sz w:val="20"/>
          <w:shd w:fill="FFFFFF" w:val="clear"/>
        </w:rPr>
        <w:t>i.</w:t>
      </w:r>
      <w:r>
        <w:rPr>
          <w:color w:val="000000"/>
          <w:shd w:fill="FFFFFF" w:val="clear"/>
        </w:rPr>
        <w:t>“</w:t>
      </w:r>
      <w:r>
        <w:rPr>
          <w:rFonts w:ascii="Times New Roman;serif" w:hAnsi="Times New Roman;serif"/>
          <w:b w:val="false"/>
          <w:color w:val="000000"/>
          <w:sz w:val="20"/>
          <w:u w:val="single"/>
          <w:shd w:fill="FFFFFF" w:val="clear"/>
        </w:rPr>
        <w:t>Performance Period</w:t>
      </w:r>
      <w:r>
        <w:rPr>
          <w:color w:val="000000"/>
          <w:shd w:fill="FFFFFF" w:val="clear"/>
        </w:rPr>
        <w:t>”</w:t>
      </w:r>
      <w:r>
        <w:rPr>
          <w:rFonts w:ascii="Times New Roman;serif" w:hAnsi="Times New Roman;serif"/>
          <w:b w:val="false"/>
          <w:color w:val="000000"/>
          <w:sz w:val="20"/>
          <w:shd w:fill="FFFFFF" w:val="clear"/>
        </w:rPr>
        <w:t>: [______]</w:t>
      </w:r>
    </w:p>
    <w:p>
      <w:pPr>
        <w:pStyle w:val="TextBody"/>
        <w:bidi w:val="0"/>
        <w:spacing w:lineRule="auto" w:line="321" w:before="0" w:after="0"/>
        <w:ind w:left="0" w:right="0" w:hanging="180"/>
        <w:jc w:val="both"/>
        <w:rPr/>
      </w:pPr>
      <w:r>
        <w:rPr>
          <w:rFonts w:ascii="Times New Roman;serif" w:hAnsi="Times New Roman;serif"/>
          <w:b w:val="false"/>
          <w:color w:val="000000"/>
          <w:sz w:val="20"/>
          <w:shd w:fill="FFFFFF" w:val="clear"/>
        </w:rPr>
        <w:t>ii.</w:t>
      </w:r>
      <w:r>
        <w:rPr>
          <w:color w:val="000000"/>
          <w:u w:val="single"/>
          <w:shd w:fill="FFFFFF" w:val="clear"/>
        </w:rPr>
        <w:t>“</w:t>
      </w:r>
      <w:r>
        <w:rPr>
          <w:rFonts w:ascii="Times New Roman;serif" w:hAnsi="Times New Roman;serif"/>
          <w:b w:val="false"/>
          <w:color w:val="000000"/>
          <w:sz w:val="20"/>
          <w:u w:val="single"/>
          <w:shd w:fill="FFFFFF" w:val="clear"/>
        </w:rPr>
        <w:t>Aggregate Revenue Target</w:t>
      </w:r>
      <w:r>
        <w:rPr>
          <w:color w:val="000000"/>
          <w:shd w:fill="FFFFFF" w:val="clear"/>
        </w:rPr>
        <w:t xml:space="preserve">” </w:t>
      </w:r>
      <w:r>
        <w:rPr>
          <w:rFonts w:ascii="Times New Roman;serif" w:hAnsi="Times New Roman;serif"/>
          <w:b w:val="false"/>
          <w:color w:val="000000"/>
          <w:sz w:val="20"/>
          <w:shd w:fill="FFFFFF" w:val="clear"/>
        </w:rPr>
        <w:t>for the Revenue-Based RSUs during the Performance Period: [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Revenue-Based RSUs</w:t>
      </w:r>
    </w:p>
    <w:p>
      <w:pPr>
        <w:pStyle w:val="TextBody"/>
        <w:bidi w:val="0"/>
        <w:spacing w:before="0" w:after="0"/>
        <w:jc w:val="left"/>
        <w:rPr/>
      </w:pPr>
      <w:r>
        <w:rPr/>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i.Except as may otherwise be provided herein, the Revenue-Based RSUs shall vest based on the achievement of Company revenues against the Aggregate Revenue Target for the Performance Period. “Revenue” shall have the meaning given such term in the Board-approved budget for the fiscal year in which the Award is granted.</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ii.The sliding scale used to determine payout achievement of the Aggregate Revenue Target is as set forth in the table below: </w:t>
      </w:r>
    </w:p>
    <w:tbl>
      <w:tblPr>
        <w:tblW w:w="10205" w:type="dxa"/>
        <w:jc w:val="left"/>
        <w:tblInd w:w="0" w:type="dxa"/>
        <w:tblLayout w:type="fixed"/>
        <w:tblCellMar>
          <w:top w:w="28" w:type="dxa"/>
          <w:left w:w="28" w:type="dxa"/>
          <w:bottom w:w="28" w:type="dxa"/>
          <w:right w:w="28" w:type="dxa"/>
        </w:tblCellMar>
      </w:tblPr>
      <w:tblGrid>
        <w:gridCol w:w="2889"/>
        <w:gridCol w:w="2540"/>
        <w:gridCol w:w="2553"/>
        <w:gridCol w:w="648"/>
        <w:gridCol w:w="648"/>
        <w:gridCol w:w="927"/>
      </w:tblGrid>
      <w:tr>
        <w:trPr/>
        <w:tc>
          <w:tcPr>
            <w:tcW w:w="288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798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21" w:before="80" w:after="80"/>
              <w:jc w:val="center"/>
              <w:rPr>
                <w:rFonts w:ascii="Times New Roman;serif" w:hAnsi="Times New Roman;serif"/>
                <w:b/>
                <w:color w:val="000000"/>
                <w:sz w:val="20"/>
              </w:rPr>
            </w:pPr>
            <w:r>
              <w:rPr>
                <w:rFonts w:ascii="Times New Roman;serif" w:hAnsi="Times New Roman;serif"/>
                <w:b/>
                <w:color w:val="000000"/>
                <w:sz w:val="20"/>
              </w:rPr>
              <w:t>Achievement of Aggregate Revenue Target</w:t>
            </w:r>
          </w:p>
        </w:tc>
        <w:tc>
          <w:tcPr>
            <w:tcW w:w="2223"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321" w:before="80" w:after="80"/>
              <w:jc w:val="center"/>
              <w:rPr>
                <w:rFonts w:ascii="Times New Roman;serif" w:hAnsi="Times New Roman;serif"/>
                <w:b/>
                <w:color w:val="000000"/>
                <w:sz w:val="20"/>
              </w:rPr>
            </w:pPr>
            <w:r>
              <w:rPr>
                <w:rFonts w:ascii="Times New Roman;serif" w:hAnsi="Times New Roman;serif"/>
                <w:b/>
                <w:color w:val="000000"/>
                <w:sz w:val="20"/>
              </w:rPr>
              <w:t>Funding</w:t>
            </w:r>
          </w:p>
        </w:tc>
      </w:tr>
      <w:tr>
        <w:trPr/>
        <w:tc>
          <w:tcPr>
            <w:tcW w:w="79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222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79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22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79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222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0205" w:type="dxa"/>
            <w:gridSpan w:val="6"/>
            <w:tcBorders>
              <w:top w:val="single" w:sz="4" w:space="0" w:color="000000"/>
            </w:tcBorders>
            <w:tcMar>
              <w:top w:w="30" w:type="dxa"/>
              <w:left w:w="0" w:type="dxa"/>
              <w:bottom w:w="0" w:type="dxa"/>
              <w:right w:w="0" w:type="dxa"/>
            </w:tcMar>
            <w:vAlign w:val="center"/>
          </w:tcPr>
          <w:p>
            <w:pPr>
              <w:pStyle w:val="TableContents"/>
              <w:bidi w:val="0"/>
              <w:spacing w:before="0" w:after="240"/>
              <w:jc w:val="both"/>
              <w:rPr/>
            </w:pPr>
            <w:r>
              <w:rPr/>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extent the Company’s Achievement of Aggregate Revenue Target at the end of the Performance Period falls in between [90%] and [100%] or [100%] and [110%], the funding percentage of Revenue-Based RSUs earned will be determined based on straight line interpolation between the two points, based on the funding scale set forth above.</w:t>
            </w:r>
          </w:p>
        </w:tc>
      </w:tr>
    </w:tbl>
    <w:p>
      <w:pPr>
        <w:pStyle w:val="TextBody"/>
        <w:bidi w:val="0"/>
        <w:spacing w:lineRule="auto" w:line="288" w:before="0" w:after="0"/>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TSR-Based RSUs</w:t>
      </w:r>
    </w:p>
    <w:p>
      <w:pPr>
        <w:pStyle w:val="TextBody"/>
        <w:bidi w:val="0"/>
        <w:spacing w:before="0" w:after="0"/>
        <w:jc w:val="left"/>
        <w:rPr/>
      </w:pPr>
      <w:r>
        <w:rPr/>
      </w:r>
    </w:p>
    <w:p>
      <w:pPr>
        <w:pStyle w:val="TextBody"/>
        <w:bidi w:val="0"/>
        <w:spacing w:lineRule="auto" w:line="288"/>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i.The Company’s TSR for the Performance Period will be computed and then compared to the TSR of the companies in the Peer Group (listed below). You shall earn [200%, 150%, 100%, 50% or 0%] of the TSR-Based RSUs, as applicable, if the Company’s TSR for the Performance Period equals or exceeds the 80th, 65th, 50th, 35th or 20th percentile, respectively, of the Peer Group, when ranked by TSR for the Performance Period. The percentage of TSR-Based RSUs earned will be determined based on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16</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16</w:t>
                      </w:r>
                      <w:r>
                        <w:rPr>
                          <w:color w:val="000000"/>
                        </w:rPr>
                        <w:t>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straight-line interpolation to the extent the Company’s TSR falls in between the 20th and 80th percentiles, as per the chart below: </w:t>
      </w:r>
    </w:p>
    <w:p>
      <w:pPr>
        <w:pStyle w:val="TextBody"/>
        <w:bidi w:val="0"/>
        <w:spacing w:before="0" w:after="160"/>
        <w:ind w:left="0" w:right="0" w:firstLine="180"/>
        <w:jc w:val="both"/>
        <w:rPr/>
      </w:pPr>
      <w:r>
        <w:rPr/>
      </w:r>
    </w:p>
    <w:tbl>
      <w:tblPr>
        <w:tblW w:w="2940" w:type="dxa"/>
        <w:jc w:val="left"/>
        <w:tblInd w:w="0" w:type="dxa"/>
        <w:tblLayout w:type="fixed"/>
        <w:tblCellMar>
          <w:top w:w="28" w:type="dxa"/>
          <w:left w:w="28" w:type="dxa"/>
          <w:bottom w:w="28" w:type="dxa"/>
          <w:right w:w="28" w:type="dxa"/>
        </w:tblCellMar>
      </w:tblPr>
      <w:tblGrid>
        <w:gridCol w:w="754"/>
        <w:gridCol w:w="664"/>
        <w:gridCol w:w="666"/>
        <w:gridCol w:w="250"/>
        <w:gridCol w:w="250"/>
        <w:gridCol w:w="35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321" w:before="80" w:after="80"/>
              <w:jc w:val="center"/>
              <w:rPr>
                <w:rFonts w:ascii="Times New Roman;serif" w:hAnsi="Times New Roman;serif"/>
                <w:b/>
                <w:color w:val="000000"/>
                <w:sz w:val="20"/>
              </w:rPr>
            </w:pPr>
            <w:r>
              <w:rPr>
                <w:rFonts w:ascii="Times New Roman;serif" w:hAnsi="Times New Roman;serif"/>
                <w:b/>
                <w:color w:val="000000"/>
                <w:sz w:val="20"/>
              </w:rPr>
              <w:t>[Target TSR Percentile</w:t>
            </w:r>
          </w:p>
        </w:tc>
        <w:tc>
          <w:tcPr>
            <w:tcW w:w="856"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321" w:before="80" w:after="80"/>
              <w:jc w:val="center"/>
              <w:rPr>
                <w:rFonts w:ascii="Times New Roman;serif" w:hAnsi="Times New Roman;serif"/>
                <w:b/>
                <w:color w:val="000000"/>
                <w:sz w:val="20"/>
              </w:rPr>
            </w:pPr>
            <w:r>
              <w:rPr>
                <w:rFonts w:ascii="Times New Roman;serif" w:hAnsi="Times New Roman;serif"/>
                <w:b/>
                <w:color w:val="000000"/>
                <w:sz w:val="20"/>
              </w:rPr>
              <w:t>Funding</w:t>
            </w:r>
          </w:p>
        </w:tc>
      </w:tr>
      <w:tr>
        <w:trPr/>
        <w:tc>
          <w:tcPr>
            <w:tcW w:w="2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2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2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35.0</w:t>
            </w:r>
          </w:p>
        </w:tc>
        <w:tc>
          <w:tcPr>
            <w:tcW w:w="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0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85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80" w:after="80"/>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ii.Notwithstanding the foregoing, if the Company’s TSR for the TSR Performance Period is negative, the maximum percentage of TSR-Based RSUs that may be earned is 100% regardless of the Company’s actual percentile ranking relative to the peer Group.  </w:t>
      </w:r>
    </w:p>
    <w:p>
      <w:pPr>
        <w:pStyle w:val="TextBody"/>
        <w:bidi w:val="0"/>
        <w:spacing w:before="0" w:after="0"/>
        <w:jc w:val="left"/>
        <w:rPr/>
      </w:pPr>
      <w:r>
        <w:rPr/>
      </w:r>
    </w:p>
    <w:p>
      <w:pPr>
        <w:pStyle w:val="TextBody"/>
        <w:bidi w:val="0"/>
        <w:spacing w:lineRule="auto" w:line="288"/>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iii.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Exhibit 2A, Section 1(a) in the event of a Change in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17</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17</w:t>
                      </w:r>
                      <w:r>
                        <w:rPr>
                          <w:color w:val="000000"/>
                        </w:rPr>
                        <w:t>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Control. </w:t>
      </w:r>
    </w:p>
    <w:p>
      <w:pPr>
        <w:pStyle w:val="TextBody"/>
        <w:bidi w:val="0"/>
        <w:spacing w:before="0" w:after="0"/>
        <w:jc w:val="left"/>
        <w:rPr/>
      </w:pPr>
      <w:r>
        <w:rPr/>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iv. The Committee has designated the following peer group of public companies in the Company’s 8-digit Global Industry Classification Standard sub-industry group (the “Peer Group”):</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8" w:type="dxa"/>
            <w:gridSpan w:val="12"/>
            <w:tcBorders>
              <w:top w:val="single" w:sz="8" w:space="0" w:color="000000"/>
              <w:left w:val="single" w:sz="8" w:space="0" w:color="000000"/>
              <w:right w:val="single" w:sz="8" w:space="0" w:color="000000"/>
            </w:tcBorders>
            <w:shd w:fill="D9D9D9" w:val="clear"/>
            <w:tcMar>
              <w:bottom w:w="0" w:type="dxa"/>
            </w:tcMar>
            <w:vAlign w:val="center"/>
          </w:tcPr>
          <w:p>
            <w:pPr>
              <w:pStyle w:val="TableContents"/>
              <w:bidi w:val="0"/>
              <w:spacing w:before="0" w:after="160"/>
              <w:jc w:val="center"/>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right w:val="single" w:sz="8" w:space="0" w:color="000000"/>
            </w:tcBorders>
            <w:tcMar>
              <w:bottom w:w="0" w:type="dxa"/>
            </w:tcMar>
            <w:vAlign w:val="center"/>
          </w:tcPr>
          <w:p>
            <w:pPr>
              <w:pStyle w:val="TableContents"/>
              <w:bidi w:val="0"/>
              <w:spacing w:before="0" w:after="160"/>
              <w:jc w:val="left"/>
              <w:rPr/>
            </w:pPr>
            <w:r>
              <w:rPr/>
            </w:r>
          </w:p>
        </w:tc>
      </w:tr>
      <w:tr>
        <w:trPr/>
        <w:tc>
          <w:tcPr>
            <w:tcW w:w="342" w:type="dxa"/>
            <w:gridSpan w:val="3"/>
            <w:tcBorders>
              <w:top w:val="single" w:sz="4" w:space="0" w:color="000000"/>
              <w:left w:val="single" w:sz="8" w:space="0" w:color="000000"/>
              <w:bottom w:val="single" w:sz="8" w:space="0" w:color="000000"/>
            </w:tcBorders>
            <w:tcMar>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160"/>
              <w:jc w:val="left"/>
              <w:rPr/>
            </w:pPr>
            <w:r>
              <w:rPr/>
            </w:r>
          </w:p>
        </w:tc>
        <w:tc>
          <w:tcPr>
            <w:tcW w:w="327"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160"/>
              <w:jc w:val="left"/>
              <w:rPr/>
            </w:pPr>
            <w:r>
              <w:rPr/>
            </w:r>
          </w:p>
        </w:tc>
        <w:tc>
          <w:tcPr>
            <w:tcW w:w="372" w:type="dxa"/>
            <w:gridSpan w:val="3"/>
            <w:tcBorders>
              <w:top w:val="single" w:sz="4" w:space="0" w:color="000000"/>
              <w:left w:val="single" w:sz="4" w:space="0" w:color="000000"/>
              <w:bottom w:val="single" w:sz="8" w:space="0" w:color="000000"/>
              <w:right w:val="single" w:sz="8" w:space="0" w:color="000000"/>
            </w:tcBorders>
            <w:vAlign w:val="center"/>
          </w:tcPr>
          <w:p>
            <w:pPr>
              <w:pStyle w:val="TableContents"/>
              <w:bidi w:val="0"/>
              <w:spacing w:before="0" w:after="160"/>
              <w:jc w:val="left"/>
              <w:rPr/>
            </w:pPr>
            <w:r>
              <w:rPr/>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18</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18</w:t>
                      </w:r>
                      <w:r>
                        <w:rPr>
                          <w:color w:val="000000"/>
                        </w:rPr>
                        <w:t>        </w:t>
                      </w:r>
                    </w:p>
                  </w:txbxContent>
                </v:textbox>
                <w10:wrap type="none"/>
              </v:rect>
            </w:pict>
          </mc:Fallback>
        </mc:AlternateContent>
      </w:r>
    </w:p>
    <w:p>
      <w:pPr>
        <w:pStyle w:val="TextBody"/>
        <w:bidi w:val="0"/>
        <w:spacing w:before="0" w:after="160"/>
        <w:jc w:val="left"/>
        <w:rPr/>
      </w:pPr>
      <w:r>
        <w:rPr/>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Companies in the Peer Group that are not publicly traded on the last day of the Performance Period shall not be taken into account for TSR purposes (except that any such company that goes bankrupt will be deemed to have a negative 100% TSR).</w:t>
      </w:r>
    </w:p>
    <w:p>
      <w:pPr>
        <w:pStyle w:val="TextBody"/>
        <w:bidi w:val="0"/>
        <w:spacing w:before="0" w:after="160"/>
        <w:ind w:left="0" w:right="0" w:firstLine="72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19</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240"/>
                        <w:jc w:val="center"/>
                        <w:rPr/>
                      </w:pPr>
                      <w:r>
                        <w:rPr>
                          <w:color w:val="000000"/>
                        </w:rPr>
                        <w:t>    </w:t>
                      </w:r>
                      <w:r>
                        <w:rPr>
                          <w:rFonts w:ascii="Times New Roman;serif" w:hAnsi="Times New Roman;serif"/>
                          <w:b w:val="false"/>
                          <w:color w:val="000000"/>
                          <w:sz w:val="20"/>
                        </w:rPr>
                        <w:t>19</w:t>
                      </w:r>
                      <w:r>
                        <w:rPr>
                          <w:color w:val="000000"/>
                        </w:rPr>
                        <w:t>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2025 OMNIBUS INCENTIVE PLAN</w:t>
      </w:r>
    </w:p>
    <w:p>
      <w:pPr>
        <w:pStyle w:val="TextBody"/>
        <w:bidi w:val="0"/>
        <w:spacing w:lineRule="auto" w:line="288" w:before="0" w:after="600"/>
        <w:jc w:val="center"/>
        <w:rPr/>
      </w:pPr>
      <w:r>
        <w:rPr>
          <w:rFonts w:ascii="Times New Roman;serif" w:hAnsi="Times New Roman;serif"/>
          <w:b/>
          <w:color w:val="000000"/>
          <w:sz w:val="20"/>
          <w:u w:val="single"/>
        </w:rPr>
        <w:t>[FORM OF]</w:t>
      </w:r>
      <w:r>
        <w:rPr>
          <w:color w:val="000000"/>
          <w:u w:val="single"/>
        </w:rPr>
        <w:t xml:space="preserve"> </w:t>
      </w:r>
      <w:r>
        <w:rPr>
          <w:rFonts w:ascii="Times New Roman;serif" w:hAnsi="Times New Roman;serif"/>
          <w:b/>
          <w:color w:val="000000"/>
          <w:sz w:val="20"/>
          <w:u w:val="single"/>
        </w:rPr>
        <w:t>Restricted Stock Unit Agreement</w:t>
      </w:r>
    </w:p>
    <w:p>
      <w:pPr>
        <w:pStyle w:val="TextBody"/>
        <w:bidi w:val="0"/>
        <w:spacing w:lineRule="atLeast" w:line="280" w:before="0" w:after="240"/>
        <w:ind w:left="0" w:right="0" w:firstLine="1440"/>
        <w:jc w:val="both"/>
        <w:rPr/>
      </w:pPr>
      <w:r>
        <w:rPr>
          <w:rFonts w:ascii="Times New Roman;serif" w:hAnsi="Times New Roman;serif"/>
          <w:b w:val="false"/>
          <w:color w:val="000000"/>
          <w:sz w:val="20"/>
        </w:rPr>
        <w:t>THIS RESTRICTED STOCK UNIT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made, effective as of the</w:t>
      </w:r>
      <w:r>
        <w:rPr>
          <w:color w:val="000000"/>
        </w:rPr>
        <w:t xml:space="preserve"> </w:t>
      </w:r>
      <w:r>
        <w:rPr>
          <w:rFonts w:ascii="Times New Roman;serif" w:hAnsi="Times New Roman;serif"/>
          <w:b/>
          <w:color w:val="000000"/>
          <w:sz w:val="20"/>
        </w:rPr>
        <w:t>[_]</w:t>
      </w:r>
      <w:r>
        <w:rPr>
          <w:color w:val="000000"/>
        </w:rPr>
        <w:t xml:space="preserve"> </w:t>
      </w:r>
      <w:r>
        <w:rPr>
          <w:rFonts w:ascii="Times New Roman;serif" w:hAnsi="Times New Roman;serif"/>
          <w:b w:val="false"/>
          <w:color w:val="000000"/>
          <w:sz w:val="20"/>
        </w:rPr>
        <w:t>day of [_________] (hereinafter the “</w:t>
      </w:r>
      <w:r>
        <w:rPr>
          <w:rFonts w:ascii="Times New Roman;serif" w:hAnsi="Times New Roman;serif"/>
          <w:b w:val="false"/>
          <w:color w:val="000000"/>
          <w:sz w:val="20"/>
          <w:u w:val="single"/>
        </w:rPr>
        <w:t>Date of Grant</w:t>
      </w:r>
      <w:r>
        <w:rPr>
          <w:color w:val="000000"/>
        </w:rPr>
        <w:t>”</w:t>
      </w:r>
      <w:r>
        <w:rPr>
          <w:rFonts w:ascii="Times New Roman;serif" w:hAnsi="Times New Roman;serif"/>
          <w:b w:val="false"/>
          <w:color w:val="000000"/>
          <w:sz w:val="20"/>
        </w:rPr>
        <w:t>), between ExlService Holdings,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[NAME]</w:t>
      </w:r>
      <w:r>
        <w:rPr>
          <w:color w:val="000000"/>
        </w:rPr>
        <w:t xml:space="preserve"> </w:t>
      </w:r>
      <w:r>
        <w:rPr>
          <w:rFonts w:ascii="Times New Roman;serif" w:hAnsi="Times New Roman;serif"/>
          <w:b w:val="false"/>
          <w:color w:val="000000"/>
          <w:sz w:val="20"/>
        </w:rPr>
        <w:t>(the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w:t>
      </w:r>
    </w:p>
    <w:p>
      <w:pPr>
        <w:pStyle w:val="TextBody"/>
        <w:bidi w:val="0"/>
        <w:spacing w:lineRule="auto" w:line="288" w:before="0" w:after="480"/>
        <w:jc w:val="center"/>
        <w:rPr/>
      </w:pPr>
      <w:r>
        <w:rPr>
          <w:rFonts w:ascii="Times New Roman;serif" w:hAnsi="Times New Roman;serif"/>
          <w:b/>
          <w:color w:val="000000"/>
          <w:sz w:val="20"/>
          <w:u w:val="single"/>
        </w:rPr>
        <w:t>R E C I T A L S</w:t>
      </w:r>
      <w:r>
        <w:rPr>
          <w:rFonts w:ascii="Times New Roman;serif" w:hAnsi="Times New Roman;serif"/>
          <w:b/>
          <w:color w:val="000000"/>
          <w:sz w:val="20"/>
        </w:rPr>
        <w:t>:</w:t>
      </w:r>
    </w:p>
    <w:p>
      <w:pPr>
        <w:pStyle w:val="TextBody"/>
        <w:bidi w:val="0"/>
        <w:spacing w:lineRule="atLeast" w:line="280" w:before="0" w:after="240"/>
        <w:ind w:left="0" w:right="0" w:firstLine="1440"/>
        <w:jc w:val="both"/>
        <w:rPr/>
      </w:pPr>
      <w:r>
        <w:rPr>
          <w:rFonts w:ascii="Times New Roman;serif" w:hAnsi="Times New Roman;serif"/>
          <w:b w:val="false"/>
          <w:color w:val="000000"/>
          <w:sz w:val="20"/>
        </w:rPr>
        <w:t>WHEREAS, the Company has adopted the ExlService Holdings, Inc. 2025 Omnibus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pursuant to which awards of Restricted Stock Units may be granted; and</w:t>
      </w:r>
    </w:p>
    <w:p>
      <w:pPr>
        <w:pStyle w:val="TextBody"/>
        <w:bidi w:val="0"/>
        <w:spacing w:lineRule="atLeast" w:line="280" w:before="0" w:after="240"/>
        <w:ind w:left="0" w:right="0" w:firstLine="1440"/>
        <w:jc w:val="both"/>
        <w:rPr/>
      </w:pPr>
      <w:r>
        <w:rPr>
          <w:rFonts w:ascii="Times New Roman;serif" w:hAnsi="Times New Roman;serif"/>
          <w:b w:val="false"/>
          <w:color w:val="000000"/>
          <w:sz w:val="20"/>
        </w:rPr>
        <w:t>WHEREAS, the Board of Directors of the Company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has determined that it is in the best interests of the Company and its stockholders to grant to the Participant an award of Restricted Stock Units as provided herein and subject to the terms set forth herein.</w:t>
      </w:r>
    </w:p>
    <w:p>
      <w:pPr>
        <w:pStyle w:val="TextBody"/>
        <w:bidi w:val="0"/>
        <w:spacing w:lineRule="atLeast" w:line="280"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Grant of Restricted Stock Units</w:t>
      </w:r>
      <w:r>
        <w:rPr>
          <w:rFonts w:ascii="Times New Roman;serif" w:hAnsi="Times New Roman;serif"/>
          <w:b w:val="false"/>
          <w:color w:val="000000"/>
          <w:sz w:val="20"/>
        </w:rPr>
        <w:t>. The Company hereby grants on the Date of Grant, to the Participant a total of</w:t>
      </w:r>
      <w:r>
        <w:rPr>
          <w:color w:val="000000"/>
          <w:shd w:fill="FFFFFF" w:val="clear"/>
        </w:rPr>
        <w:t xml:space="preserve"> </w:t>
      </w:r>
      <w:r>
        <w:rPr>
          <w:rFonts w:ascii="Times New Roman;serif" w:hAnsi="Times New Roman;serif"/>
          <w:b w:val="false"/>
          <w:color w:val="000000"/>
          <w:sz w:val="20"/>
          <w:shd w:fill="FFFFFF" w:val="clear"/>
        </w:rPr>
        <w:t>[ ]</w:t>
      </w:r>
      <w:r>
        <w:rPr>
          <w:color w:val="000000"/>
        </w:rPr>
        <w:t xml:space="preserve"> </w:t>
      </w:r>
      <w:r>
        <w:rPr>
          <w:rFonts w:ascii="Times New Roman;serif" w:hAnsi="Times New Roman;serif"/>
          <w:b w:val="false"/>
          <w:color w:val="000000"/>
          <w:sz w:val="20"/>
        </w:rPr>
        <w:t>Restricted Stock Units on the terms and conditions set forth in this Agreement and as otherwise provided in the Plan. Such Restricted Stock Units shall be credited to a separate account maintained for the Participant on the books of the Company (the “</w:t>
      </w:r>
      <w:r>
        <w:rPr>
          <w:rFonts w:ascii="Times New Roman;serif" w:hAnsi="Times New Roman;serif"/>
          <w:b w:val="false"/>
          <w:color w:val="000000"/>
          <w:sz w:val="20"/>
          <w:u w:val="single"/>
        </w:rPr>
        <w:t>Account</w:t>
      </w:r>
      <w:r>
        <w:rPr>
          <w:color w:val="000000"/>
        </w:rPr>
        <w:t>”</w:t>
      </w:r>
      <w:r>
        <w:rPr>
          <w:rFonts w:ascii="Times New Roman;serif" w:hAnsi="Times New Roman;serif"/>
          <w:b w:val="false"/>
          <w:color w:val="000000"/>
          <w:sz w:val="20"/>
        </w:rPr>
        <w:t>). On any given date, the value of each Restricted Stock Unit credited to the Account shall equal the Fair Market Value of one share of Common Stock. The Restricted Stock Units shall vest and settle in accordance with Section 3 hereof.</w:t>
      </w:r>
    </w:p>
    <w:p>
      <w:pPr>
        <w:pStyle w:val="TextBody"/>
        <w:bidi w:val="0"/>
        <w:spacing w:lineRule="auto" w:line="240" w:before="0" w:after="240"/>
        <w:ind w:left="0" w:right="0" w:firstLine="144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Incorporation by Reference, Etc</w:t>
      </w:r>
      <w:r>
        <w:rPr>
          <w:rFonts w:ascii="Times New Roman;serif" w:hAnsi="Times New Roman;serif"/>
          <w:b w:val="false"/>
          <w:color w:val="000000"/>
          <w:sz w:val="20"/>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Board’s Compensation and Talent Management Committee (the “Committee”) shall have final authority to interpret and construe the Plan and this Agreement and to make any and all determinations under them, and its decision shall be binding and conclusive upon the Participant and his or her legal representative in respect of any questions arising under the Plan or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1155"/>
                <wp:effectExtent l="0" t="0" r="0" b="0"/>
                <wp:wrapNone/>
                <wp:docPr id="165" name="Frame1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0"/>
        </w:rPr>
        <w:t>3.</w:t>
      </w:r>
      <w:r>
        <w:rPr>
          <w:rFonts w:ascii="Times New Roman;serif" w:hAnsi="Times New Roman;serif"/>
          <w:b w:val="false"/>
          <w:color w:val="000000"/>
          <w:sz w:val="20"/>
          <w:u w:val="single"/>
        </w:rPr>
        <w:t>Terms and Conditions</w:t>
      </w:r>
      <w:r>
        <w:rPr>
          <w:rFonts w:ascii="Times New Roman;serif" w:hAnsi="Times New Roman;serif"/>
          <w:b w:val="false"/>
          <w:color w:val="000000"/>
          <w:sz w:val="20"/>
        </w:rPr>
        <w:t>.</w:t>
      </w:r>
    </w:p>
    <w:p>
      <w:pPr>
        <w:pStyle w:val="TextBody"/>
        <w:bidi w:val="0"/>
        <w:spacing w:lineRule="auto" w:line="240" w:before="0" w:after="240"/>
        <w:ind w:left="0" w:right="0" w:firstLine="21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Vesting</w:t>
      </w:r>
      <w:r>
        <w:rPr>
          <w:rFonts w:ascii="Times New Roman;serif" w:hAnsi="Times New Roman;serif"/>
          <w:b w:val="false"/>
          <w:color w:val="000000"/>
          <w:sz w:val="20"/>
        </w:rPr>
        <w:t>. Except as otherwise provided in the Plan and this Agreement, and contingent upon the Participant’s continued service to the Company, (1) [one hundred percent (100%)] of the Restricted Stock Units credited to the Account shall vest and become non-forfeitable the earlier of (A) the [first anniversary] of the Date of Grant, (B) the date on which the Participant’s term as a member of the Board expires if the Participant is not subsequently elected to a new term on the Board, and (C) a Change in Control; and (2) in the event of the termination of the Participant’s service prior to the first anniversary of the Date of Grant, the Participant shall vest [in a prorated amount of Restricted Stock Units based on the number of whole calendar months of the Participant’s continuous service prior to the first anniversary of the Date of Grant] (each of Sections 3(a)(1)(A-C) and Section 3(a)(2), the “</w:t>
      </w:r>
      <w:r>
        <w:rPr>
          <w:rFonts w:ascii="Times New Roman;serif" w:hAnsi="Times New Roman;serif"/>
          <w:b w:val="false"/>
          <w:color w:val="000000"/>
          <w:sz w:val="20"/>
          <w:u w:val="single"/>
        </w:rPr>
        <w:t>Vesting Date</w:t>
      </w:r>
      <w:r>
        <w:rPr>
          <w:color w:val="000000"/>
        </w:rPr>
        <w:t>”</w:t>
      </w:r>
      <w:r>
        <w:rPr>
          <w:rFonts w:ascii="Times New Roman;serif" w:hAnsi="Times New Roman;serif"/>
          <w:b w:val="false"/>
          <w:color w:val="000000"/>
          <w:sz w:val="20"/>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Settlement</w:t>
      </w:r>
      <w:r>
        <w:rPr>
          <w:rFonts w:ascii="Times New Roman;serif" w:hAnsi="Times New Roman;serif"/>
          <w:b w:val="false"/>
          <w:color w:val="000000"/>
          <w:sz w:val="20"/>
        </w:rPr>
        <w:t>. Upon the “Settlement Date” (as defined below), each vested Restricted Stock Unit credited to the Account will be settled (and, upon such settlement, shall cease to be credited to the Account) by the Company (i) issuing to the Participant one share of Common Stock for each whole Restricted Stock Unit credited to the Account (such shares, the “</w:t>
      </w:r>
      <w:r>
        <w:rPr>
          <w:rFonts w:ascii="Times New Roman;serif" w:hAnsi="Times New Roman;serif"/>
          <w:b w:val="false"/>
          <w:color w:val="000000"/>
          <w:sz w:val="20"/>
          <w:u w:val="single"/>
        </w:rPr>
        <w:t>RSU Shares</w:t>
      </w:r>
      <w:r>
        <w:rPr>
          <w:color w:val="000000"/>
        </w:rPr>
        <w:t>”</w:t>
      </w:r>
      <w:r>
        <w:rPr>
          <w:rFonts w:ascii="Times New Roman;serif" w:hAnsi="Times New Roman;serif"/>
          <w:b w:val="false"/>
          <w:color w:val="000000"/>
          <w:sz w:val="20"/>
        </w:rPr>
        <w:t>) and making a cash payment to the Participant equal to the Fair Market Value of any fractional Restricted Stock Units credited to the Account and (ii) with respect to the RSU Shares so issued, entering the Participant’s name as a stockholder of record on the books of the Company. For purposes of this Agreement, “</w:t>
      </w:r>
      <w:r>
        <w:rPr>
          <w:rFonts w:ascii="Times New Roman;serif" w:hAnsi="Times New Roman;serif"/>
          <w:b w:val="false"/>
          <w:color w:val="000000"/>
          <w:sz w:val="20"/>
          <w:u w:val="single"/>
        </w:rPr>
        <w:t>Settlement Date</w:t>
      </w:r>
      <w:r>
        <w:rPr>
          <w:color w:val="000000"/>
        </w:rPr>
        <w:t xml:space="preserve">” </w:t>
      </w:r>
      <w:r>
        <w:rPr>
          <w:rFonts w:ascii="Times New Roman;serif" w:hAnsi="Times New Roman;serif"/>
          <w:b w:val="false"/>
          <w:color w:val="000000"/>
          <w:sz w:val="20"/>
        </w:rPr>
        <w:t>shall mean the earliest of (i) the Participant’s death, (ii) a Change in Control, or (iii) [the date that is 180 days] [January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of the year] following the date on which the Participant ceases to serve as a member of the Board for any reason other than due to his or her death or, if later, the date of the Participant’s “separation from service” (as defined in Section 409A of the Code and any Treasury Regulations promulgated thereunder). Notwithstanding anything to the contrary in this Section 3, a Change of Control hereunder shall not be a distribution event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bidi w:val="0"/>
        <w:spacing w:lineRule="auto" w:line="240" w:before="0" w:after="240"/>
        <w:ind w:left="0" w:right="0" w:firstLine="21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Restrictions</w:t>
      </w:r>
      <w:r>
        <w:rPr>
          <w:rFonts w:ascii="Times New Roman;serif" w:hAnsi="Times New Roman;serif"/>
          <w:b w:val="false"/>
          <w:color w:val="000000"/>
          <w:sz w:val="20"/>
        </w:rPr>
        <w:t>. The Restricted Stock Units granted hereunder may not be sold, pledged or otherwise transferred (other than by will or the laws of decent and distribution) and may not be subject to lien, garnishment, attachment or other legal process. The Participant acknowledges and agrees that, with respect to the Restricted Stock Units credited to his or her Account, he or she has no voting rights with respect to the Company unless and until such Restricted Stock Units are settled in RSU Shares pursuant to Section 3(b) hereof.</w:t>
      </w:r>
    </w:p>
    <w:p>
      <w:pPr>
        <w:pStyle w:val="TextBody"/>
        <w:bidi w:val="0"/>
        <w:spacing w:lineRule="auto" w:line="240" w:before="0" w:after="240"/>
        <w:ind w:left="0" w:right="0" w:firstLine="21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Effect of Termination of Services</w:t>
      </w:r>
      <w:r>
        <w:rPr>
          <w:rFonts w:ascii="Times New Roman;serif" w:hAnsi="Times New Roman;serif"/>
          <w:b w:val="false"/>
          <w:color w:val="000000"/>
          <w:sz w:val="20"/>
        </w:rPr>
        <w:t>.</w:t>
      </w:r>
    </w:p>
    <w:p>
      <w:pPr>
        <w:pStyle w:val="TextBody"/>
        <w:bidi w:val="0"/>
        <w:spacing w:lineRule="auto" w:line="240" w:before="0" w:after="240"/>
        <w:ind w:left="0" w:right="0" w:firstLine="2880"/>
        <w:jc w:val="both"/>
        <w:rPr/>
      </w:pPr>
      <w:r>
        <w:rPr>
          <w:rFonts w:ascii="Times New Roman;serif" w:hAnsi="Times New Roman;serif"/>
          <w:b w:val="false"/>
          <w:color w:val="000000"/>
          <w:sz w:val="20"/>
        </w:rPr>
        <w:t>(i)</w:t>
      </w:r>
      <w:r>
        <w:rPr>
          <w:color w:val="000000"/>
        </w:rPr>
        <w:t>    </w:t>
      </w:r>
      <w:r>
        <w:rPr>
          <w:rFonts w:ascii="Times New Roman;serif" w:hAnsi="Times New Roman;serif"/>
          <w:b w:val="false"/>
          <w:color w:val="000000"/>
          <w:sz w:val="20"/>
        </w:rPr>
        <w:t>Except as otherwise provided in subsection 3(a)(2), and subsection (ii) of this Section 3(d) or the Plan, if the Participant’s service with the Company terminates prior to the Vesting Date for any reason, the Restricted Stock Units credited to the Account shall be forfeited without further consideration to the Participant.</w:t>
      </w:r>
    </w:p>
    <w:p>
      <w:pPr>
        <w:pStyle w:val="TextBody"/>
        <w:bidi w:val="0"/>
        <w:spacing w:lineRule="auto" w:line="240" w:before="0" w:after="240"/>
        <w:ind w:left="0" w:right="0" w:firstLine="2880"/>
        <w:jc w:val="both"/>
        <w:rPr/>
      </w:pPr>
      <w:r>
        <w:rPr>
          <w:rFonts w:ascii="Times New Roman;serif" w:hAnsi="Times New Roman;serif"/>
          <w:b w:val="false"/>
          <w:color w:val="000000"/>
          <w:sz w:val="20"/>
        </w:rPr>
        <w:t>(ii)</w:t>
      </w:r>
      <w:r>
        <w:rPr>
          <w:rFonts w:ascii="Times New Roman;serif" w:hAnsi="Times New Roman;serif"/>
          <w:b w:val="false"/>
          <w:color w:val="000000"/>
          <w:sz w:val="20"/>
        </w:rPr>
        <w:t>Upon the termination of Participant’s service with the Company due to his or her death or the end of his or her term as a member of the Board, the Restricted Stock Units credited to the Account shall become one hundred (100%) vested and non-forfeitable.</w:t>
      </w:r>
    </w:p>
    <w:p>
      <w:pPr>
        <w:pStyle w:val="TextBody"/>
        <w:bidi w:val="0"/>
        <w:spacing w:lineRule="auto" w:line="240" w:before="0" w:after="240"/>
        <w:ind w:left="0" w:right="0" w:firstLine="216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Dividends</w:t>
      </w:r>
      <w:r>
        <w:rPr>
          <w:rFonts w:ascii="Times New Roman;serif" w:hAnsi="Times New Roman;serif"/>
          <w:b w:val="false"/>
          <w:color w:val="000000"/>
          <w:sz w:val="20"/>
        </w:rPr>
        <w:t>. If on any date the Company pays any dividend with respect to its Common Stock (the “</w:t>
      </w:r>
      <w:r>
        <w:rPr>
          <w:rFonts w:ascii="Times New Roman;serif" w:hAnsi="Times New Roman;serif"/>
          <w:b w:val="false"/>
          <w:color w:val="000000"/>
          <w:sz w:val="20"/>
          <w:u w:val="single"/>
        </w:rPr>
        <w:t>Payment Date</w:t>
      </w:r>
      <w:r>
        <w:rPr>
          <w:color w:val="000000"/>
        </w:rPr>
        <w:t>”</w:t>
      </w:r>
      <w:r>
        <w:rPr>
          <w:rFonts w:ascii="Times New Roman;serif" w:hAnsi="Times New Roman;serif"/>
          <w:b w:val="false"/>
          <w:color w:val="000000"/>
          <w:sz w:val="20"/>
        </w:rPr>
        <w:t>), then the number of Restricted Stock Units credited to the Account shall on the Payment Date be increased by that number of Restricted Stock Units equal to: (i) the product of (x) the number of Restricted Stock Units in the Account as of the Payment Date and (y) the per share cash amount of such dividend (or, in the case of a dividend payable in shares of Common Stock or in property other than cash, the per share equivalent cash value of such dividend, as determined in good faith by the Committee), divided by (ii) the Fair Market Value of a share of Common Stock on the Payment Date. Each additional Restricted Stock Unit, or fraction thereof, credited to the Account in accordance with this Section 3(e) shall vest and be settled at the same time as the original Restricted Stock Units to which they are attributable.</w:t>
      </w:r>
    </w:p>
    <w:p>
      <w:pPr>
        <w:pStyle w:val="TextBody"/>
        <w:bidi w:val="0"/>
        <w:spacing w:lineRule="auto" w:line="240" w:before="0" w:after="240"/>
        <w:ind w:left="0" w:right="0" w:firstLine="216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Taxes</w:t>
      </w:r>
      <w:r>
        <w:rPr>
          <w:rFonts w:ascii="Times New Roman;serif" w:hAnsi="Times New Roman;serif"/>
          <w:b w:val="false"/>
          <w:color w:val="000000"/>
          <w:sz w:val="20"/>
        </w:rPr>
        <w:t>. Upon the settlement of the Restricted Stock Units in accordance with Section 3(b) hereof, the Participant shall recognize taxable income in respect of the Restricted Stock Units and the Company shall report such taxable income to the appropriate taxing authorities as it determines to be necessary and appropriate.</w:t>
      </w:r>
    </w:p>
    <w:p>
      <w:pPr>
        <w:pStyle w:val="TextBody"/>
        <w:bidi w:val="0"/>
        <w:spacing w:lineRule="auto" w:line="240" w:before="0" w:after="240"/>
        <w:ind w:left="0" w:right="0" w:firstLine="216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Rights as a Stockholder</w:t>
      </w:r>
      <w:r>
        <w:rPr>
          <w:rFonts w:ascii="Times New Roman;serif" w:hAnsi="Times New Roman;serif"/>
          <w:b w:val="false"/>
          <w:color w:val="000000"/>
          <w:sz w:val="20"/>
        </w:rPr>
        <w:t xml:space="preserve">. Upon and following the Settlement Date, the Participant shall be the record owner of the RSU Shares unless and until such shares are sold or otherwise disposed of, and as record owner shall be entitled to all rights of a common stockholder of the Company, including, without limitation, voting rights, if any, with respect to the RSU Shares. Prior to the Settlement Date, the Participant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not be deemed for any purpose to be the owner of the shares of Common Stock underlying the Restricted Stock Units.</w:t>
      </w:r>
    </w:p>
    <w:p>
      <w:pPr>
        <w:pStyle w:val="TextBody"/>
        <w:bidi w:val="0"/>
        <w:spacing w:lineRule="auto" w:line="240" w:before="0" w:after="240"/>
        <w:ind w:left="0" w:right="0" w:firstLine="144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Miscellaneous</w:t>
      </w:r>
      <w:r>
        <w:rPr>
          <w:rFonts w:ascii="Times New Roman;serif" w:hAnsi="Times New Roman;serif"/>
          <w:b w:val="false"/>
          <w:color w:val="000000"/>
          <w:sz w:val="20"/>
        </w:rPr>
        <w:t>.</w:t>
      </w:r>
    </w:p>
    <w:p>
      <w:pPr>
        <w:pStyle w:val="TextBody"/>
        <w:bidi w:val="0"/>
        <w:spacing w:lineRule="auto" w:line="240" w:before="0" w:after="240"/>
        <w:ind w:left="0" w:right="0" w:firstLine="21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 Assets</w:t>
      </w:r>
      <w:r>
        <w:rPr>
          <w:rFonts w:ascii="Times New Roman;serif" w:hAnsi="Times New Roman;serif"/>
          <w:b w:val="false"/>
          <w:color w:val="000000"/>
          <w:sz w:val="20"/>
        </w:rPr>
        <w:t>. All amounts credited to the Account under this Agreement shall continue for all purposes to be part of the general assets of the Company. Participant’s interest in the Account shall make the Participant only a general, unsecured creditor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Notices</w:t>
      </w:r>
      <w:r>
        <w:rPr>
          <w:rFonts w:ascii="Times New Roman;serif" w:hAnsi="Times New Roman;serif"/>
          <w:b w:val="false"/>
          <w:color w:val="000000"/>
          <w:sz w:val="20"/>
        </w:rPr>
        <w:t>. All notices, demands and other communications provided for or permitted hereunder shall be made in writing and shall be by registered or certified first-class mail, return receipt requested, telecopier, courier service or personal delivery:</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if to the Company:</w:t>
      </w:r>
    </w:p>
    <w:p>
      <w:pPr>
        <w:pStyle w:val="TextBody"/>
        <w:bidi w:val="0"/>
        <w:spacing w:lineRule="atLeast" w:line="280" w:before="0" w:after="0"/>
        <w:jc w:val="left"/>
        <w:rPr>
          <w:rFonts w:ascii="Times New Roman;serif" w:hAnsi="Times New Roman;serif"/>
          <w:b w:val="false"/>
          <w:color w:val="000000"/>
          <w:sz w:val="20"/>
        </w:rPr>
      </w:pPr>
      <w:r>
        <w:rPr>
          <w:rFonts w:ascii="Times New Roman;serif" w:hAnsi="Times New Roman;serif"/>
          <w:b w:val="false"/>
          <w:color w:val="000000"/>
          <w:sz w:val="20"/>
        </w:rPr>
        <w:t>ExlService Holdings, Inc.</w:t>
        <w:br/>
        <w:t>320 Park Avenue, 29th Floor</w:t>
      </w:r>
    </w:p>
    <w:p>
      <w:pPr>
        <w:pStyle w:val="TextBody"/>
        <w:bidi w:val="0"/>
        <w:spacing w:lineRule="atLeast" w:line="280"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 10022</w:t>
      </w:r>
    </w:p>
    <w:p>
      <w:pPr>
        <w:pStyle w:val="TextBody"/>
        <w:bidi w:val="0"/>
        <w:spacing w:lineRule="atLeast" w:line="280" w:before="0" w:after="240"/>
        <w:jc w:val="left"/>
        <w:rPr>
          <w:rFonts w:ascii="Times New Roman;serif" w:hAnsi="Times New Roman;serif"/>
          <w:b w:val="false"/>
          <w:color w:val="000000"/>
          <w:sz w:val="20"/>
        </w:rPr>
      </w:pPr>
      <w:r>
        <w:rPr>
          <w:rFonts w:ascii="Times New Roman;serif" w:hAnsi="Times New Roman;serif"/>
          <w:b w:val="false"/>
          <w:color w:val="000000"/>
          <w:sz w:val="20"/>
        </w:rPr>
        <w:t>Attention: General Counsel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to the Participant, at the Participant’s last known address on file with the Company.</w:t>
      </w:r>
    </w:p>
    <w:p>
      <w:pPr>
        <w:pStyle w:val="TextBody"/>
        <w:bidi w:val="0"/>
        <w:spacing w:lineRule="auto" w:line="288" w:before="0" w:after="24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pStyle w:val="TextBody"/>
        <w:bidi w:val="0"/>
        <w:spacing w:lineRule="auto" w:line="240" w:before="0" w:after="240"/>
        <w:ind w:left="0" w:right="0" w:firstLine="21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Severability</w:t>
      </w:r>
      <w:r>
        <w:rPr>
          <w:rFonts w:ascii="Times New Roman;serif" w:hAnsi="Times New Roman;serif"/>
          <w:b w:val="false"/>
          <w:color w:val="000000"/>
          <w:sz w:val="2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40" w:before="0" w:after="240"/>
        <w:ind w:left="0" w:right="0" w:firstLine="21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No Rights to Service</w:t>
      </w:r>
      <w:r>
        <w:rPr>
          <w:rFonts w:ascii="Times New Roman;serif" w:hAnsi="Times New Roman;serif"/>
          <w:b w:val="false"/>
          <w:color w:val="000000"/>
          <w:sz w:val="20"/>
        </w:rPr>
        <w:t>. Nothing contained in this Agreement shall be construed as giving the Participant any right to be retained, in any position, as a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pStyle w:val="TextBody"/>
        <w:bidi w:val="0"/>
        <w:spacing w:lineRule="auto" w:line="240" w:before="0" w:after="240"/>
        <w:ind w:left="0" w:right="0" w:firstLine="216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Bound by Plan</w:t>
      </w:r>
      <w:r>
        <w:rPr>
          <w:rFonts w:ascii="Times New Roman;serif" w:hAnsi="Times New Roman;serif"/>
          <w:b w:val="false"/>
          <w:color w:val="000000"/>
          <w:sz w:val="20"/>
        </w:rPr>
        <w:t>. By signing this Agreement, the Participant acknowledges that he or she has received a copy of the Plan and has had an opportunity to review the Plan and agrees to be bound by all the terms and provisions of the Plan.</w:t>
      </w:r>
    </w:p>
    <w:p>
      <w:pPr>
        <w:pStyle w:val="TextBody"/>
        <w:bidi w:val="0"/>
        <w:spacing w:lineRule="auto" w:line="240" w:before="0" w:after="240"/>
        <w:ind w:left="0" w:right="0" w:firstLine="216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Beneficiary</w:t>
      </w:r>
      <w:r>
        <w:rPr>
          <w:rFonts w:ascii="Times New Roman;serif" w:hAnsi="Times New Roman;serif"/>
          <w:b w:val="false"/>
          <w:color w:val="000000"/>
          <w:sz w:val="20"/>
        </w:rPr>
        <w:t>. The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pStyle w:val="TextBody"/>
        <w:bidi w:val="0"/>
        <w:spacing w:lineRule="auto" w:line="240" w:before="0" w:after="240"/>
        <w:ind w:left="0" w:right="0" w:firstLine="216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Successors</w:t>
      </w:r>
      <w:r>
        <w:rPr>
          <w:rFonts w:ascii="Times New Roman;serif" w:hAnsi="Times New Roman;serif"/>
          <w:b w:val="false"/>
          <w:color w:val="000000"/>
          <w:sz w:val="20"/>
        </w:rPr>
        <w:t>. The terms of this Agreement shall be binding upon and inure to the benefit of the Company, its successors and assigns, and of the Participant and the beneficiaries, executors, administrators, heirs and successors of the Participant.</w:t>
      </w:r>
    </w:p>
    <w:p>
      <w:pPr>
        <w:pStyle w:val="TextBody"/>
        <w:bidi w:val="0"/>
        <w:spacing w:lineRule="auto" w:line="240" w:before="0" w:after="240"/>
        <w:ind w:left="0" w:right="0" w:firstLine="2160"/>
        <w:jc w:val="both"/>
        <w:rPr/>
      </w:pPr>
      <w:r>
        <w:rPr>
          <w:rFonts w:ascii="Times New Roman;serif" w:hAnsi="Times New Roman;serif"/>
          <w:b w:val="false"/>
          <w:color w:val="000000"/>
          <w:sz w:val="20"/>
        </w:rPr>
        <w:t>(h)</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This Agreement and the Plan contain the entire agreement and understanding of the parties hereto with respect to the subject matter contained herein and supersede all prior communications, representations and negotiations in respect thereto. Except as set forth in the Plan, no change, modification or waiver of any provision of this Agreement shall be valid unless the same be in writing and signed by the parties hereto. </w:t>
      </w:r>
    </w:p>
    <w:p>
      <w:pPr>
        <w:pStyle w:val="TextBody"/>
        <w:bidi w:val="0"/>
        <w:spacing w:lineRule="auto" w:line="240"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This Agreement shall be construed and interpreted in accordance with the laws of the State of Delaware without regard to principles of conflicts of law thereof, or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principals of conflicts of laws of any other jurisdiction which could cause the application of the laws of any jurisdiction other than the State of Delaware.</w:t>
      </w:r>
    </w:p>
    <w:p>
      <w:pPr>
        <w:pStyle w:val="TextBody"/>
        <w:bidi w:val="0"/>
        <w:spacing w:lineRule="auto" w:line="240" w:before="0" w:after="240"/>
        <w:ind w:left="0" w:right="0" w:firstLine="2160"/>
        <w:jc w:val="both"/>
        <w:rPr/>
      </w:pPr>
      <w:r>
        <w:rPr>
          <w:rFonts w:ascii="Times New Roman;serif" w:hAnsi="Times New Roman;serif"/>
          <w:b w:val="false"/>
          <w:color w:val="000000"/>
          <w:sz w:val="20"/>
        </w:rPr>
        <w:t>(j)</w:t>
      </w:r>
      <w:r>
        <w:rPr>
          <w:rFonts w:ascii="Times New Roman;serif" w:hAnsi="Times New Roman;serif"/>
          <w:b w:val="false"/>
          <w:color w:val="000000"/>
          <w:sz w:val="20"/>
          <w:u w:val="single"/>
        </w:rPr>
        <w:t>JURY TRIAL WAIVER.</w:t>
      </w:r>
      <w:r>
        <w:rPr>
          <w:color w:val="000000"/>
        </w:rPr>
        <w:t xml:space="preserve"> </w:t>
      </w:r>
      <w:r>
        <w:rPr>
          <w:rFonts w:ascii="Times New Roman;serif" w:hAnsi="Times New Roman;serif"/>
          <w:b w:val="false"/>
          <w:color w:val="000000"/>
          <w:sz w:val="20"/>
        </w:rPr>
        <w:t>THE PARTIES EXPRESSLY AND KNOWINGLY WAIVE ANY RIGHT TO A JURY TRIAL IN THE EVENT ANY ACTION ARISING UNDER OR IN CONNECTION WITH THIS AGREEMENT IS LITIGATED OR HEARD IN ANY COURT.</w:t>
      </w:r>
    </w:p>
    <w:p>
      <w:pPr>
        <w:pStyle w:val="TextBody"/>
        <w:bidi w:val="0"/>
        <w:spacing w:lineRule="auto" w:line="240" w:before="0" w:after="240"/>
        <w:ind w:left="0" w:right="0" w:firstLine="2160"/>
        <w:jc w:val="both"/>
        <w:rPr/>
      </w:pPr>
      <w:r>
        <w:rPr>
          <w:rFonts w:ascii="Times New Roman;serif" w:hAnsi="Times New Roman;serif"/>
          <w:b w:val="false"/>
          <w:color w:val="000000"/>
          <w:sz w:val="20"/>
        </w:rPr>
        <w:t>(k)</w:t>
      </w:r>
      <w:r>
        <w:rPr>
          <w:rFonts w:ascii="Times New Roman;serif" w:hAnsi="Times New Roman;serif"/>
          <w:b w:val="false"/>
          <w:color w:val="000000"/>
          <w:sz w:val="20"/>
          <w:u w:val="single"/>
        </w:rPr>
        <w:t xml:space="preserve">Electronic Delivery and Acceptance. </w:t>
      </w:r>
      <w:r>
        <w:rPr>
          <w:rFonts w:ascii="Times New Roman;serif" w:hAnsi="Times New Roman;serif"/>
          <w:b w:val="false"/>
          <w:color w:val="000000"/>
          <w:sz w:val="20"/>
        </w:rPr>
        <w:t>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pStyle w:val="TextBody"/>
        <w:bidi w:val="0"/>
        <w:spacing w:lineRule="auto" w:line="240" w:before="0" w:after="240"/>
        <w:ind w:left="0" w:right="0" w:firstLine="2160"/>
        <w:jc w:val="both"/>
        <w:rPr/>
      </w:pPr>
      <w:r>
        <w:rPr>
          <w:rFonts w:ascii="Times New Roman;serif" w:hAnsi="Times New Roman;serif"/>
          <w:b w:val="false"/>
          <w:color w:val="000000"/>
          <w:sz w:val="20"/>
        </w:rPr>
        <w:t>(l)</w:t>
      </w:r>
      <w:r>
        <w:rPr>
          <w:rFonts w:ascii="Times New Roman;serif" w:hAnsi="Times New Roman;serif"/>
          <w:b w:val="false"/>
          <w:color w:val="000000"/>
          <w:sz w:val="20"/>
          <w:u w:val="single"/>
        </w:rPr>
        <w:t>Headings</w:t>
      </w:r>
      <w:r>
        <w:rPr>
          <w:rFonts w:ascii="Times New Roman;serif" w:hAnsi="Times New Roman;serif"/>
          <w:b w:val="false"/>
          <w:color w:val="000000"/>
          <w:sz w:val="20"/>
        </w:rPr>
        <w:t>. The headings of the Sections hereof are provided for convenience only and are not to serve as a basis for interpretation or construction, and shall not constitute a part, of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0"/>
        </w:rPr>
        <w:t>(m)</w:t>
      </w:r>
      <w:r>
        <w:rPr>
          <w:rFonts w:ascii="Times New Roman;serif" w:hAnsi="Times New Roman;serif"/>
          <w:b w:val="false"/>
          <w:color w:val="000000"/>
          <w:sz w:val="20"/>
          <w:u w:val="single"/>
        </w:rPr>
        <w:t>Signature in Counterparts</w:t>
      </w:r>
      <w:r>
        <w:rPr>
          <w:rFonts w:ascii="Times New Roman;serif" w:hAnsi="Times New Roman;serif"/>
          <w:b w:val="false"/>
          <w:color w:val="000000"/>
          <w:sz w:val="20"/>
        </w:rPr>
        <w:t>. This Agreement may be signed in counterparts, each of which shall be an original, with the same effect as if the signatures thereto and hereto were upon the same instrument.</w:t>
      </w:r>
    </w:p>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tLeast" w:line="280" w:before="0" w:after="480"/>
        <w:jc w:val="left"/>
        <w:rPr/>
      </w:pPr>
      <w:r>
        <w:rPr>
          <w:rFonts w:ascii="Times New Roman;serif" w:hAnsi="Times New Roman;serif"/>
          <w:b/>
          <w:color w:val="000000"/>
          <w:sz w:val="20"/>
        </w:rPr>
        <w:t>IN WITNESS WHEREOF</w:t>
      </w:r>
      <w:r>
        <w:rPr>
          <w:rFonts w:ascii="Times New Roman;serif" w:hAnsi="Times New Roman;serif"/>
          <w:b w:val="false"/>
          <w:color w:val="000000"/>
          <w:sz w:val="20"/>
        </w:rPr>
        <w:t>, the parties hereto have executed this Agreement.</w:t>
      </w:r>
    </w:p>
    <w:p>
      <w:pPr>
        <w:pStyle w:val="TextBody"/>
        <w:bidi w:val="0"/>
        <w:spacing w:lineRule="auto" w:line="288" w:before="0" w:after="600"/>
        <w:jc w:val="left"/>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ind w:left="0" w:right="0" w:firstLine="4320"/>
        <w:jc w:val="left"/>
        <w:rPr>
          <w:color w:val="000000"/>
          <w:u w:val="single"/>
        </w:rPr>
      </w:pPr>
      <w:r>
        <w:rPr>
          <w:color w:val="000000"/>
          <w:u w:val="single"/>
        </w:rPr>
        <w:t>                        </w:t>
      </w:r>
    </w:p>
    <w:p>
      <w:pPr>
        <w:pStyle w:val="TextBody"/>
        <w:bidi w:val="0"/>
        <w:spacing w:lineRule="auto" w:line="288" w:before="0" w:after="0"/>
        <w:ind w:left="0" w:right="0" w:firstLine="4320"/>
        <w:jc w:val="left"/>
        <w:rPr/>
      </w:pPr>
      <w:r>
        <w:rPr>
          <w:rFonts w:ascii="Times New Roman;serif" w:hAnsi="Times New Roman;serif"/>
          <w:b w:val="false"/>
          <w:color w:val="000000"/>
          <w:sz w:val="20"/>
        </w:rPr>
        <w:t xml:space="preserve">By: </w:t>
      </w:r>
      <w:r>
        <w:rPr>
          <w:color w:val="000000"/>
          <w:u w:val="single"/>
        </w:rPr>
        <w:t>                        </w:t>
      </w:r>
    </w:p>
    <w:p>
      <w:pPr>
        <w:pStyle w:val="TextBody"/>
        <w:bidi w:val="0"/>
        <w:spacing w:lineRule="auto" w:line="288" w:before="0" w:after="480"/>
        <w:ind w:left="0" w:right="0" w:firstLine="4320"/>
        <w:jc w:val="left"/>
        <w:rPr/>
      </w:pPr>
      <w:r>
        <w:rPr>
          <w:rFonts w:ascii="Times New Roman;serif" w:hAnsi="Times New Roman;serif"/>
          <w:b w:val="false"/>
          <w:color w:val="000000"/>
          <w:sz w:val="20"/>
        </w:rPr>
        <w:t xml:space="preserve">Title: </w:t>
      </w:r>
      <w:r>
        <w:rPr>
          <w:color w:val="000000"/>
          <w:u w:val="single"/>
        </w:rPr>
        <w:t>                        </w:t>
      </w:r>
    </w:p>
    <w:p>
      <w:pPr>
        <w:pStyle w:val="TextBody"/>
        <w:bidi w:val="0"/>
        <w:spacing w:before="0" w:after="480"/>
        <w:ind w:left="0" w:right="0" w:firstLine="4320"/>
        <w:jc w:val="left"/>
        <w:rPr/>
      </w:pPr>
      <w:r>
        <w:rPr/>
      </w:r>
    </w:p>
    <w:p>
      <w:pPr>
        <w:pStyle w:val="TextBody"/>
        <w:bidi w:val="0"/>
        <w:spacing w:lineRule="auto" w:line="288" w:before="0" w:after="480"/>
        <w:ind w:left="0" w:right="0" w:firstLine="4320"/>
        <w:jc w:val="left"/>
        <w:rPr>
          <w:rFonts w:ascii="Times New Roman;serif" w:hAnsi="Times New Roman;serif"/>
          <w:b/>
          <w:color w:val="000000"/>
          <w:sz w:val="20"/>
        </w:rPr>
      </w:pPr>
      <w:r>
        <w:rPr>
          <w:rFonts w:ascii="Times New Roman;serif" w:hAnsi="Times New Roman;serif"/>
          <w:b/>
          <w:color w:val="000000"/>
          <w:sz w:val="20"/>
        </w:rPr>
        <w:t>PARTICIPANT</w:t>
      </w:r>
    </w:p>
    <w:p>
      <w:pPr>
        <w:pStyle w:val="TextBody"/>
        <w:bidi w:val="0"/>
        <w:spacing w:lineRule="auto" w:line="288" w:before="0" w:after="0"/>
        <w:ind w:left="0" w:right="0" w:firstLine="4320"/>
        <w:jc w:val="left"/>
        <w:rPr>
          <w:color w:val="000000"/>
          <w:u w:val="single"/>
        </w:rPr>
      </w:pPr>
      <w:r>
        <w:rPr>
          <w:color w:val="000000"/>
          <w:u w:val="single"/>
        </w:rPr>
        <w:t>                        </w:t>
      </w:r>
    </w:p>
    <w:p>
      <w:pPr>
        <w:pStyle w:val="TextBody"/>
        <w:bidi w:val="0"/>
        <w:spacing w:lineRule="auto" w:line="288" w:before="0" w:after="480"/>
        <w:ind w:left="0" w:right="0" w:firstLine="43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the Registrant</w:t>
      </w:r>
    </w:p>
    <w:tbl>
      <w:tblPr>
        <w:tblW w:w="5713" w:type="dxa"/>
        <w:jc w:val="center"/>
        <w:tblInd w:w="0" w:type="dxa"/>
        <w:tblLayout w:type="fixed"/>
        <w:tblCellMar>
          <w:top w:w="28" w:type="dxa"/>
          <w:left w:w="28" w:type="dxa"/>
          <w:bottom w:w="28" w:type="dxa"/>
          <w:right w:w="28" w:type="dxa"/>
        </w:tblCellMar>
      </w:tblPr>
      <w:tblGrid>
        <w:gridCol w:w="1521"/>
        <w:gridCol w:w="1335"/>
        <w:gridCol w:w="1343"/>
        <w:gridCol w:w="443"/>
        <w:gridCol w:w="443"/>
        <w:gridCol w:w="628"/>
      </w:tblGrid>
      <w:tr>
        <w:trPr/>
        <w:tc>
          <w:tcPr>
            <w:tcW w:w="15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Kogni,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Australia Pty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Incandescent Australia Pty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Bulgaria EAD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Bulgaria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IQR Consulting,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Clairvoyant,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Canada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Colombia S.A.S.</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ITI Data Colombia S.A.S.</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Czech Republic S.R.O.</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Process Outsourcing,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Clairvoyant AI,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Technology Solutions,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ExlService.com,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Outsource Partners International,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Overland Solutions,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Germany GmbH</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Process Solutions (India) Private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Clairvoyant India Private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 Service.com (India) Private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Inductis (India) Private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IQR Analytics Private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Outsourcepartners International Private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SCIOinspire Consulting Services (India) Pvt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Incandescent Technologies Private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ITIData Consulting India Private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(Ireland)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Process Outsourcing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Mauritius</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Mauritius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Mauritius</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Mauritius</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 Mexico S. de R.L. de C.V.</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Incandescent Latin America S. de R.L. de C.V.</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Incandescent Technologies Inc.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Philippines,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ITI Data Polska Sp. Z o.o.</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Romania Private Limited S.R.L.</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Romania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Inductis (Singapore) PTE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 Analytics SA (Pty)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South Africa (Pty)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EXLService (U.K.)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Incandescent Technologies UK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bl>
    <w:p>
      <w:pPr>
        <w:pStyle w:val="TextBody"/>
        <w:bidi w:val="0"/>
        <w:spacing w:before="0" w:after="200"/>
        <w:jc w:val="both"/>
        <w:rPr/>
      </w:pPr>
      <w:r>
        <w:rPr/>
      </w:r>
    </w:p>
    <w:p>
      <w:pPr>
        <w:pStyle w:val="TextBody"/>
        <w:bidi w:val="0"/>
        <w:ind w:left="0" w:right="0" w:firstLine="9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xml:space="preserve">                                                            </w:t>
      </w: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Nos. 333-179098 and 333-285260 on Form S-3 and Nos. 333-206022, 333-226527, 333-265772, 333-283074, and 333-288118 on Form S-8 of our reports dated February 24, 2026, relating to the financial statements of ExlService Holdings, Inc. and the effectiveness of ExlService Holdings, Inc.’s internal control over financial reporting, appearing in this Annual Report on Form 10-K for the year ended December 31,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Rohit Kapoor, certify that:</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of ExlService Holdings, Inc. for the year ended December 31, 2025;</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ind w:left="0" w:right="0" w:hanging="360"/>
        <w:jc w:val="left"/>
        <w:rPr>
          <w:color w:val="000000"/>
        </w:rPr>
      </w:pPr>
      <w:r>
        <w:rPr>
          <w:color w:val="000000"/>
        </w:rPr>
        <w:t> </w:t>
      </w:r>
    </w:p>
    <w:p>
      <w:pPr>
        <w:pStyle w:val="TextBody"/>
        <w:bidi w:val="0"/>
        <w:spacing w:before="0" w:after="0"/>
        <w:jc w:val="left"/>
        <w:rPr/>
      </w:pPr>
      <w:r>
        <w:rPr/>
      </w:r>
    </w:p>
    <w:tbl>
      <w:tblPr>
        <w:tblW w:w="5339" w:type="dxa"/>
        <w:jc w:val="left"/>
        <w:tblInd w:w="0" w:type="dxa"/>
        <w:tblLayout w:type="fixed"/>
        <w:tblCellMar>
          <w:top w:w="28" w:type="dxa"/>
          <w:left w:w="28" w:type="dxa"/>
          <w:bottom w:w="28" w:type="dxa"/>
          <w:right w:w="28" w:type="dxa"/>
        </w:tblCellMar>
      </w:tblPr>
      <w:tblGrid>
        <w:gridCol w:w="754"/>
        <w:gridCol w:w="664"/>
        <w:gridCol w:w="667"/>
        <w:gridCol w:w="953"/>
        <w:gridCol w:w="953"/>
        <w:gridCol w:w="134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Rohit Kapoor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Rohit Kapoor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Maurizio Nicolelli,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of ExlService Holdings, Inc. for the year ended December 31, 2025;</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tbl>
      <w:tblPr>
        <w:tblW w:w="4095" w:type="dxa"/>
        <w:jc w:val="left"/>
        <w:tblInd w:w="0" w:type="dxa"/>
        <w:tblLayout w:type="fixed"/>
        <w:tblCellMar>
          <w:top w:w="28" w:type="dxa"/>
          <w:left w:w="28" w:type="dxa"/>
          <w:bottom w:w="28" w:type="dxa"/>
          <w:right w:w="28" w:type="dxa"/>
        </w:tblCellMar>
      </w:tblPr>
      <w:tblGrid>
        <w:gridCol w:w="754"/>
        <w:gridCol w:w="664"/>
        <w:gridCol w:w="667"/>
        <w:gridCol w:w="589"/>
        <w:gridCol w:w="589"/>
        <w:gridCol w:w="83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Maurizio Nicolelli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Maurizio Nicolelli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ExlService Holdings, Inc. (the “Company”) on Form 10-K for the year ended December 31, 2025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w:t>
      </w:r>
    </w:p>
    <w:tbl>
      <w:tblPr>
        <w:tblW w:w="3596" w:type="dxa"/>
        <w:jc w:val="left"/>
        <w:tblInd w:w="0" w:type="dxa"/>
        <w:tblLayout w:type="fixed"/>
        <w:tblCellMar>
          <w:top w:w="28" w:type="dxa"/>
          <w:left w:w="28" w:type="dxa"/>
          <w:bottom w:w="28" w:type="dxa"/>
          <w:right w:w="28" w:type="dxa"/>
        </w:tblCellMar>
      </w:tblPr>
      <w:tblGrid>
        <w:gridCol w:w="1167"/>
        <w:gridCol w:w="1024"/>
        <w:gridCol w:w="1033"/>
        <w:gridCol w:w="109"/>
        <w:gridCol w:w="109"/>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Rohit Kapoor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Rohit Kapoor</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ExlService Holdings, Inc. (the “Company”) on Form 10-K for the year ended December 31, 2025 as filed with the Securities and Exchange Commission on the date hereof (the “Report”), I, Maurizio Nicolelli, Chief Financial Officer of the Company, certify, pursuant to 18 U.S.C. Section 1350, as adopted pursuant to Section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351" w:type="dxa"/>
        <w:jc w:val="left"/>
        <w:tblInd w:w="0" w:type="dxa"/>
        <w:tblLayout w:type="fixed"/>
        <w:tblCellMar>
          <w:top w:w="28" w:type="dxa"/>
          <w:left w:w="28" w:type="dxa"/>
          <w:bottom w:w="28" w:type="dxa"/>
          <w:right w:w="28" w:type="dxa"/>
        </w:tblCellMar>
      </w:tblPr>
      <w:tblGrid>
        <w:gridCol w:w="716"/>
        <w:gridCol w:w="630"/>
        <w:gridCol w:w="633"/>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Maurizio Nicolelli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Maurizio Nicolelli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alibri Light">
    <w:altName w:val="sans-serif"/>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97989/000110465924074734/tm2417789d1_ex3-1.htm" TargetMode="External"/><Relationship Id="rId4" Type="http://schemas.openxmlformats.org/officeDocument/2006/relationships/hyperlink" Target="https://www.sec.gov/Archives/edgar/data/1297989/000119312523171321/d523950dex32.htm" TargetMode="External"/><Relationship Id="rId5" Type="http://schemas.openxmlformats.org/officeDocument/2006/relationships/hyperlink" Target="https://www.sec.gov/Archives/edgar/data/1297989/000119312506214684/dex41.htm" TargetMode="External"/><Relationship Id="rId6" Type="http://schemas.openxmlformats.org/officeDocument/2006/relationships/hyperlink" Target="https://www.sec.gov/Archives/edgar/data/1297989/000129798925000002/exls-ex42x12312024x10k.htm" TargetMode="External"/><Relationship Id="rId7" Type="http://schemas.openxmlformats.org/officeDocument/2006/relationships/hyperlink" Target="https://www.sec.gov/Archives/edgar/data/1297989/000129798923000004/exls-ex104x03312023x10q.htm" TargetMode="External"/><Relationship Id="rId8" Type="http://schemas.openxmlformats.org/officeDocument/2006/relationships/hyperlink" Target="https://www.sec.gov/Archives/edgar/data/1297989/000129798920000010/exls-ex101x09x30x2020x10xq.htm" TargetMode="External"/><Relationship Id="rId9" Type="http://schemas.openxmlformats.org/officeDocument/2006/relationships/hyperlink" Target="https://www.sec.gov/Archives/edgar/data/1297989/000129798922000011/exls-ex101x09302022x10q.htm" TargetMode="External"/><Relationship Id="rId10" Type="http://schemas.openxmlformats.org/officeDocument/2006/relationships/hyperlink" Target="https://www.sec.gov/Archives/edgar/data/1297989/000129798925000002/exls-ex42x12312024x10k.htm" TargetMode="External"/><Relationship Id="rId11" Type="http://schemas.openxmlformats.org/officeDocument/2006/relationships/hyperlink" Target="https://www.sec.gov/Archives/edgar/data/1297989/000129798921000004/exls-ex104x12x31x2020x10k.htm" TargetMode="External"/><Relationship Id="rId12" Type="http://schemas.openxmlformats.org/officeDocument/2006/relationships/hyperlink" Target="https://www.sec.gov/Archives/edgar/data/1297989/000129798923000004/exls-ex105x03312023x10q.htm" TargetMode="External"/><Relationship Id="rId13" Type="http://schemas.openxmlformats.org/officeDocument/2006/relationships/hyperlink" Target="https://www.sec.gov/Archives/edgar/data/1297989/000119312515235176/d948602dex101.htm" TargetMode="External"/><Relationship Id="rId14" Type="http://schemas.openxmlformats.org/officeDocument/2006/relationships/hyperlink" Target="https://www.sec.gov/Archives/edgar/data/1297989/000129798916000015/exls-ex101x09x30x2016x10xq.htm" TargetMode="External"/><Relationship Id="rId15" Type="http://schemas.openxmlformats.org/officeDocument/2006/relationships/hyperlink" Target="https://www.sec.gov/Archives/edgar/data/1297989/000129798917000002/exls-ex1040x213116x10k.htm" TargetMode="External"/><Relationship Id="rId16" Type="http://schemas.openxmlformats.org/officeDocument/2006/relationships/hyperlink" Target="https://www.sec.gov/Archives/edgar/data/1297989/000114420418034885/tv496784_ex10-1.htm" TargetMode="External"/><Relationship Id="rId17" Type="http://schemas.openxmlformats.org/officeDocument/2006/relationships/hyperlink" Target="https://www.sec.gov/Archives/edgar/data/1297989/000129798923000004/exls-ex102x03312023x10q.htm" TargetMode="External"/><Relationship Id="rId18" Type="http://schemas.openxmlformats.org/officeDocument/2006/relationships/hyperlink" Target="https://www.sec.gov/Archives/edgar/data/1297989/000129798923000004/exls-ex103x03312023x10q.htm" TargetMode="External"/><Relationship Id="rId19" Type="http://schemas.openxmlformats.org/officeDocument/2006/relationships/hyperlink" Target="https://www.sec.gov/Archives/edgar/data/1297989/000114420418034885/tv496784_ex10-4.htm" TargetMode="External"/><Relationship Id="rId20" Type="http://schemas.openxmlformats.org/officeDocument/2006/relationships/hyperlink" Target="https://www.sec.gov/Archives/edgar/data/1297989/000129798923000007/exls-ex101x06302023x10q.htm" TargetMode="External"/><Relationship Id="rId21" Type="http://schemas.openxmlformats.org/officeDocument/2006/relationships/hyperlink" Target="https://www.sec.gov/Archives/edgar/data/1297989/000129798923000007/exls-ex102x06302023x10q.htm" TargetMode="External"/><Relationship Id="rId22" Type="http://schemas.openxmlformats.org/officeDocument/2006/relationships/hyperlink" Target="https://www.sec.gov/Archives/edgar/data/1297989/000110465925060321/tm2518188d1_ex10-1.htm" TargetMode="External"/><Relationship Id="rId23" Type="http://schemas.openxmlformats.org/officeDocument/2006/relationships/hyperlink" Target="https://www.sec.gov/Archives/edgar/data/1297989/000119312522178131/d352737dex101.htm" TargetMode="External"/><Relationship Id="rId24" Type="http://schemas.openxmlformats.org/officeDocument/2006/relationships/hyperlink" Target="https://www.sec.gov/Archives/edgar/data/1297989/000110465922047905/tm2213111d1_ex10-1.htm" TargetMode="External"/><Relationship Id="rId25" Type="http://schemas.openxmlformats.org/officeDocument/2006/relationships/hyperlink" Target="https://www.sec.gov/Archives/edgar/data/1297989/000110465924089922/tm2421743d1_ex10-1.htm" TargetMode="External"/><Relationship Id="rId26" Type="http://schemas.openxmlformats.org/officeDocument/2006/relationships/hyperlink" Target="https://www.sec.gov/Archives/edgar/data/1297989/000110465924035232/tm248965d1_ex10-1.htm" TargetMode="External"/><Relationship Id="rId27" Type="http://schemas.openxmlformats.org/officeDocument/2006/relationships/hyperlink" Target="https://www.sec.gov/Archives/edgar/data/1297989/000129798925000002/exls-ex191x12x31x2024x10xk.htm" TargetMode="External"/><Relationship Id="rId28" Type="http://schemas.openxmlformats.org/officeDocument/2006/relationships/hyperlink" Target="https://www.sec.gov/Archives/edgar/data/1297989/000129798924000003/exls-ex97x12312023x10k.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82163</Words>
  <Characters>462241</Characters>
  <CharactersWithSpaces>541161</CharactersWithSpaces>
  <Paragraphs>6485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