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9360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936053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Talwar Vikram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04/24/2012</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1"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6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92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6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920" w:type="dxa"/>
            <w:vAlign w:val="bottom"/>
          </w:tcPr>
          <w:p>
            <w:pPr>
              <w:ind w:left="1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6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1660" w:type="dxa"/>
            <w:vAlign w:val="bottom"/>
          </w:tcPr>
          <w:p>
            <w:pPr>
              <w:ind w:left="880"/>
              <w:spacing w:after="0"/>
              <w:rPr>
                <w:sz w:val="20"/>
                <w:szCs w:val="20"/>
                <w:color w:val="auto"/>
              </w:rPr>
            </w:pPr>
            <w:r>
              <w:rPr>
                <w:rFonts w:ascii="Arial" w:cs="Arial" w:eastAsia="Arial" w:hAnsi="Arial"/>
                <w:sz w:val="17"/>
                <w:szCs w:val="17"/>
                <w:color w:val="0000FF"/>
              </w:rPr>
              <w:t>Chairman</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44" w:lineRule="exact"/>
        <w:rPr>
          <w:sz w:val="24"/>
          <w:szCs w:val="24"/>
          <w:color w:val="auto"/>
        </w:rPr>
      </w:pPr>
    </w:p>
    <w:p>
      <w:pPr>
        <w:sectPr>
          <w:pgSz w:w="11900" w:h="16838" w:orient="portrait"/>
          <w:cols w:equalWidth="0" w:num="3">
            <w:col w:w="3340" w:space="720"/>
            <w:col w:w="3269" w:space="720"/>
            <w:col w:w="3471"/>
          </w:cols>
          <w:pgMar w:left="240" w:top="224" w:right="139" w:bottom="0" w:gutter="0" w:footer="0" w:header="0"/>
          <w:type w:val="continuous"/>
        </w:sectPr>
      </w:pP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1440" w:type="dxa"/>
            <w:vAlign w:val="bottom"/>
            <w:shd w:val="clear" w:color="auto" w:fill="9A9A9A"/>
          </w:tcPr>
          <w:p>
            <w:pPr>
              <w:spacing w:after="0"/>
              <w:rPr>
                <w:sz w:val="2"/>
                <w:szCs w:val="2"/>
                <w:color w:val="auto"/>
              </w:rPr>
            </w:pPr>
          </w:p>
        </w:tc>
        <w:tc>
          <w:tcPr>
            <w:tcW w:w="1240" w:type="dxa"/>
            <w:vAlign w:val="bottom"/>
            <w:shd w:val="clear" w:color="auto" w:fill="9A9A9A"/>
          </w:tcPr>
          <w:p>
            <w:pPr>
              <w:spacing w:after="0"/>
              <w:rPr>
                <w:sz w:val="2"/>
                <w:szCs w:val="2"/>
                <w:color w:val="auto"/>
              </w:rPr>
            </w:pPr>
          </w:p>
        </w:tc>
        <w:tc>
          <w:tcPr>
            <w:tcW w:w="360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920" w:type="dxa"/>
            <w:vAlign w:val="bottom"/>
            <w:gridSpan w:val="5"/>
            <w:vMerge w:val="restart"/>
          </w:tcPr>
          <w:p>
            <w:pPr>
              <w:ind w:left="5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14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600" w:type="dxa"/>
            <w:vAlign w:val="bottom"/>
            <w:gridSpan w:val="5"/>
            <w:vMerge w:val="continue"/>
          </w:tcPr>
          <w:p>
            <w:pPr>
              <w:spacing w:after="0"/>
              <w:rPr>
                <w:sz w:val="11"/>
                <w:szCs w:val="11"/>
                <w:color w:val="auto"/>
              </w:rPr>
            </w:pPr>
          </w:p>
        </w:tc>
        <w:tc>
          <w:tcPr>
            <w:tcW w:w="392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4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tcPr>
          <w:p>
            <w:pPr>
              <w:ind w:left="5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NEW YORK</w:t>
            </w:r>
          </w:p>
        </w:tc>
        <w:tc>
          <w:tcPr>
            <w:tcW w:w="1440" w:type="dxa"/>
            <w:vAlign w:val="bottom"/>
          </w:tcPr>
          <w:p>
            <w:pPr>
              <w:ind w:left="180"/>
              <w:spacing w:after="0"/>
              <w:rPr>
                <w:sz w:val="20"/>
                <w:szCs w:val="20"/>
                <w:color w:val="auto"/>
              </w:rPr>
            </w:pPr>
            <w:r>
              <w:rPr>
                <w:rFonts w:ascii="Arial" w:cs="Arial" w:eastAsia="Arial" w:hAnsi="Arial"/>
                <w:sz w:val="17"/>
                <w:szCs w:val="17"/>
                <w:color w:val="0000FF"/>
              </w:rPr>
              <w:t>NY</w:t>
            </w:r>
          </w:p>
        </w:tc>
        <w:tc>
          <w:tcPr>
            <w:tcW w:w="1240" w:type="dxa"/>
            <w:vAlign w:val="bottom"/>
          </w:tcPr>
          <w:p>
            <w:pPr>
              <w:spacing w:after="0"/>
              <w:rPr>
                <w:sz w:val="20"/>
                <w:szCs w:val="20"/>
                <w:color w:val="auto"/>
              </w:rPr>
            </w:pPr>
            <w:r>
              <w:rPr>
                <w:rFonts w:ascii="Arial" w:cs="Arial" w:eastAsia="Arial" w:hAnsi="Arial"/>
                <w:sz w:val="17"/>
                <w:szCs w:val="17"/>
                <w:color w:val="0000FF"/>
              </w:rPr>
              <w:t>10017</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920" w:type="dxa"/>
            <w:vAlign w:val="bottom"/>
            <w:gridSpan w:val="5"/>
          </w:tcPr>
          <w:p>
            <w:pPr>
              <w:ind w:left="7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0" w:type="dxa"/>
            <w:vAlign w:val="bottom"/>
            <w:gridSpan w:val="4"/>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1440" w:type="dxa"/>
            <w:vAlign w:val="bottom"/>
            <w:tcBorders>
              <w:top w:val="single" w:sz="8" w:color="EEEEEE"/>
            </w:tcBorders>
          </w:tcPr>
          <w:p>
            <w:pPr>
              <w:spacing w:after="0"/>
              <w:rPr>
                <w:sz w:val="3"/>
                <w:szCs w:val="3"/>
                <w:color w:val="auto"/>
              </w:rPr>
            </w:pPr>
          </w:p>
        </w:tc>
        <w:tc>
          <w:tcPr>
            <w:tcW w:w="1240" w:type="dxa"/>
            <w:vAlign w:val="bottom"/>
            <w:tcBorders>
              <w:top w:val="single" w:sz="8" w:color="EEEEEE"/>
            </w:tcBorders>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440" w:type="dxa"/>
            <w:vAlign w:val="bottom"/>
            <w:vMerge w:val="restart"/>
          </w:tcPr>
          <w:p>
            <w:pPr>
              <w:ind w:left="180"/>
              <w:spacing w:after="0"/>
              <w:rPr>
                <w:sz w:val="20"/>
                <w:szCs w:val="20"/>
                <w:color w:val="auto"/>
              </w:rPr>
            </w:pPr>
            <w:r>
              <w:rPr>
                <w:rFonts w:ascii="Arial" w:cs="Arial" w:eastAsia="Arial" w:hAnsi="Arial"/>
                <w:sz w:val="13"/>
                <w:szCs w:val="13"/>
                <w:color w:val="auto"/>
              </w:rPr>
              <w:t>(State)</w:t>
            </w:r>
          </w:p>
        </w:tc>
        <w:tc>
          <w:tcPr>
            <w:tcW w:w="1580" w:type="dxa"/>
            <w:vAlign w:val="bottom"/>
            <w:gridSpan w:val="2"/>
            <w:vMerge w:val="restart"/>
          </w:tcPr>
          <w:p>
            <w:pPr>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tcPr>
          <w:p>
            <w:pPr>
              <w:ind w:left="180"/>
              <w:spacing w:after="0"/>
              <w:rPr>
                <w:sz w:val="20"/>
                <w:szCs w:val="20"/>
                <w:color w:val="auto"/>
              </w:rPr>
            </w:pPr>
            <w:r>
              <w:rPr>
                <w:rFonts w:ascii="Arial" w:cs="Arial" w:eastAsia="Arial" w:hAnsi="Arial"/>
                <w:sz w:val="13"/>
                <w:szCs w:val="13"/>
                <w:color w:val="auto"/>
              </w:rPr>
              <w:t>Person</w:t>
            </w: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1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2680" w:type="dxa"/>
            <w:vAlign w:val="bottom"/>
            <w:tcBorders>
              <w:bottom w:val="single" w:sz="8" w:color="2C2C2C"/>
            </w:tcBorders>
            <w:gridSpan w:val="2"/>
          </w:tcPr>
          <w:p>
            <w:pPr>
              <w:spacing w:after="0"/>
              <w:rPr>
                <w:sz w:val="11"/>
                <w:szCs w:val="11"/>
                <w:color w:val="auto"/>
              </w:rPr>
            </w:pPr>
          </w:p>
        </w:tc>
        <w:tc>
          <w:tcPr>
            <w:tcW w:w="566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100" w:type="dxa"/>
            <w:vAlign w:val="bottom"/>
            <w:tcBorders>
              <w:top w:val="single" w:sz="8" w:color="2C2C2C"/>
            </w:tcBorders>
          </w:tcPr>
          <w:p>
            <w:pPr>
              <w:spacing w:after="0"/>
              <w:rPr>
                <w:sz w:val="21"/>
                <w:szCs w:val="21"/>
                <w:color w:val="auto"/>
              </w:rPr>
            </w:pPr>
          </w:p>
        </w:tc>
        <w:tc>
          <w:tcPr>
            <w:tcW w:w="8340" w:type="dxa"/>
            <w:vAlign w:val="bottom"/>
            <w:tcBorders>
              <w:top w:val="single" w:sz="8" w:color="2C2C2C"/>
            </w:tcBorders>
            <w:gridSpan w:val="9"/>
          </w:tcPr>
          <w:p>
            <w:pPr>
              <w:ind w:left="12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580" w:type="dxa"/>
            <w:vAlign w:val="bottom"/>
            <w:gridSpan w:val="2"/>
          </w:tcPr>
          <w:p>
            <w:pPr>
              <w:ind w:left="54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2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580" w:type="dxa"/>
            <w:vAlign w:val="bottom"/>
            <w:gridSpan w:val="2"/>
          </w:tcPr>
          <w:p>
            <w:pPr>
              <w:jc w:val="center"/>
              <w:ind w:left="382"/>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9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92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w w:val="90"/>
              </w:rPr>
              <w:t>Common Stock, par value $0.001 per</w:t>
            </w:r>
          </w:p>
        </w:tc>
        <w:tc>
          <w:tcPr>
            <w:tcW w:w="1580" w:type="dxa"/>
            <w:vAlign w:val="bottom"/>
            <w:gridSpan w:val="2"/>
            <w:vMerge w:val="restart"/>
          </w:tcPr>
          <w:p>
            <w:pPr>
              <w:jc w:val="center"/>
              <w:ind w:left="402"/>
              <w:spacing w:after="0"/>
              <w:rPr>
                <w:sz w:val="20"/>
                <w:szCs w:val="20"/>
                <w:color w:val="auto"/>
              </w:rPr>
            </w:pPr>
            <w:r>
              <w:rPr>
                <w:rFonts w:ascii="Arial" w:cs="Arial" w:eastAsia="Arial" w:hAnsi="Arial"/>
                <w:sz w:val="17"/>
                <w:szCs w:val="17"/>
                <w:color w:val="0000FF"/>
                <w:w w:val="91"/>
              </w:rPr>
              <w:t>04/24/2012</w:t>
            </w:r>
          </w:p>
        </w:tc>
        <w:tc>
          <w:tcPr>
            <w:tcW w:w="1120" w:type="dxa"/>
            <w:vAlign w:val="bottom"/>
          </w:tcPr>
          <w:p>
            <w:pPr>
              <w:spacing w:after="0"/>
              <w:rPr>
                <w:sz w:val="22"/>
                <w:szCs w:val="22"/>
                <w:color w:val="auto"/>
              </w:rPr>
            </w:pPr>
          </w:p>
        </w:tc>
        <w:tc>
          <w:tcPr>
            <w:tcW w:w="780" w:type="dxa"/>
            <w:vAlign w:val="bottom"/>
            <w:vMerge w:val="restart"/>
          </w:tcPr>
          <w:p>
            <w:pPr>
              <w:jc w:val="center"/>
              <w:ind w:right="283"/>
              <w:spacing w:after="0"/>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(1)</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0000FF"/>
                <w:w w:val="88"/>
              </w:rPr>
              <w:t>36,734</w:t>
            </w:r>
          </w:p>
        </w:tc>
        <w:tc>
          <w:tcPr>
            <w:tcW w:w="540" w:type="dxa"/>
            <w:vAlign w:val="bottom"/>
            <w:vMerge w:val="restart"/>
          </w:tcPr>
          <w:p>
            <w:pPr>
              <w:ind w:left="220"/>
              <w:spacing w:after="0"/>
              <w:rPr>
                <w:sz w:val="20"/>
                <w:szCs w:val="20"/>
                <w:color w:val="auto"/>
              </w:rPr>
            </w:pPr>
            <w:r>
              <w:rPr>
                <w:rFonts w:ascii="Arial" w:cs="Arial" w:eastAsia="Arial" w:hAnsi="Arial"/>
                <w:sz w:val="17"/>
                <w:szCs w:val="17"/>
                <w:color w:val="0000FF"/>
              </w:rPr>
              <w:t>A</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8.75</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2"/>
              </w:rPr>
              <w:t>74,234</w:t>
            </w:r>
          </w:p>
        </w:tc>
        <w:tc>
          <w:tcPr>
            <w:tcW w:w="960" w:type="dxa"/>
            <w:vAlign w:val="bottom"/>
            <w:vMerge w:val="restart"/>
          </w:tcPr>
          <w:p>
            <w:pPr>
              <w:ind w:left="380"/>
              <w:spacing w:after="0"/>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(2)</w:t>
            </w: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144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5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w w:val="90"/>
              </w:rPr>
              <w:t>Common Stock, par value $0.001 per</w:t>
            </w:r>
          </w:p>
        </w:tc>
        <w:tc>
          <w:tcPr>
            <w:tcW w:w="1580" w:type="dxa"/>
            <w:vAlign w:val="bottom"/>
            <w:gridSpan w:val="2"/>
            <w:vMerge w:val="restart"/>
          </w:tcPr>
          <w:p>
            <w:pPr>
              <w:jc w:val="center"/>
              <w:ind w:left="402"/>
              <w:spacing w:after="0"/>
              <w:rPr>
                <w:sz w:val="20"/>
                <w:szCs w:val="20"/>
                <w:color w:val="auto"/>
              </w:rPr>
            </w:pPr>
            <w:r>
              <w:rPr>
                <w:rFonts w:ascii="Arial" w:cs="Arial" w:eastAsia="Arial" w:hAnsi="Arial"/>
                <w:sz w:val="17"/>
                <w:szCs w:val="17"/>
                <w:color w:val="0000FF"/>
                <w:w w:val="91"/>
              </w:rPr>
              <w:t>04/24/2012</w:t>
            </w:r>
          </w:p>
        </w:tc>
        <w:tc>
          <w:tcPr>
            <w:tcW w:w="1120" w:type="dxa"/>
            <w:vAlign w:val="bottom"/>
          </w:tcPr>
          <w:p>
            <w:pPr>
              <w:spacing w:after="0"/>
              <w:rPr>
                <w:sz w:val="22"/>
                <w:szCs w:val="22"/>
                <w:color w:val="auto"/>
              </w:rPr>
            </w:pPr>
          </w:p>
        </w:tc>
        <w:tc>
          <w:tcPr>
            <w:tcW w:w="780" w:type="dxa"/>
            <w:vAlign w:val="bottom"/>
            <w:vMerge w:val="restart"/>
          </w:tcPr>
          <w:p>
            <w:pPr>
              <w:jc w:val="center"/>
              <w:ind w:right="28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(3)</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0000FF"/>
                <w:w w:val="88"/>
              </w:rPr>
              <w:t>36,734</w:t>
            </w:r>
          </w:p>
        </w:tc>
        <w:tc>
          <w:tcPr>
            <w:tcW w:w="540" w:type="dxa"/>
            <w:vAlign w:val="bottom"/>
            <w:vMerge w:val="restart"/>
          </w:tcPr>
          <w:p>
            <w:pPr>
              <w:ind w:left="220"/>
              <w:spacing w:after="0"/>
              <w:rPr>
                <w:sz w:val="20"/>
                <w:szCs w:val="20"/>
                <w:color w:val="auto"/>
              </w:rPr>
            </w:pPr>
            <w:r>
              <w:rPr>
                <w:rFonts w:ascii="Arial" w:cs="Arial" w:eastAsia="Arial" w:hAnsi="Arial"/>
                <w:sz w:val="17"/>
                <w:szCs w:val="17"/>
                <w:color w:val="0000FF"/>
              </w:rPr>
              <w:t>D</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27.7808</w:t>
            </w:r>
            <w:r>
              <w:rPr>
                <w:rFonts w:ascii="Arial" w:cs="Arial" w:eastAsia="Arial" w:hAnsi="Arial"/>
                <w:sz w:val="22"/>
                <w:szCs w:val="22"/>
                <w:color w:val="008000"/>
                <w:w w:val="87"/>
                <w:vertAlign w:val="superscript"/>
              </w:rPr>
              <w:t>(4)</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2"/>
              </w:rPr>
              <w:t>37,500</w:t>
            </w:r>
          </w:p>
        </w:tc>
        <w:tc>
          <w:tcPr>
            <w:tcW w:w="960" w:type="dxa"/>
            <w:vAlign w:val="bottom"/>
            <w:vMerge w:val="restart"/>
          </w:tcPr>
          <w:p>
            <w:pPr>
              <w:ind w:left="380"/>
              <w:spacing w:after="0"/>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(2)</w:t>
            </w: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144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5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w w:val="90"/>
              </w:rPr>
              <w:t>Common Stock, par value $0.001 per</w:t>
            </w:r>
          </w:p>
        </w:tc>
        <w:tc>
          <w:tcPr>
            <w:tcW w:w="1580" w:type="dxa"/>
            <w:vAlign w:val="bottom"/>
            <w:gridSpan w:val="2"/>
            <w:vMerge w:val="restart"/>
          </w:tcPr>
          <w:p>
            <w:pPr>
              <w:jc w:val="center"/>
              <w:ind w:left="402"/>
              <w:spacing w:after="0"/>
              <w:rPr>
                <w:sz w:val="20"/>
                <w:szCs w:val="20"/>
                <w:color w:val="auto"/>
              </w:rPr>
            </w:pPr>
            <w:r>
              <w:rPr>
                <w:rFonts w:ascii="Arial" w:cs="Arial" w:eastAsia="Arial" w:hAnsi="Arial"/>
                <w:sz w:val="17"/>
                <w:szCs w:val="17"/>
                <w:color w:val="0000FF"/>
                <w:w w:val="91"/>
              </w:rPr>
              <w:t>04/25/2012</w:t>
            </w:r>
          </w:p>
        </w:tc>
        <w:tc>
          <w:tcPr>
            <w:tcW w:w="1120" w:type="dxa"/>
            <w:vAlign w:val="bottom"/>
          </w:tcPr>
          <w:p>
            <w:pPr>
              <w:spacing w:after="0"/>
              <w:rPr>
                <w:sz w:val="22"/>
                <w:szCs w:val="22"/>
                <w:color w:val="auto"/>
              </w:rPr>
            </w:pPr>
          </w:p>
        </w:tc>
        <w:tc>
          <w:tcPr>
            <w:tcW w:w="780" w:type="dxa"/>
            <w:vAlign w:val="bottom"/>
            <w:vMerge w:val="restart"/>
          </w:tcPr>
          <w:p>
            <w:pPr>
              <w:jc w:val="center"/>
              <w:ind w:right="283"/>
              <w:spacing w:after="0"/>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(5)</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0000FF"/>
                <w:w w:val="88"/>
              </w:rPr>
              <w:t>53,081</w:t>
            </w:r>
          </w:p>
        </w:tc>
        <w:tc>
          <w:tcPr>
            <w:tcW w:w="540" w:type="dxa"/>
            <w:vAlign w:val="bottom"/>
            <w:vMerge w:val="restart"/>
          </w:tcPr>
          <w:p>
            <w:pPr>
              <w:ind w:left="220"/>
              <w:spacing w:after="0"/>
              <w:rPr>
                <w:sz w:val="20"/>
                <w:szCs w:val="20"/>
                <w:color w:val="auto"/>
              </w:rPr>
            </w:pPr>
            <w:r>
              <w:rPr>
                <w:rFonts w:ascii="Arial" w:cs="Arial" w:eastAsia="Arial" w:hAnsi="Arial"/>
                <w:sz w:val="17"/>
                <w:szCs w:val="17"/>
                <w:color w:val="0000FF"/>
              </w:rPr>
              <w:t>A</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8.75</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2"/>
              </w:rPr>
              <w:t>90,581</w:t>
            </w:r>
          </w:p>
        </w:tc>
        <w:tc>
          <w:tcPr>
            <w:tcW w:w="960" w:type="dxa"/>
            <w:vAlign w:val="bottom"/>
            <w:vMerge w:val="restart"/>
          </w:tcPr>
          <w:p>
            <w:pPr>
              <w:ind w:left="380"/>
              <w:spacing w:after="0"/>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(2)</w:t>
            </w: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144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5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w w:val="90"/>
              </w:rPr>
              <w:t>Common Stock, par value $0.001 per</w:t>
            </w:r>
          </w:p>
        </w:tc>
        <w:tc>
          <w:tcPr>
            <w:tcW w:w="1580" w:type="dxa"/>
            <w:vAlign w:val="bottom"/>
            <w:gridSpan w:val="2"/>
            <w:vMerge w:val="restart"/>
          </w:tcPr>
          <w:p>
            <w:pPr>
              <w:jc w:val="center"/>
              <w:ind w:left="402"/>
              <w:spacing w:after="0"/>
              <w:rPr>
                <w:sz w:val="20"/>
                <w:szCs w:val="20"/>
                <w:color w:val="auto"/>
              </w:rPr>
            </w:pPr>
            <w:r>
              <w:rPr>
                <w:rFonts w:ascii="Arial" w:cs="Arial" w:eastAsia="Arial" w:hAnsi="Arial"/>
                <w:sz w:val="17"/>
                <w:szCs w:val="17"/>
                <w:color w:val="0000FF"/>
                <w:w w:val="91"/>
              </w:rPr>
              <w:t>04/25/2012</w:t>
            </w:r>
          </w:p>
        </w:tc>
        <w:tc>
          <w:tcPr>
            <w:tcW w:w="1120" w:type="dxa"/>
            <w:vAlign w:val="bottom"/>
          </w:tcPr>
          <w:p>
            <w:pPr>
              <w:spacing w:after="0"/>
              <w:rPr>
                <w:sz w:val="22"/>
                <w:szCs w:val="22"/>
                <w:color w:val="auto"/>
              </w:rPr>
            </w:pPr>
          </w:p>
        </w:tc>
        <w:tc>
          <w:tcPr>
            <w:tcW w:w="780" w:type="dxa"/>
            <w:vAlign w:val="bottom"/>
            <w:vMerge w:val="restart"/>
          </w:tcPr>
          <w:p>
            <w:pPr>
              <w:jc w:val="center"/>
              <w:ind w:right="28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(3)</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0000FF"/>
                <w:w w:val="88"/>
              </w:rPr>
              <w:t>53,081</w:t>
            </w:r>
          </w:p>
        </w:tc>
        <w:tc>
          <w:tcPr>
            <w:tcW w:w="540" w:type="dxa"/>
            <w:vAlign w:val="bottom"/>
            <w:vMerge w:val="restart"/>
          </w:tcPr>
          <w:p>
            <w:pPr>
              <w:ind w:left="220"/>
              <w:spacing w:after="0"/>
              <w:rPr>
                <w:sz w:val="20"/>
                <w:szCs w:val="20"/>
                <w:color w:val="auto"/>
              </w:rPr>
            </w:pPr>
            <w:r>
              <w:rPr>
                <w:rFonts w:ascii="Arial" w:cs="Arial" w:eastAsia="Arial" w:hAnsi="Arial"/>
                <w:sz w:val="17"/>
                <w:szCs w:val="17"/>
                <w:color w:val="0000FF"/>
              </w:rPr>
              <w:t>D</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27.7692</w:t>
            </w:r>
            <w:r>
              <w:rPr>
                <w:rFonts w:ascii="Arial" w:cs="Arial" w:eastAsia="Arial" w:hAnsi="Arial"/>
                <w:sz w:val="22"/>
                <w:szCs w:val="22"/>
                <w:color w:val="008000"/>
                <w:w w:val="87"/>
                <w:vertAlign w:val="superscript"/>
              </w:rPr>
              <w:t>(6)</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2"/>
              </w:rPr>
              <w:t>37,500</w:t>
            </w:r>
          </w:p>
        </w:tc>
        <w:tc>
          <w:tcPr>
            <w:tcW w:w="960" w:type="dxa"/>
            <w:vAlign w:val="bottom"/>
            <w:vMerge w:val="restart"/>
          </w:tcPr>
          <w:p>
            <w:pPr>
              <w:ind w:left="380"/>
              <w:spacing w:after="0"/>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(2)</w:t>
            </w: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144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5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w w:val="90"/>
              </w:rPr>
              <w:t>Common Stock, par value $0.001 per</w:t>
            </w:r>
          </w:p>
        </w:tc>
        <w:tc>
          <w:tcPr>
            <w:tcW w:w="1580" w:type="dxa"/>
            <w:vAlign w:val="bottom"/>
            <w:gridSpan w:val="2"/>
            <w:vMerge w:val="restart"/>
          </w:tcPr>
          <w:p>
            <w:pPr>
              <w:jc w:val="center"/>
              <w:ind w:left="402"/>
              <w:spacing w:after="0"/>
              <w:rPr>
                <w:sz w:val="20"/>
                <w:szCs w:val="20"/>
                <w:color w:val="auto"/>
              </w:rPr>
            </w:pPr>
            <w:r>
              <w:rPr>
                <w:rFonts w:ascii="Arial" w:cs="Arial" w:eastAsia="Arial" w:hAnsi="Arial"/>
                <w:sz w:val="17"/>
                <w:szCs w:val="17"/>
                <w:color w:val="0000FF"/>
                <w:w w:val="91"/>
              </w:rPr>
              <w:t>04/25/2012</w:t>
            </w:r>
          </w:p>
        </w:tc>
        <w:tc>
          <w:tcPr>
            <w:tcW w:w="1120" w:type="dxa"/>
            <w:vAlign w:val="bottom"/>
          </w:tcPr>
          <w:p>
            <w:pPr>
              <w:spacing w:after="0"/>
              <w:rPr>
                <w:sz w:val="22"/>
                <w:szCs w:val="22"/>
                <w:color w:val="auto"/>
              </w:rPr>
            </w:pPr>
          </w:p>
        </w:tc>
        <w:tc>
          <w:tcPr>
            <w:tcW w:w="780" w:type="dxa"/>
            <w:vAlign w:val="bottom"/>
            <w:vMerge w:val="restart"/>
          </w:tcPr>
          <w:p>
            <w:pPr>
              <w:jc w:val="center"/>
              <w:ind w:right="283"/>
              <w:spacing w:after="0"/>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(5)</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0000FF"/>
                <w:w w:val="91"/>
              </w:rPr>
              <w:t>149,871</w:t>
            </w:r>
          </w:p>
        </w:tc>
        <w:tc>
          <w:tcPr>
            <w:tcW w:w="540" w:type="dxa"/>
            <w:vAlign w:val="bottom"/>
            <w:vMerge w:val="restart"/>
          </w:tcPr>
          <w:p>
            <w:pPr>
              <w:ind w:left="220"/>
              <w:spacing w:after="0"/>
              <w:rPr>
                <w:sz w:val="20"/>
                <w:szCs w:val="20"/>
                <w:color w:val="auto"/>
              </w:rPr>
            </w:pPr>
            <w:r>
              <w:rPr>
                <w:rFonts w:ascii="Arial" w:cs="Arial" w:eastAsia="Arial" w:hAnsi="Arial"/>
                <w:sz w:val="17"/>
                <w:szCs w:val="17"/>
                <w:color w:val="0000FF"/>
              </w:rPr>
              <w:t>A</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16.96</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1"/>
              </w:rPr>
              <w:t>187,371</w:t>
            </w:r>
          </w:p>
        </w:tc>
        <w:tc>
          <w:tcPr>
            <w:tcW w:w="960" w:type="dxa"/>
            <w:vAlign w:val="bottom"/>
            <w:vMerge w:val="restart"/>
          </w:tcPr>
          <w:p>
            <w:pPr>
              <w:ind w:left="380"/>
              <w:spacing w:after="0"/>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(2)</w:t>
            </w: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144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5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w w:val="90"/>
              </w:rPr>
              <w:t>Common Stock, par value $0.001 per</w:t>
            </w:r>
          </w:p>
        </w:tc>
        <w:tc>
          <w:tcPr>
            <w:tcW w:w="1580" w:type="dxa"/>
            <w:vAlign w:val="bottom"/>
            <w:gridSpan w:val="2"/>
            <w:vMerge w:val="restart"/>
          </w:tcPr>
          <w:p>
            <w:pPr>
              <w:jc w:val="center"/>
              <w:ind w:left="402"/>
              <w:spacing w:after="0"/>
              <w:rPr>
                <w:sz w:val="20"/>
                <w:szCs w:val="20"/>
                <w:color w:val="auto"/>
              </w:rPr>
            </w:pPr>
            <w:r>
              <w:rPr>
                <w:rFonts w:ascii="Arial" w:cs="Arial" w:eastAsia="Arial" w:hAnsi="Arial"/>
                <w:sz w:val="17"/>
                <w:szCs w:val="17"/>
                <w:color w:val="0000FF"/>
                <w:w w:val="91"/>
              </w:rPr>
              <w:t>04/25/2012</w:t>
            </w:r>
          </w:p>
        </w:tc>
        <w:tc>
          <w:tcPr>
            <w:tcW w:w="1120" w:type="dxa"/>
            <w:vAlign w:val="bottom"/>
          </w:tcPr>
          <w:p>
            <w:pPr>
              <w:spacing w:after="0"/>
              <w:rPr>
                <w:sz w:val="22"/>
                <w:szCs w:val="22"/>
                <w:color w:val="auto"/>
              </w:rPr>
            </w:pPr>
          </w:p>
        </w:tc>
        <w:tc>
          <w:tcPr>
            <w:tcW w:w="780" w:type="dxa"/>
            <w:vAlign w:val="bottom"/>
            <w:vMerge w:val="restart"/>
          </w:tcPr>
          <w:p>
            <w:pPr>
              <w:jc w:val="center"/>
              <w:ind w:right="28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(3)</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0000FF"/>
                <w:w w:val="91"/>
              </w:rPr>
              <w:t>149,871</w:t>
            </w:r>
          </w:p>
        </w:tc>
        <w:tc>
          <w:tcPr>
            <w:tcW w:w="540" w:type="dxa"/>
            <w:vAlign w:val="bottom"/>
            <w:vMerge w:val="restart"/>
          </w:tcPr>
          <w:p>
            <w:pPr>
              <w:ind w:left="220"/>
              <w:spacing w:after="0"/>
              <w:rPr>
                <w:sz w:val="20"/>
                <w:szCs w:val="20"/>
                <w:color w:val="auto"/>
              </w:rPr>
            </w:pPr>
            <w:r>
              <w:rPr>
                <w:rFonts w:ascii="Arial" w:cs="Arial" w:eastAsia="Arial" w:hAnsi="Arial"/>
                <w:sz w:val="17"/>
                <w:szCs w:val="17"/>
                <w:color w:val="0000FF"/>
              </w:rPr>
              <w:t>D</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27.7692</w:t>
            </w:r>
            <w:r>
              <w:rPr>
                <w:rFonts w:ascii="Arial" w:cs="Arial" w:eastAsia="Arial" w:hAnsi="Arial"/>
                <w:sz w:val="22"/>
                <w:szCs w:val="22"/>
                <w:color w:val="008000"/>
                <w:w w:val="87"/>
                <w:vertAlign w:val="superscript"/>
              </w:rPr>
              <w:t>(6)</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2"/>
              </w:rPr>
              <w:t>37,500</w:t>
            </w:r>
          </w:p>
        </w:tc>
        <w:tc>
          <w:tcPr>
            <w:tcW w:w="960" w:type="dxa"/>
            <w:vAlign w:val="bottom"/>
            <w:vMerge w:val="restart"/>
          </w:tcPr>
          <w:p>
            <w:pPr>
              <w:ind w:left="380"/>
              <w:spacing w:after="0"/>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(2)</w:t>
            </w: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144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5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w w:val="90"/>
              </w:rPr>
              <w:t>Common Stock, par value $0.001 per</w:t>
            </w:r>
          </w:p>
        </w:tc>
        <w:tc>
          <w:tcPr>
            <w:tcW w:w="1580" w:type="dxa"/>
            <w:vAlign w:val="bottom"/>
            <w:gridSpan w:val="2"/>
            <w:vMerge w:val="restart"/>
          </w:tcPr>
          <w:p>
            <w:pPr>
              <w:jc w:val="center"/>
              <w:ind w:left="402"/>
              <w:spacing w:after="0"/>
              <w:rPr>
                <w:sz w:val="20"/>
                <w:szCs w:val="20"/>
                <w:color w:val="auto"/>
              </w:rPr>
            </w:pPr>
            <w:r>
              <w:rPr>
                <w:rFonts w:ascii="Arial" w:cs="Arial" w:eastAsia="Arial" w:hAnsi="Arial"/>
                <w:sz w:val="17"/>
                <w:szCs w:val="17"/>
                <w:color w:val="0000FF"/>
                <w:w w:val="91"/>
              </w:rPr>
              <w:t>04/26/2012</w:t>
            </w:r>
          </w:p>
        </w:tc>
        <w:tc>
          <w:tcPr>
            <w:tcW w:w="1120" w:type="dxa"/>
            <w:vAlign w:val="bottom"/>
          </w:tcPr>
          <w:p>
            <w:pPr>
              <w:spacing w:after="0"/>
              <w:rPr>
                <w:sz w:val="22"/>
                <w:szCs w:val="22"/>
                <w:color w:val="auto"/>
              </w:rPr>
            </w:pPr>
          </w:p>
        </w:tc>
        <w:tc>
          <w:tcPr>
            <w:tcW w:w="780" w:type="dxa"/>
            <w:vAlign w:val="bottom"/>
            <w:vMerge w:val="restart"/>
          </w:tcPr>
          <w:p>
            <w:pPr>
              <w:jc w:val="center"/>
              <w:ind w:right="283"/>
              <w:spacing w:after="0"/>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(7)</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0000FF"/>
                <w:w w:val="91"/>
              </w:rPr>
              <w:t>129</w:t>
            </w:r>
          </w:p>
        </w:tc>
        <w:tc>
          <w:tcPr>
            <w:tcW w:w="540" w:type="dxa"/>
            <w:vAlign w:val="bottom"/>
            <w:vMerge w:val="restart"/>
          </w:tcPr>
          <w:p>
            <w:pPr>
              <w:ind w:left="220"/>
              <w:spacing w:after="0"/>
              <w:rPr>
                <w:sz w:val="20"/>
                <w:szCs w:val="20"/>
                <w:color w:val="auto"/>
              </w:rPr>
            </w:pPr>
            <w:r>
              <w:rPr>
                <w:rFonts w:ascii="Arial" w:cs="Arial" w:eastAsia="Arial" w:hAnsi="Arial"/>
                <w:sz w:val="17"/>
                <w:szCs w:val="17"/>
                <w:color w:val="0000FF"/>
              </w:rPr>
              <w:t>A</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16.96</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2"/>
              </w:rPr>
              <w:t>37,629</w:t>
            </w:r>
          </w:p>
        </w:tc>
        <w:tc>
          <w:tcPr>
            <w:tcW w:w="960" w:type="dxa"/>
            <w:vAlign w:val="bottom"/>
            <w:vMerge w:val="restart"/>
          </w:tcPr>
          <w:p>
            <w:pPr>
              <w:ind w:left="380"/>
              <w:spacing w:after="0"/>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(2)</w:t>
            </w: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144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5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w w:val="90"/>
              </w:rPr>
              <w:t>Common Stock, par value $0.001 per</w:t>
            </w:r>
          </w:p>
        </w:tc>
        <w:tc>
          <w:tcPr>
            <w:tcW w:w="1580" w:type="dxa"/>
            <w:vAlign w:val="bottom"/>
            <w:gridSpan w:val="2"/>
            <w:vMerge w:val="restart"/>
          </w:tcPr>
          <w:p>
            <w:pPr>
              <w:jc w:val="center"/>
              <w:ind w:left="402"/>
              <w:spacing w:after="0"/>
              <w:rPr>
                <w:sz w:val="20"/>
                <w:szCs w:val="20"/>
                <w:color w:val="auto"/>
              </w:rPr>
            </w:pPr>
            <w:r>
              <w:rPr>
                <w:rFonts w:ascii="Arial" w:cs="Arial" w:eastAsia="Arial" w:hAnsi="Arial"/>
                <w:sz w:val="17"/>
                <w:szCs w:val="17"/>
                <w:color w:val="0000FF"/>
                <w:w w:val="91"/>
              </w:rPr>
              <w:t>04/26/2012</w:t>
            </w:r>
          </w:p>
        </w:tc>
        <w:tc>
          <w:tcPr>
            <w:tcW w:w="1120" w:type="dxa"/>
            <w:vAlign w:val="bottom"/>
          </w:tcPr>
          <w:p>
            <w:pPr>
              <w:spacing w:after="0"/>
              <w:rPr>
                <w:sz w:val="22"/>
                <w:szCs w:val="22"/>
                <w:color w:val="auto"/>
              </w:rPr>
            </w:pPr>
          </w:p>
        </w:tc>
        <w:tc>
          <w:tcPr>
            <w:tcW w:w="780" w:type="dxa"/>
            <w:vAlign w:val="bottom"/>
            <w:vMerge w:val="restart"/>
          </w:tcPr>
          <w:p>
            <w:pPr>
              <w:jc w:val="center"/>
              <w:ind w:right="28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(3)</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0000FF"/>
                <w:w w:val="91"/>
              </w:rPr>
              <w:t>129</w:t>
            </w:r>
          </w:p>
        </w:tc>
        <w:tc>
          <w:tcPr>
            <w:tcW w:w="540" w:type="dxa"/>
            <w:vAlign w:val="bottom"/>
            <w:vMerge w:val="restart"/>
          </w:tcPr>
          <w:p>
            <w:pPr>
              <w:ind w:left="220"/>
              <w:spacing w:after="0"/>
              <w:rPr>
                <w:sz w:val="20"/>
                <w:szCs w:val="20"/>
                <w:color w:val="auto"/>
              </w:rPr>
            </w:pPr>
            <w:r>
              <w:rPr>
                <w:rFonts w:ascii="Arial" w:cs="Arial" w:eastAsia="Arial" w:hAnsi="Arial"/>
                <w:sz w:val="17"/>
                <w:szCs w:val="17"/>
                <w:color w:val="0000FF"/>
              </w:rPr>
              <w:t>D</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27.8</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2"/>
              </w:rPr>
              <w:t>37,500</w:t>
            </w:r>
          </w:p>
        </w:tc>
        <w:tc>
          <w:tcPr>
            <w:tcW w:w="960" w:type="dxa"/>
            <w:vAlign w:val="bottom"/>
            <w:vMerge w:val="restart"/>
          </w:tcPr>
          <w:p>
            <w:pPr>
              <w:ind w:left="380"/>
              <w:spacing w:after="0"/>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(2)</w:t>
            </w: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144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5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7" w:lineRule="exact"/>
        <w:rPr>
          <w:sz w:val="24"/>
          <w:szCs w:val="24"/>
          <w:color w:val="auto"/>
        </w:rPr>
      </w:pPr>
    </w:p>
    <w:p>
      <w:pPr>
        <w:sectPr>
          <w:pgSz w:w="11900" w:h="16838" w:orient="portrait"/>
          <w:cols w:equalWidth="0" w:num="1">
            <w:col w:w="11520"/>
          </w:cols>
          <w:pgMar w:left="240" w:top="224" w:right="139" w:bottom="0" w:gutter="0" w:footer="0" w:header="0"/>
          <w:type w:val="continuous"/>
        </w:sect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45" w:lineRule="exact"/>
        <w:rPr>
          <w:sz w:val="24"/>
          <w:szCs w:val="24"/>
          <w:color w:val="auto"/>
        </w:rPr>
      </w:pPr>
    </w:p>
    <w:p>
      <w:pPr>
        <w:ind w:left="80"/>
        <w:spacing w:after="0"/>
        <w:rPr>
          <w:sz w:val="20"/>
          <w:szCs w:val="20"/>
          <w:color w:val="auto"/>
        </w:rPr>
      </w:pPr>
      <w:r>
        <w:rPr>
          <w:rFonts w:ascii="Arial" w:cs="Arial" w:eastAsia="Arial" w:hAnsi="Arial"/>
          <w:sz w:val="17"/>
          <w:szCs w:val="17"/>
          <w:color w:val="0000FF"/>
        </w:rPr>
        <w:t>share</w:t>
      </w:r>
    </w:p>
    <w:p>
      <w:pPr>
        <w:spacing w:after="0" w:line="143"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45" w:lineRule="exact"/>
        <w:rPr>
          <w:sz w:val="24"/>
          <w:szCs w:val="24"/>
          <w:color w:val="auto"/>
        </w:rPr>
      </w:pPr>
    </w:p>
    <w:p>
      <w:pPr>
        <w:ind w:left="80"/>
        <w:spacing w:after="0"/>
        <w:rPr>
          <w:sz w:val="20"/>
          <w:szCs w:val="20"/>
          <w:color w:val="auto"/>
        </w:rPr>
      </w:pPr>
      <w:r>
        <w:rPr>
          <w:rFonts w:ascii="Arial" w:cs="Arial" w:eastAsia="Arial" w:hAnsi="Arial"/>
          <w:sz w:val="17"/>
          <w:szCs w:val="17"/>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940" w:type="dxa"/>
            <w:vAlign w:val="bottom"/>
            <w:vMerge w:val="restart"/>
          </w:tcPr>
          <w:p>
            <w:pPr>
              <w:jc w:val="right"/>
              <w:ind w:right="294"/>
              <w:spacing w:after="0"/>
              <w:rPr>
                <w:sz w:val="20"/>
                <w:szCs w:val="20"/>
                <w:color w:val="auto"/>
              </w:rPr>
            </w:pPr>
            <w:r>
              <w:rPr>
                <w:rFonts w:ascii="Arial" w:cs="Arial" w:eastAsia="Arial" w:hAnsi="Arial"/>
                <w:sz w:val="17"/>
                <w:szCs w:val="17"/>
                <w:color w:val="0000FF"/>
                <w:w w:val="87"/>
              </w:rPr>
              <w:t>603,880</w:t>
            </w:r>
          </w:p>
        </w:tc>
        <w:tc>
          <w:tcPr>
            <w:tcW w:w="68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1000" w:type="dxa"/>
            <w:vAlign w:val="bottom"/>
          </w:tcPr>
          <w:p>
            <w:pPr>
              <w:ind w:left="2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00" w:type="dxa"/>
            <w:vAlign w:val="bottom"/>
            <w:vMerge w:val="restart"/>
          </w:tcPr>
          <w:p>
            <w:pPr>
              <w:ind w:left="260"/>
              <w:spacing w:after="0"/>
              <w:rPr>
                <w:sz w:val="20"/>
                <w:szCs w:val="20"/>
                <w:color w:val="auto"/>
              </w:rPr>
            </w:pPr>
            <w:r>
              <w:rPr>
                <w:rFonts w:ascii="Arial" w:cs="Arial" w:eastAsia="Arial" w:hAnsi="Arial"/>
                <w:sz w:val="17"/>
                <w:szCs w:val="17"/>
                <w:color w:val="0000FF"/>
                <w:w w:val="90"/>
              </w:rPr>
              <w:t>footnote</w:t>
            </w:r>
            <w:r>
              <w:rPr>
                <w:rFonts w:ascii="Arial" w:cs="Arial" w:eastAsia="Arial" w:hAnsi="Arial"/>
                <w:sz w:val="22"/>
                <w:szCs w:val="22"/>
                <w:color w:val="008000"/>
                <w:w w:val="90"/>
                <w:vertAlign w:val="superscript"/>
              </w:rPr>
              <w:t>(8)</w:t>
            </w:r>
          </w:p>
        </w:tc>
        <w:tc>
          <w:tcPr>
            <w:tcW w:w="0" w:type="dxa"/>
            <w:vAlign w:val="bottom"/>
          </w:tcPr>
          <w:p>
            <w:pPr>
              <w:spacing w:after="0"/>
              <w:rPr>
                <w:sz w:val="1"/>
                <w:szCs w:val="1"/>
                <w:color w:val="auto"/>
              </w:rPr>
            </w:pPr>
          </w:p>
        </w:tc>
      </w:tr>
      <w:tr>
        <w:trPr>
          <w:trHeight w:val="182"/>
        </w:trPr>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940" w:type="dxa"/>
            <w:vAlign w:val="bottom"/>
            <w:vMerge w:val="restart"/>
          </w:tcPr>
          <w:p>
            <w:pPr>
              <w:jc w:val="right"/>
              <w:ind w:right="294"/>
              <w:spacing w:after="0"/>
              <w:rPr>
                <w:sz w:val="20"/>
                <w:szCs w:val="20"/>
                <w:color w:val="auto"/>
              </w:rPr>
            </w:pPr>
            <w:r>
              <w:rPr>
                <w:rFonts w:ascii="Arial" w:cs="Arial" w:eastAsia="Arial" w:hAnsi="Arial"/>
                <w:sz w:val="17"/>
                <w:szCs w:val="17"/>
                <w:color w:val="0000FF"/>
                <w:w w:val="87"/>
              </w:rPr>
              <w:t>130,223</w:t>
            </w:r>
          </w:p>
        </w:tc>
        <w:tc>
          <w:tcPr>
            <w:tcW w:w="68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1000" w:type="dxa"/>
            <w:vAlign w:val="bottom"/>
          </w:tcPr>
          <w:p>
            <w:pPr>
              <w:ind w:left="2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00" w:type="dxa"/>
            <w:vAlign w:val="bottom"/>
            <w:vMerge w:val="restart"/>
          </w:tcPr>
          <w:p>
            <w:pPr>
              <w:ind w:left="260"/>
              <w:spacing w:after="0"/>
              <w:rPr>
                <w:sz w:val="20"/>
                <w:szCs w:val="20"/>
                <w:color w:val="auto"/>
              </w:rPr>
            </w:pPr>
            <w:r>
              <w:rPr>
                <w:rFonts w:ascii="Arial" w:cs="Arial" w:eastAsia="Arial" w:hAnsi="Arial"/>
                <w:sz w:val="17"/>
                <w:szCs w:val="17"/>
                <w:color w:val="0000FF"/>
                <w:w w:val="84"/>
              </w:rPr>
              <w:t>Footnote</w:t>
            </w:r>
            <w:r>
              <w:rPr>
                <w:rFonts w:ascii="Arial" w:cs="Arial" w:eastAsia="Arial" w:hAnsi="Arial"/>
                <w:sz w:val="22"/>
                <w:szCs w:val="22"/>
                <w:color w:val="008000"/>
                <w:w w:val="84"/>
                <w:vertAlign w:val="superscript"/>
              </w:rPr>
              <w:t>(9)</w:t>
            </w:r>
          </w:p>
        </w:tc>
        <w:tc>
          <w:tcPr>
            <w:tcW w:w="0" w:type="dxa"/>
            <w:vAlign w:val="bottom"/>
          </w:tcPr>
          <w:p>
            <w:pPr>
              <w:spacing w:after="0"/>
              <w:rPr>
                <w:sz w:val="1"/>
                <w:szCs w:val="1"/>
                <w:color w:val="auto"/>
              </w:rPr>
            </w:pPr>
          </w:p>
        </w:tc>
      </w:tr>
      <w:tr>
        <w:trPr>
          <w:trHeight w:val="182"/>
        </w:trPr>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66" w:lineRule="exact"/>
        <w:rPr>
          <w:sz w:val="24"/>
          <w:szCs w:val="24"/>
          <w:color w:val="auto"/>
        </w:rPr>
      </w:pPr>
    </w:p>
    <w:p>
      <w:pPr>
        <w:sectPr>
          <w:pgSz w:w="11900" w:h="16838" w:orient="portrait"/>
          <w:cols w:equalWidth="0" w:num="2">
            <w:col w:w="8000" w:space="720"/>
            <w:col w:w="2800"/>
          </w:cols>
          <w:pgMar w:left="240" w:top="224" w:right="139" w:bottom="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vMerge w:val="restart"/>
          </w:tcPr>
          <w:p>
            <w:pPr>
              <w:ind w:left="100"/>
              <w:spacing w:after="0" w:line="291"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900" w:type="dxa"/>
            <w:vAlign w:val="bottom"/>
          </w:tcPr>
          <w:p>
            <w:pPr>
              <w:spacing w:after="0"/>
              <w:rPr>
                <w:sz w:val="12"/>
                <w:szCs w:val="12"/>
                <w:color w:val="auto"/>
              </w:rPr>
            </w:pPr>
          </w:p>
        </w:tc>
        <w:tc>
          <w:tcPr>
            <w:tcW w:w="800" w:type="dxa"/>
            <w:vAlign w:val="bottom"/>
            <w:vMerge w:val="restart"/>
          </w:tcPr>
          <w:p>
            <w:pPr>
              <w:ind w:left="300"/>
              <w:spacing w:after="0"/>
              <w:rPr>
                <w:sz w:val="20"/>
                <w:szCs w:val="20"/>
                <w:color w:val="auto"/>
              </w:rPr>
            </w:pPr>
            <w:r>
              <w:rPr>
                <w:rFonts w:ascii="Arial" w:cs="Arial" w:eastAsia="Arial" w:hAnsi="Arial"/>
                <w:sz w:val="11"/>
                <w:szCs w:val="11"/>
                <w:color w:val="008000"/>
              </w:rPr>
              <w:t>(10)</w:t>
            </w:r>
          </w:p>
        </w:tc>
        <w:tc>
          <w:tcPr>
            <w:tcW w:w="740" w:type="dxa"/>
            <w:vAlign w:val="bottom"/>
          </w:tcPr>
          <w:p>
            <w:pPr>
              <w:spacing w:after="0"/>
              <w:rPr>
                <w:sz w:val="12"/>
                <w:szCs w:val="12"/>
                <w:color w:val="auto"/>
              </w:rPr>
            </w:pPr>
          </w:p>
        </w:tc>
        <w:tc>
          <w:tcPr>
            <w:tcW w:w="700" w:type="dxa"/>
            <w:vAlign w:val="bottom"/>
          </w:tcPr>
          <w:p>
            <w:pPr>
              <w:ind w:left="160"/>
              <w:spacing w:after="0" w:line="146" w:lineRule="exact"/>
              <w:rPr>
                <w:sz w:val="20"/>
                <w:szCs w:val="20"/>
                <w:color w:val="auto"/>
              </w:rPr>
            </w:pPr>
            <w:r>
              <w:rPr>
                <w:rFonts w:ascii="Arial" w:cs="Arial" w:eastAsia="Arial" w:hAnsi="Arial"/>
                <w:sz w:val="13"/>
                <w:szCs w:val="13"/>
                <w:color w:val="0000FF"/>
              </w:rPr>
              <w:t>Stock,</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8"/>
              </w:rPr>
              <w:t>36,734</w:t>
            </w:r>
          </w:p>
        </w:tc>
        <w:tc>
          <w:tcPr>
            <w:tcW w:w="70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color w:val="0000FF"/>
                <w:w w:val="84"/>
              </w:rPr>
              <w:t>102,181</w:t>
            </w:r>
            <w:r>
              <w:rPr>
                <w:rFonts w:ascii="Arial" w:cs="Arial" w:eastAsia="Arial" w:hAnsi="Arial"/>
                <w:sz w:val="22"/>
                <w:szCs w:val="22"/>
                <w:color w:val="008000"/>
                <w:w w:val="84"/>
                <w:vertAlign w:val="superscript"/>
              </w:rPr>
              <w:t>(11)</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Options</w:t>
            </w:r>
          </w:p>
        </w:tc>
        <w:tc>
          <w:tcPr>
            <w:tcW w:w="800" w:type="dxa"/>
            <w:vAlign w:val="bottom"/>
          </w:tcPr>
          <w:p>
            <w:pPr>
              <w:jc w:val="center"/>
              <w:spacing w:after="0" w:line="146"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8.75</w:t>
            </w:r>
          </w:p>
        </w:tc>
        <w:tc>
          <w:tcPr>
            <w:tcW w:w="1120" w:type="dxa"/>
            <w:vAlign w:val="bottom"/>
          </w:tcPr>
          <w:p>
            <w:pPr>
              <w:jc w:val="center"/>
              <w:spacing w:after="0" w:line="146" w:lineRule="exact"/>
              <w:rPr>
                <w:sz w:val="20"/>
                <w:szCs w:val="20"/>
                <w:color w:val="auto"/>
              </w:rPr>
            </w:pPr>
            <w:r>
              <w:rPr>
                <w:rFonts w:ascii="Arial" w:cs="Arial" w:eastAsia="Arial" w:hAnsi="Arial"/>
                <w:sz w:val="13"/>
                <w:szCs w:val="13"/>
                <w:color w:val="0000FF"/>
                <w:w w:val="92"/>
              </w:rPr>
              <w:t>04/24/2012</w:t>
            </w:r>
          </w:p>
        </w:tc>
        <w:tc>
          <w:tcPr>
            <w:tcW w:w="1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900" w:type="dxa"/>
            <w:vAlign w:val="bottom"/>
          </w:tcPr>
          <w:p>
            <w:pPr>
              <w:jc w:val="center"/>
              <w:ind w:left="259"/>
              <w:spacing w:after="0" w:line="146" w:lineRule="exact"/>
              <w:rPr>
                <w:sz w:val="20"/>
                <w:szCs w:val="20"/>
                <w:color w:val="auto"/>
              </w:rPr>
            </w:pPr>
            <w:r>
              <w:rPr>
                <w:rFonts w:ascii="Arial" w:cs="Arial" w:eastAsia="Arial" w:hAnsi="Arial"/>
                <w:sz w:val="13"/>
                <w:szCs w:val="13"/>
                <w:color w:val="0000FF"/>
                <w:w w:val="95"/>
              </w:rPr>
              <w:t>36,734</w:t>
            </w:r>
          </w:p>
        </w:tc>
        <w:tc>
          <w:tcPr>
            <w:tcW w:w="800" w:type="dxa"/>
            <w:vAlign w:val="bottom"/>
            <w:vMerge w:val="continue"/>
          </w:tcPr>
          <w:p>
            <w:pPr>
              <w:spacing w:after="0"/>
              <w:rPr>
                <w:sz w:val="12"/>
                <w:szCs w:val="12"/>
                <w:color w:val="auto"/>
              </w:rPr>
            </w:pPr>
          </w:p>
        </w:tc>
        <w:tc>
          <w:tcPr>
            <w:tcW w:w="740" w:type="dxa"/>
            <w:vAlign w:val="bottom"/>
          </w:tcPr>
          <w:p>
            <w:pPr>
              <w:ind w:left="80"/>
              <w:spacing w:after="0" w:line="146" w:lineRule="exact"/>
              <w:rPr>
                <w:sz w:val="20"/>
                <w:szCs w:val="20"/>
                <w:color w:val="auto"/>
              </w:rPr>
            </w:pPr>
            <w:r>
              <w:rPr>
                <w:rFonts w:ascii="Arial" w:cs="Arial" w:eastAsia="Arial" w:hAnsi="Arial"/>
                <w:sz w:val="13"/>
                <w:szCs w:val="13"/>
                <w:color w:val="0000FF"/>
                <w:w w:val="98"/>
              </w:rPr>
              <w:t>02/10/2019</w:t>
            </w:r>
          </w:p>
        </w:tc>
        <w:tc>
          <w:tcPr>
            <w:tcW w:w="700" w:type="dxa"/>
            <w:vAlign w:val="bottom"/>
          </w:tcPr>
          <w:p>
            <w:pPr>
              <w:ind w:left="80"/>
              <w:spacing w:after="0" w:line="146" w:lineRule="exact"/>
              <w:rPr>
                <w:sz w:val="20"/>
                <w:szCs w:val="20"/>
                <w:color w:val="auto"/>
              </w:rPr>
            </w:pPr>
            <w:r>
              <w:rPr>
                <w:rFonts w:ascii="Arial" w:cs="Arial" w:eastAsia="Arial" w:hAnsi="Arial"/>
                <w:sz w:val="13"/>
                <w:szCs w:val="13"/>
                <w:color w:val="0000FF"/>
              </w:rPr>
              <w:t>par value</w:t>
            </w:r>
          </w:p>
        </w:tc>
        <w:tc>
          <w:tcPr>
            <w:tcW w:w="640" w:type="dxa"/>
            <w:vAlign w:val="bottom"/>
            <w:vMerge w:val="continue"/>
          </w:tcPr>
          <w:p>
            <w:pPr>
              <w:spacing w:after="0"/>
              <w:rPr>
                <w:sz w:val="12"/>
                <w:szCs w:val="12"/>
                <w:color w:val="auto"/>
              </w:rPr>
            </w:pPr>
          </w:p>
        </w:tc>
        <w:tc>
          <w:tcPr>
            <w:tcW w:w="700" w:type="dxa"/>
            <w:vAlign w:val="bottom"/>
          </w:tcPr>
          <w:p>
            <w:pPr>
              <w:jc w:val="center"/>
              <w:spacing w:after="0" w:line="146"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60" w:type="dxa"/>
            <w:vAlign w:val="bottom"/>
            <w:vMerge w:val="continue"/>
          </w:tcPr>
          <w:p>
            <w:pPr>
              <w:spacing w:after="0"/>
              <w:rPr>
                <w:sz w:val="12"/>
                <w:szCs w:val="12"/>
                <w:color w:val="auto"/>
              </w:rPr>
            </w:pPr>
          </w:p>
        </w:tc>
        <w:tc>
          <w:tcPr>
            <w:tcW w:w="76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ind w:left="140"/>
              <w:spacing w:after="0" w:line="146" w:lineRule="exact"/>
              <w:rPr>
                <w:sz w:val="20"/>
                <w:szCs w:val="20"/>
                <w:color w:val="auto"/>
              </w:rPr>
            </w:pPr>
            <w:r>
              <w:rPr>
                <w:rFonts w:ascii="Arial" w:cs="Arial" w:eastAsia="Arial" w:hAnsi="Arial"/>
                <w:sz w:val="13"/>
                <w:szCs w:val="13"/>
                <w:color w:val="0000FF"/>
              </w:rPr>
              <w:t>$0.001</w:t>
            </w: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vMerge w:val="restart"/>
          </w:tcPr>
          <w:p>
            <w:pPr>
              <w:ind w:left="100"/>
              <w:spacing w:after="0" w:line="291"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(5)</w:t>
            </w:r>
          </w:p>
        </w:tc>
        <w:tc>
          <w:tcPr>
            <w:tcW w:w="900" w:type="dxa"/>
            <w:vAlign w:val="bottom"/>
          </w:tcPr>
          <w:p>
            <w:pPr>
              <w:spacing w:after="0"/>
              <w:rPr>
                <w:sz w:val="12"/>
                <w:szCs w:val="12"/>
                <w:color w:val="auto"/>
              </w:rPr>
            </w:pPr>
          </w:p>
        </w:tc>
        <w:tc>
          <w:tcPr>
            <w:tcW w:w="800" w:type="dxa"/>
            <w:vAlign w:val="bottom"/>
            <w:vMerge w:val="restart"/>
          </w:tcPr>
          <w:p>
            <w:pPr>
              <w:ind w:left="300"/>
              <w:spacing w:after="0"/>
              <w:rPr>
                <w:sz w:val="20"/>
                <w:szCs w:val="20"/>
                <w:color w:val="auto"/>
              </w:rPr>
            </w:pPr>
            <w:r>
              <w:rPr>
                <w:rFonts w:ascii="Arial" w:cs="Arial" w:eastAsia="Arial" w:hAnsi="Arial"/>
                <w:sz w:val="11"/>
                <w:szCs w:val="11"/>
                <w:color w:val="008000"/>
              </w:rPr>
              <w:t>(12)</w:t>
            </w:r>
          </w:p>
        </w:tc>
        <w:tc>
          <w:tcPr>
            <w:tcW w:w="740" w:type="dxa"/>
            <w:vAlign w:val="bottom"/>
          </w:tcPr>
          <w:p>
            <w:pPr>
              <w:spacing w:after="0"/>
              <w:rPr>
                <w:sz w:val="12"/>
                <w:szCs w:val="12"/>
                <w:color w:val="auto"/>
              </w:rPr>
            </w:pPr>
          </w:p>
        </w:tc>
        <w:tc>
          <w:tcPr>
            <w:tcW w:w="700" w:type="dxa"/>
            <w:vAlign w:val="bottom"/>
          </w:tcPr>
          <w:p>
            <w:pPr>
              <w:ind w:left="160"/>
              <w:spacing w:after="0" w:line="146" w:lineRule="exact"/>
              <w:rPr>
                <w:sz w:val="20"/>
                <w:szCs w:val="20"/>
                <w:color w:val="auto"/>
              </w:rPr>
            </w:pPr>
            <w:r>
              <w:rPr>
                <w:rFonts w:ascii="Arial" w:cs="Arial" w:eastAsia="Arial" w:hAnsi="Arial"/>
                <w:sz w:val="13"/>
                <w:szCs w:val="13"/>
                <w:color w:val="0000FF"/>
              </w:rPr>
              <w:t>Stock,</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8"/>
              </w:rPr>
              <w:t>53,081</w:t>
            </w: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Options</w:t>
            </w:r>
          </w:p>
        </w:tc>
        <w:tc>
          <w:tcPr>
            <w:tcW w:w="800" w:type="dxa"/>
            <w:vAlign w:val="bottom"/>
          </w:tcPr>
          <w:p>
            <w:pPr>
              <w:jc w:val="center"/>
              <w:spacing w:after="0" w:line="146"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8.75</w:t>
            </w:r>
          </w:p>
        </w:tc>
        <w:tc>
          <w:tcPr>
            <w:tcW w:w="1120" w:type="dxa"/>
            <w:vAlign w:val="bottom"/>
          </w:tcPr>
          <w:p>
            <w:pPr>
              <w:jc w:val="center"/>
              <w:spacing w:after="0" w:line="146" w:lineRule="exact"/>
              <w:rPr>
                <w:sz w:val="20"/>
                <w:szCs w:val="20"/>
                <w:color w:val="auto"/>
              </w:rPr>
            </w:pPr>
            <w:r>
              <w:rPr>
                <w:rFonts w:ascii="Arial" w:cs="Arial" w:eastAsia="Arial" w:hAnsi="Arial"/>
                <w:sz w:val="13"/>
                <w:szCs w:val="13"/>
                <w:color w:val="0000FF"/>
                <w:w w:val="92"/>
              </w:rPr>
              <w:t>04/25/2012</w:t>
            </w:r>
          </w:p>
        </w:tc>
        <w:tc>
          <w:tcPr>
            <w:tcW w:w="1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900" w:type="dxa"/>
            <w:vAlign w:val="bottom"/>
          </w:tcPr>
          <w:p>
            <w:pPr>
              <w:jc w:val="center"/>
              <w:ind w:left="259"/>
              <w:spacing w:after="0" w:line="146" w:lineRule="exact"/>
              <w:rPr>
                <w:sz w:val="20"/>
                <w:szCs w:val="20"/>
                <w:color w:val="auto"/>
              </w:rPr>
            </w:pPr>
            <w:r>
              <w:rPr>
                <w:rFonts w:ascii="Arial" w:cs="Arial" w:eastAsia="Arial" w:hAnsi="Arial"/>
                <w:sz w:val="13"/>
                <w:szCs w:val="13"/>
                <w:color w:val="0000FF"/>
                <w:w w:val="95"/>
              </w:rPr>
              <w:t>53,081</w:t>
            </w:r>
          </w:p>
        </w:tc>
        <w:tc>
          <w:tcPr>
            <w:tcW w:w="800" w:type="dxa"/>
            <w:vAlign w:val="bottom"/>
            <w:vMerge w:val="continue"/>
          </w:tcPr>
          <w:p>
            <w:pPr>
              <w:spacing w:after="0"/>
              <w:rPr>
                <w:sz w:val="12"/>
                <w:szCs w:val="12"/>
                <w:color w:val="auto"/>
              </w:rPr>
            </w:pPr>
          </w:p>
        </w:tc>
        <w:tc>
          <w:tcPr>
            <w:tcW w:w="740" w:type="dxa"/>
            <w:vAlign w:val="bottom"/>
          </w:tcPr>
          <w:p>
            <w:pPr>
              <w:ind w:left="80"/>
              <w:spacing w:after="0" w:line="146" w:lineRule="exact"/>
              <w:rPr>
                <w:sz w:val="20"/>
                <w:szCs w:val="20"/>
                <w:color w:val="auto"/>
              </w:rPr>
            </w:pPr>
            <w:r>
              <w:rPr>
                <w:rFonts w:ascii="Arial" w:cs="Arial" w:eastAsia="Arial" w:hAnsi="Arial"/>
                <w:sz w:val="13"/>
                <w:szCs w:val="13"/>
                <w:color w:val="0000FF"/>
                <w:w w:val="98"/>
              </w:rPr>
              <w:t>02/10/2019</w:t>
            </w:r>
          </w:p>
        </w:tc>
        <w:tc>
          <w:tcPr>
            <w:tcW w:w="700" w:type="dxa"/>
            <w:vAlign w:val="bottom"/>
          </w:tcPr>
          <w:p>
            <w:pPr>
              <w:ind w:left="80"/>
              <w:spacing w:after="0" w:line="146" w:lineRule="exact"/>
              <w:rPr>
                <w:sz w:val="20"/>
                <w:szCs w:val="20"/>
                <w:color w:val="auto"/>
              </w:rPr>
            </w:pPr>
            <w:r>
              <w:rPr>
                <w:rFonts w:ascii="Arial" w:cs="Arial" w:eastAsia="Arial" w:hAnsi="Arial"/>
                <w:sz w:val="13"/>
                <w:szCs w:val="13"/>
                <w:color w:val="0000FF"/>
              </w:rPr>
              <w:t>par value</w:t>
            </w:r>
          </w:p>
        </w:tc>
        <w:tc>
          <w:tcPr>
            <w:tcW w:w="640" w:type="dxa"/>
            <w:vAlign w:val="bottom"/>
            <w:vMerge w:val="continue"/>
          </w:tcPr>
          <w:p>
            <w:pPr>
              <w:spacing w:after="0"/>
              <w:rPr>
                <w:sz w:val="12"/>
                <w:szCs w:val="12"/>
                <w:color w:val="auto"/>
              </w:rPr>
            </w:pPr>
          </w:p>
        </w:tc>
        <w:tc>
          <w:tcPr>
            <w:tcW w:w="700" w:type="dxa"/>
            <w:vAlign w:val="bottom"/>
          </w:tcPr>
          <w:p>
            <w:pPr>
              <w:jc w:val="center"/>
              <w:spacing w:after="0" w:line="146"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60" w:type="dxa"/>
            <w:vAlign w:val="bottom"/>
          </w:tcPr>
          <w:p>
            <w:pPr>
              <w:jc w:val="center"/>
              <w:spacing w:after="0" w:line="146" w:lineRule="exact"/>
              <w:rPr>
                <w:sz w:val="20"/>
                <w:szCs w:val="20"/>
                <w:color w:val="auto"/>
              </w:rPr>
            </w:pPr>
            <w:r>
              <w:rPr>
                <w:rFonts w:ascii="Arial" w:cs="Arial" w:eastAsia="Arial" w:hAnsi="Arial"/>
                <w:sz w:val="13"/>
                <w:szCs w:val="13"/>
                <w:color w:val="0000FF"/>
                <w:w w:val="95"/>
              </w:rPr>
              <w:t>49,100</w:t>
            </w:r>
          </w:p>
        </w:tc>
        <w:tc>
          <w:tcPr>
            <w:tcW w:w="76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ind w:left="140"/>
              <w:spacing w:after="0" w:line="146" w:lineRule="exact"/>
              <w:rPr>
                <w:sz w:val="20"/>
                <w:szCs w:val="20"/>
                <w:color w:val="auto"/>
              </w:rPr>
            </w:pPr>
            <w:r>
              <w:rPr>
                <w:rFonts w:ascii="Arial" w:cs="Arial" w:eastAsia="Arial" w:hAnsi="Arial"/>
                <w:sz w:val="13"/>
                <w:szCs w:val="13"/>
                <w:color w:val="0000FF"/>
              </w:rPr>
              <w:t>$0.001</w:t>
            </w: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vMerge w:val="restart"/>
          </w:tcPr>
          <w:p>
            <w:pPr>
              <w:ind w:left="100"/>
              <w:spacing w:after="0" w:line="291"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(5)</w:t>
            </w:r>
          </w:p>
        </w:tc>
        <w:tc>
          <w:tcPr>
            <w:tcW w:w="900" w:type="dxa"/>
            <w:vAlign w:val="bottom"/>
          </w:tcPr>
          <w:p>
            <w:pPr>
              <w:spacing w:after="0"/>
              <w:rPr>
                <w:sz w:val="12"/>
                <w:szCs w:val="12"/>
                <w:color w:val="auto"/>
              </w:rPr>
            </w:pPr>
          </w:p>
        </w:tc>
        <w:tc>
          <w:tcPr>
            <w:tcW w:w="800" w:type="dxa"/>
            <w:vAlign w:val="bottom"/>
            <w:vMerge w:val="restart"/>
          </w:tcPr>
          <w:p>
            <w:pPr>
              <w:ind w:left="300"/>
              <w:spacing w:after="0"/>
              <w:rPr>
                <w:sz w:val="20"/>
                <w:szCs w:val="20"/>
                <w:color w:val="auto"/>
              </w:rPr>
            </w:pPr>
            <w:r>
              <w:rPr>
                <w:rFonts w:ascii="Arial" w:cs="Arial" w:eastAsia="Arial" w:hAnsi="Arial"/>
                <w:sz w:val="11"/>
                <w:szCs w:val="11"/>
                <w:color w:val="008000"/>
              </w:rPr>
              <w:t>(13)</w:t>
            </w:r>
          </w:p>
        </w:tc>
        <w:tc>
          <w:tcPr>
            <w:tcW w:w="740" w:type="dxa"/>
            <w:vAlign w:val="bottom"/>
          </w:tcPr>
          <w:p>
            <w:pPr>
              <w:spacing w:after="0"/>
              <w:rPr>
                <w:sz w:val="12"/>
                <w:szCs w:val="12"/>
                <w:color w:val="auto"/>
              </w:rPr>
            </w:pPr>
          </w:p>
        </w:tc>
        <w:tc>
          <w:tcPr>
            <w:tcW w:w="700" w:type="dxa"/>
            <w:vAlign w:val="bottom"/>
          </w:tcPr>
          <w:p>
            <w:pPr>
              <w:ind w:left="160"/>
              <w:spacing w:after="0" w:line="146" w:lineRule="exact"/>
              <w:rPr>
                <w:sz w:val="20"/>
                <w:szCs w:val="20"/>
                <w:color w:val="auto"/>
              </w:rPr>
            </w:pPr>
            <w:r>
              <w:rPr>
                <w:rFonts w:ascii="Arial" w:cs="Arial" w:eastAsia="Arial" w:hAnsi="Arial"/>
                <w:sz w:val="13"/>
                <w:szCs w:val="13"/>
                <w:color w:val="0000FF"/>
              </w:rPr>
              <w:t>Stock,</w:t>
            </w:r>
          </w:p>
        </w:tc>
        <w:tc>
          <w:tcPr>
            <w:tcW w:w="640" w:type="dxa"/>
            <w:vAlign w:val="bottom"/>
            <w:vMerge w:val="restart"/>
          </w:tcPr>
          <w:p>
            <w:pPr>
              <w:jc w:val="center"/>
              <w:ind w:right="9"/>
              <w:spacing w:after="0"/>
              <w:rPr>
                <w:sz w:val="20"/>
                <w:szCs w:val="20"/>
                <w:color w:val="auto"/>
              </w:rPr>
            </w:pPr>
            <w:r>
              <w:rPr>
                <w:rFonts w:ascii="Arial" w:cs="Arial" w:eastAsia="Arial" w:hAnsi="Arial"/>
                <w:sz w:val="17"/>
                <w:szCs w:val="17"/>
                <w:color w:val="0000FF"/>
                <w:w w:val="91"/>
              </w:rPr>
              <w:t>149,871</w:t>
            </w: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Options</w:t>
            </w:r>
          </w:p>
        </w:tc>
        <w:tc>
          <w:tcPr>
            <w:tcW w:w="800" w:type="dxa"/>
            <w:vAlign w:val="bottom"/>
          </w:tcPr>
          <w:p>
            <w:pPr>
              <w:jc w:val="center"/>
              <w:spacing w:after="0" w:line="146" w:lineRule="exact"/>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16.96</w:t>
            </w:r>
          </w:p>
        </w:tc>
        <w:tc>
          <w:tcPr>
            <w:tcW w:w="1120" w:type="dxa"/>
            <w:vAlign w:val="bottom"/>
          </w:tcPr>
          <w:p>
            <w:pPr>
              <w:jc w:val="center"/>
              <w:spacing w:after="0" w:line="146" w:lineRule="exact"/>
              <w:rPr>
                <w:sz w:val="20"/>
                <w:szCs w:val="20"/>
                <w:color w:val="auto"/>
              </w:rPr>
            </w:pPr>
            <w:r>
              <w:rPr>
                <w:rFonts w:ascii="Arial" w:cs="Arial" w:eastAsia="Arial" w:hAnsi="Arial"/>
                <w:sz w:val="13"/>
                <w:szCs w:val="13"/>
                <w:color w:val="0000FF"/>
                <w:w w:val="92"/>
              </w:rPr>
              <w:t>04/25/2012</w:t>
            </w:r>
          </w:p>
        </w:tc>
        <w:tc>
          <w:tcPr>
            <w:tcW w:w="1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900" w:type="dxa"/>
            <w:vAlign w:val="bottom"/>
          </w:tcPr>
          <w:p>
            <w:pPr>
              <w:jc w:val="center"/>
              <w:ind w:left="259"/>
              <w:spacing w:after="0" w:line="146" w:lineRule="exact"/>
              <w:rPr>
                <w:sz w:val="20"/>
                <w:szCs w:val="20"/>
                <w:color w:val="auto"/>
              </w:rPr>
            </w:pPr>
            <w:r>
              <w:rPr>
                <w:rFonts w:ascii="Arial" w:cs="Arial" w:eastAsia="Arial" w:hAnsi="Arial"/>
                <w:sz w:val="13"/>
                <w:szCs w:val="13"/>
                <w:color w:val="0000FF"/>
                <w:w w:val="89"/>
              </w:rPr>
              <w:t>149,871</w:t>
            </w:r>
          </w:p>
        </w:tc>
        <w:tc>
          <w:tcPr>
            <w:tcW w:w="800" w:type="dxa"/>
            <w:vAlign w:val="bottom"/>
            <w:vMerge w:val="continue"/>
          </w:tcPr>
          <w:p>
            <w:pPr>
              <w:spacing w:after="0"/>
              <w:rPr>
                <w:sz w:val="12"/>
                <w:szCs w:val="12"/>
                <w:color w:val="auto"/>
              </w:rPr>
            </w:pPr>
          </w:p>
        </w:tc>
        <w:tc>
          <w:tcPr>
            <w:tcW w:w="740" w:type="dxa"/>
            <w:vAlign w:val="bottom"/>
          </w:tcPr>
          <w:p>
            <w:pPr>
              <w:ind w:left="80"/>
              <w:spacing w:after="0" w:line="146" w:lineRule="exact"/>
              <w:rPr>
                <w:sz w:val="20"/>
                <w:szCs w:val="20"/>
                <w:color w:val="auto"/>
              </w:rPr>
            </w:pPr>
            <w:r>
              <w:rPr>
                <w:rFonts w:ascii="Arial" w:cs="Arial" w:eastAsia="Arial" w:hAnsi="Arial"/>
                <w:sz w:val="13"/>
                <w:szCs w:val="13"/>
                <w:color w:val="0000FF"/>
                <w:w w:val="98"/>
              </w:rPr>
              <w:t>01/23/2018</w:t>
            </w:r>
          </w:p>
        </w:tc>
        <w:tc>
          <w:tcPr>
            <w:tcW w:w="700" w:type="dxa"/>
            <w:vAlign w:val="bottom"/>
          </w:tcPr>
          <w:p>
            <w:pPr>
              <w:ind w:left="80"/>
              <w:spacing w:after="0" w:line="146" w:lineRule="exact"/>
              <w:rPr>
                <w:sz w:val="20"/>
                <w:szCs w:val="20"/>
                <w:color w:val="auto"/>
              </w:rPr>
            </w:pPr>
            <w:r>
              <w:rPr>
                <w:rFonts w:ascii="Arial" w:cs="Arial" w:eastAsia="Arial" w:hAnsi="Arial"/>
                <w:sz w:val="13"/>
                <w:szCs w:val="13"/>
                <w:color w:val="0000FF"/>
              </w:rPr>
              <w:t>par value</w:t>
            </w:r>
          </w:p>
        </w:tc>
        <w:tc>
          <w:tcPr>
            <w:tcW w:w="640" w:type="dxa"/>
            <w:vAlign w:val="bottom"/>
            <w:vMerge w:val="continue"/>
          </w:tcPr>
          <w:p>
            <w:pPr>
              <w:spacing w:after="0"/>
              <w:rPr>
                <w:sz w:val="12"/>
                <w:szCs w:val="12"/>
                <w:color w:val="auto"/>
              </w:rPr>
            </w:pPr>
          </w:p>
        </w:tc>
        <w:tc>
          <w:tcPr>
            <w:tcW w:w="700" w:type="dxa"/>
            <w:vAlign w:val="bottom"/>
          </w:tcPr>
          <w:p>
            <w:pPr>
              <w:jc w:val="center"/>
              <w:spacing w:after="0" w:line="146"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60" w:type="dxa"/>
            <w:vAlign w:val="bottom"/>
          </w:tcPr>
          <w:p>
            <w:pPr>
              <w:jc w:val="center"/>
              <w:spacing w:after="0" w:line="146" w:lineRule="exact"/>
              <w:rPr>
                <w:sz w:val="20"/>
                <w:szCs w:val="20"/>
                <w:color w:val="auto"/>
              </w:rPr>
            </w:pPr>
            <w:r>
              <w:rPr>
                <w:rFonts w:ascii="Arial" w:cs="Arial" w:eastAsia="Arial" w:hAnsi="Arial"/>
                <w:sz w:val="13"/>
                <w:szCs w:val="13"/>
                <w:color w:val="0000FF"/>
                <w:w w:val="82"/>
              </w:rPr>
              <w:t>129</w:t>
            </w:r>
          </w:p>
        </w:tc>
        <w:tc>
          <w:tcPr>
            <w:tcW w:w="76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ind w:left="140"/>
              <w:spacing w:after="0" w:line="146" w:lineRule="exact"/>
              <w:rPr>
                <w:sz w:val="20"/>
                <w:szCs w:val="20"/>
                <w:color w:val="auto"/>
              </w:rPr>
            </w:pPr>
            <w:r>
              <w:rPr>
                <w:rFonts w:ascii="Arial" w:cs="Arial" w:eastAsia="Arial" w:hAnsi="Arial"/>
                <w:sz w:val="13"/>
                <w:szCs w:val="13"/>
                <w:color w:val="0000FF"/>
              </w:rPr>
              <w:t>$0.001</w:t>
            </w: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7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112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9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224" w:right="1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324090" cy="19951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324090" cy="1995170"/>
                    </a:xfrm>
                    <a:prstGeom prst="rect">
                      <a:avLst/>
                    </a:prstGeom>
                    <a:noFill/>
                  </pic:spPr>
                </pic:pic>
              </a:graphicData>
            </a:graphic>
          </wp:anchor>
        </w:drawing>
        <w:t>Table II - Derivative Securities Acquired, Disposed of, or Beneficially Owned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vMerge w:val="restart"/>
          </w:tcPr>
          <w:p>
            <w:pPr>
              <w:ind w:left="100"/>
              <w:spacing w:after="0" w:line="291"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(7)</w:t>
            </w:r>
          </w:p>
        </w:tc>
        <w:tc>
          <w:tcPr>
            <w:tcW w:w="880" w:type="dxa"/>
            <w:vAlign w:val="bottom"/>
          </w:tcPr>
          <w:p>
            <w:pPr>
              <w:spacing w:after="0"/>
              <w:rPr>
                <w:sz w:val="12"/>
                <w:szCs w:val="12"/>
                <w:color w:val="auto"/>
              </w:rPr>
            </w:pPr>
          </w:p>
        </w:tc>
        <w:tc>
          <w:tcPr>
            <w:tcW w:w="820" w:type="dxa"/>
            <w:vAlign w:val="bottom"/>
            <w:vMerge w:val="restart"/>
          </w:tcPr>
          <w:p>
            <w:pPr>
              <w:ind w:left="320"/>
              <w:spacing w:after="0"/>
              <w:rPr>
                <w:sz w:val="20"/>
                <w:szCs w:val="20"/>
                <w:color w:val="auto"/>
              </w:rPr>
            </w:pPr>
            <w:r>
              <w:rPr>
                <w:rFonts w:ascii="Arial" w:cs="Arial" w:eastAsia="Arial" w:hAnsi="Arial"/>
                <w:sz w:val="11"/>
                <w:szCs w:val="11"/>
                <w:color w:val="008000"/>
              </w:rPr>
              <w:t>(14)</w:t>
            </w:r>
          </w:p>
        </w:tc>
        <w:tc>
          <w:tcPr>
            <w:tcW w:w="740" w:type="dxa"/>
            <w:vAlign w:val="bottom"/>
          </w:tcPr>
          <w:p>
            <w:pPr>
              <w:spacing w:after="0"/>
              <w:rPr>
                <w:sz w:val="12"/>
                <w:szCs w:val="12"/>
                <w:color w:val="auto"/>
              </w:rPr>
            </w:pPr>
          </w:p>
        </w:tc>
        <w:tc>
          <w:tcPr>
            <w:tcW w:w="700" w:type="dxa"/>
            <w:vAlign w:val="bottom"/>
          </w:tcPr>
          <w:p>
            <w:pPr>
              <w:ind w:left="160"/>
              <w:spacing w:after="0" w:line="146" w:lineRule="exact"/>
              <w:rPr>
                <w:sz w:val="20"/>
                <w:szCs w:val="20"/>
                <w:color w:val="auto"/>
              </w:rPr>
            </w:pPr>
            <w:r>
              <w:rPr>
                <w:rFonts w:ascii="Arial" w:cs="Arial" w:eastAsia="Arial" w:hAnsi="Arial"/>
                <w:sz w:val="13"/>
                <w:szCs w:val="13"/>
                <w:color w:val="0000FF"/>
              </w:rPr>
              <w:t>Stock,</w:t>
            </w:r>
          </w:p>
        </w:tc>
        <w:tc>
          <w:tcPr>
            <w:tcW w:w="640" w:type="dxa"/>
            <w:vAlign w:val="bottom"/>
            <w:vMerge w:val="restart"/>
          </w:tcPr>
          <w:p>
            <w:pPr>
              <w:ind w:left="160"/>
              <w:spacing w:after="0"/>
              <w:rPr>
                <w:sz w:val="20"/>
                <w:szCs w:val="20"/>
                <w:color w:val="auto"/>
              </w:rPr>
            </w:pPr>
            <w:r>
              <w:rPr>
                <w:rFonts w:ascii="Arial" w:cs="Arial" w:eastAsia="Arial" w:hAnsi="Arial"/>
                <w:sz w:val="17"/>
                <w:szCs w:val="17"/>
                <w:color w:val="0000FF"/>
              </w:rPr>
              <w:t>129</w:t>
            </w: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Options</w:t>
            </w:r>
          </w:p>
        </w:tc>
        <w:tc>
          <w:tcPr>
            <w:tcW w:w="800" w:type="dxa"/>
            <w:vAlign w:val="bottom"/>
          </w:tcPr>
          <w:p>
            <w:pPr>
              <w:ind w:left="22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16.96</w:t>
            </w:r>
          </w:p>
        </w:tc>
        <w:tc>
          <w:tcPr>
            <w:tcW w:w="1120" w:type="dxa"/>
            <w:vAlign w:val="bottom"/>
          </w:tcPr>
          <w:p>
            <w:pPr>
              <w:jc w:val="right"/>
              <w:ind w:right="199"/>
              <w:spacing w:after="0" w:line="146" w:lineRule="exact"/>
              <w:rPr>
                <w:sz w:val="20"/>
                <w:szCs w:val="20"/>
                <w:color w:val="auto"/>
              </w:rPr>
            </w:pPr>
            <w:r>
              <w:rPr>
                <w:rFonts w:ascii="Arial" w:cs="Arial" w:eastAsia="Arial" w:hAnsi="Arial"/>
                <w:sz w:val="13"/>
                <w:szCs w:val="13"/>
                <w:color w:val="0000FF"/>
              </w:rPr>
              <w:t>04/26/2012</w:t>
            </w:r>
          </w:p>
        </w:tc>
        <w:tc>
          <w:tcPr>
            <w:tcW w:w="1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80" w:type="dxa"/>
            <w:vAlign w:val="bottom"/>
          </w:tcPr>
          <w:p>
            <w:pPr>
              <w:ind w:left="520"/>
              <w:spacing w:after="0" w:line="146" w:lineRule="exact"/>
              <w:rPr>
                <w:sz w:val="20"/>
                <w:szCs w:val="20"/>
                <w:color w:val="auto"/>
              </w:rPr>
            </w:pPr>
            <w:r>
              <w:rPr>
                <w:rFonts w:ascii="Arial" w:cs="Arial" w:eastAsia="Arial" w:hAnsi="Arial"/>
                <w:sz w:val="13"/>
                <w:szCs w:val="13"/>
                <w:color w:val="0000FF"/>
              </w:rPr>
              <w:t>129</w:t>
            </w:r>
          </w:p>
        </w:tc>
        <w:tc>
          <w:tcPr>
            <w:tcW w:w="820" w:type="dxa"/>
            <w:vAlign w:val="bottom"/>
            <w:vMerge w:val="continue"/>
          </w:tcPr>
          <w:p>
            <w:pPr>
              <w:spacing w:after="0"/>
              <w:rPr>
                <w:sz w:val="12"/>
                <w:szCs w:val="12"/>
                <w:color w:val="auto"/>
              </w:rPr>
            </w:pPr>
          </w:p>
        </w:tc>
        <w:tc>
          <w:tcPr>
            <w:tcW w:w="740" w:type="dxa"/>
            <w:vAlign w:val="bottom"/>
          </w:tcPr>
          <w:p>
            <w:pPr>
              <w:ind w:left="80"/>
              <w:spacing w:after="0" w:line="146" w:lineRule="exact"/>
              <w:rPr>
                <w:sz w:val="20"/>
                <w:szCs w:val="20"/>
                <w:color w:val="auto"/>
              </w:rPr>
            </w:pPr>
            <w:r>
              <w:rPr>
                <w:rFonts w:ascii="Arial" w:cs="Arial" w:eastAsia="Arial" w:hAnsi="Arial"/>
                <w:sz w:val="13"/>
                <w:szCs w:val="13"/>
                <w:color w:val="0000FF"/>
                <w:w w:val="98"/>
              </w:rPr>
              <w:t>01/23/2018</w:t>
            </w:r>
          </w:p>
        </w:tc>
        <w:tc>
          <w:tcPr>
            <w:tcW w:w="700" w:type="dxa"/>
            <w:vAlign w:val="bottom"/>
          </w:tcPr>
          <w:p>
            <w:pPr>
              <w:ind w:left="80"/>
              <w:spacing w:after="0" w:line="146" w:lineRule="exact"/>
              <w:rPr>
                <w:sz w:val="20"/>
                <w:szCs w:val="20"/>
                <w:color w:val="auto"/>
              </w:rPr>
            </w:pPr>
            <w:r>
              <w:rPr>
                <w:rFonts w:ascii="Arial" w:cs="Arial" w:eastAsia="Arial" w:hAnsi="Arial"/>
                <w:sz w:val="13"/>
                <w:szCs w:val="13"/>
                <w:color w:val="0000FF"/>
              </w:rPr>
              <w:t>par value</w:t>
            </w:r>
          </w:p>
        </w:tc>
        <w:tc>
          <w:tcPr>
            <w:tcW w:w="640" w:type="dxa"/>
            <w:vAlign w:val="bottom"/>
            <w:vMerge w:val="continue"/>
          </w:tcPr>
          <w:p>
            <w:pPr>
              <w:spacing w:after="0"/>
              <w:rPr>
                <w:sz w:val="12"/>
                <w:szCs w:val="12"/>
                <w:color w:val="auto"/>
              </w:rPr>
            </w:pPr>
          </w:p>
        </w:tc>
        <w:tc>
          <w:tcPr>
            <w:tcW w:w="700" w:type="dxa"/>
            <w:vAlign w:val="bottom"/>
          </w:tcPr>
          <w:p>
            <w:pPr>
              <w:ind w:left="3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460"/>
              <w:spacing w:after="0" w:line="146" w:lineRule="exact"/>
              <w:rPr>
                <w:sz w:val="20"/>
                <w:szCs w:val="20"/>
                <w:color w:val="auto"/>
              </w:rPr>
            </w:pPr>
            <w:r>
              <w:rPr>
                <w:rFonts w:ascii="Arial" w:cs="Arial" w:eastAsia="Arial" w:hAnsi="Arial"/>
                <w:sz w:val="13"/>
                <w:szCs w:val="13"/>
                <w:color w:val="0000FF"/>
              </w:rPr>
              <w:t>0</w:t>
            </w:r>
          </w:p>
        </w:tc>
        <w:tc>
          <w:tcPr>
            <w:tcW w:w="76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ind w:left="140"/>
              <w:spacing w:after="0" w:line="146" w:lineRule="exact"/>
              <w:rPr>
                <w:sz w:val="20"/>
                <w:szCs w:val="20"/>
                <w:color w:val="auto"/>
              </w:rPr>
            </w:pPr>
            <w:r>
              <w:rPr>
                <w:rFonts w:ascii="Arial" w:cs="Arial" w:eastAsia="Arial" w:hAnsi="Arial"/>
                <w:sz w:val="13"/>
                <w:szCs w:val="13"/>
                <w:color w:val="0000FF"/>
              </w:rPr>
              <w:t>$0.001</w:t>
            </w: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60" w:hanging="134"/>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April 24, 2012, the reporting person exercised previously issued options to purchase an aggregate of 36,734 shares of common stock of ExlService Holdings, Inc.</w:t>
      </w:r>
    </w:p>
    <w:p>
      <w:pPr>
        <w:spacing w:after="0" w:line="48" w:lineRule="exact"/>
        <w:rPr>
          <w:rFonts w:ascii="Arial" w:cs="Arial" w:eastAsia="Arial" w:hAnsi="Arial"/>
          <w:sz w:val="13"/>
          <w:szCs w:val="13"/>
          <w:color w:val="008000"/>
        </w:rPr>
      </w:pPr>
    </w:p>
    <w:p>
      <w:pPr>
        <w:ind w:left="160" w:hanging="134"/>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Vikram Talwar.</w:t>
      </w:r>
    </w:p>
    <w:p>
      <w:pPr>
        <w:spacing w:after="0" w:line="48" w:lineRule="exact"/>
        <w:rPr>
          <w:rFonts w:ascii="Arial" w:cs="Arial" w:eastAsia="Arial" w:hAnsi="Arial"/>
          <w:sz w:val="13"/>
          <w:szCs w:val="13"/>
          <w:color w:val="008000"/>
        </w:rPr>
      </w:pPr>
    </w:p>
    <w:p>
      <w:pPr>
        <w:ind w:left="160" w:hanging="134"/>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Talwar 1994 Trust (the "Trust").</w:t>
      </w:r>
    </w:p>
    <w:p>
      <w:pPr>
        <w:spacing w:after="0" w:line="48" w:lineRule="exact"/>
        <w:rPr>
          <w:rFonts w:ascii="Arial" w:cs="Arial" w:eastAsia="Arial" w:hAnsi="Arial"/>
          <w:sz w:val="13"/>
          <w:szCs w:val="13"/>
          <w:color w:val="008000"/>
        </w:rPr>
      </w:pPr>
    </w:p>
    <w:p>
      <w:pPr>
        <w:jc w:val="both"/>
        <w:ind w:left="20" w:right="380" w:firstLine="6"/>
        <w:spacing w:after="0" w:line="326" w:lineRule="auto"/>
        <w:tabs>
          <w:tab w:leader="none" w:pos="152"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transaction was executed in multiple trades at prices ranging from $27.75 to $27.885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60" w:hanging="134"/>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April 25, 2012, the reporting person exercised previously issued options to purchase an aggregate of 202,952 shares of common stock of ExlService Holdings, Inc.</w:t>
      </w:r>
    </w:p>
    <w:p>
      <w:pPr>
        <w:spacing w:after="0" w:line="48" w:lineRule="exact"/>
        <w:rPr>
          <w:rFonts w:ascii="Arial" w:cs="Arial" w:eastAsia="Arial" w:hAnsi="Arial"/>
          <w:sz w:val="13"/>
          <w:szCs w:val="13"/>
          <w:color w:val="008000"/>
        </w:rPr>
      </w:pPr>
    </w:p>
    <w:p>
      <w:pPr>
        <w:jc w:val="both"/>
        <w:ind w:left="20" w:right="400" w:firstLine="6"/>
        <w:spacing w:after="0" w:line="326" w:lineRule="auto"/>
        <w:tabs>
          <w:tab w:leader="none" w:pos="152"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transaction was executed in multiple trades at prices ranging from $27.75 to $27.95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60" w:hanging="134"/>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April 26, 2012, the reporting person exercised previously issued options to purchase an aggregate of 129 shares of common stock of ExlService Holdings, Inc</w:t>
      </w:r>
    </w:p>
    <w:p>
      <w:pPr>
        <w:spacing w:after="0" w:line="48" w:lineRule="exact"/>
        <w:rPr>
          <w:rFonts w:ascii="Arial" w:cs="Arial" w:eastAsia="Arial" w:hAnsi="Arial"/>
          <w:sz w:val="13"/>
          <w:szCs w:val="13"/>
          <w:color w:val="008000"/>
        </w:rPr>
      </w:pPr>
    </w:p>
    <w:p>
      <w:pPr>
        <w:ind w:left="160" w:hanging="134"/>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Trust.</w:t>
      </w:r>
    </w:p>
    <w:p>
      <w:pPr>
        <w:spacing w:after="0" w:line="48" w:lineRule="exact"/>
        <w:rPr>
          <w:rFonts w:ascii="Arial" w:cs="Arial" w:eastAsia="Arial" w:hAnsi="Arial"/>
          <w:sz w:val="13"/>
          <w:szCs w:val="13"/>
          <w:color w:val="008000"/>
        </w:rPr>
      </w:pPr>
    </w:p>
    <w:p>
      <w:pPr>
        <w:ind w:left="160" w:hanging="134"/>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Vikram Talwar 2009 Grantor Retained Annuity Trust.</w:t>
      </w:r>
    </w:p>
    <w:p>
      <w:pPr>
        <w:spacing w:after="0" w:line="48" w:lineRule="exact"/>
        <w:rPr>
          <w:rFonts w:ascii="Arial" w:cs="Arial" w:eastAsia="Arial" w:hAnsi="Arial"/>
          <w:sz w:val="13"/>
          <w:szCs w:val="13"/>
          <w:color w:val="008000"/>
        </w:rPr>
      </w:pPr>
    </w:p>
    <w:p>
      <w:pPr>
        <w:ind w:left="220" w:hanging="194"/>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53,081 shares of these options are vested and exercisable, and the balance of 49,100 options will vest on February 10, 2013.</w:t>
      </w:r>
    </w:p>
    <w:p>
      <w:pPr>
        <w:spacing w:after="0" w:line="48" w:lineRule="exact"/>
        <w:rPr>
          <w:rFonts w:ascii="Arial" w:cs="Arial" w:eastAsia="Arial" w:hAnsi="Arial"/>
          <w:sz w:val="13"/>
          <w:szCs w:val="13"/>
          <w:color w:val="008000"/>
        </w:rPr>
      </w:pPr>
    </w:p>
    <w:p>
      <w:pPr>
        <w:ind w:left="220" w:hanging="194"/>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an adjustment to shares previously reported on April 23, 2012.</w:t>
      </w:r>
    </w:p>
    <w:p>
      <w:pPr>
        <w:spacing w:after="0" w:line="48" w:lineRule="exact"/>
        <w:rPr>
          <w:rFonts w:ascii="Arial" w:cs="Arial" w:eastAsia="Arial" w:hAnsi="Arial"/>
          <w:sz w:val="13"/>
          <w:szCs w:val="13"/>
          <w:color w:val="008000"/>
        </w:rPr>
      </w:pPr>
    </w:p>
    <w:p>
      <w:pPr>
        <w:ind w:left="220" w:hanging="194"/>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49,100 options will vest and become exercisable on February 10, 2013.</w:t>
      </w:r>
    </w:p>
    <w:p>
      <w:pPr>
        <w:spacing w:after="0" w:line="48" w:lineRule="exact"/>
        <w:rPr>
          <w:rFonts w:ascii="Arial" w:cs="Arial" w:eastAsia="Arial" w:hAnsi="Arial"/>
          <w:sz w:val="13"/>
          <w:szCs w:val="13"/>
          <w:color w:val="008000"/>
        </w:rPr>
      </w:pPr>
    </w:p>
    <w:p>
      <w:pPr>
        <w:ind w:left="220" w:hanging="194"/>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129 of these options are currently vested and exercisable.</w:t>
      </w:r>
    </w:p>
    <w:p>
      <w:pPr>
        <w:spacing w:after="0" w:line="48" w:lineRule="exact"/>
        <w:rPr>
          <w:rFonts w:ascii="Arial" w:cs="Arial" w:eastAsia="Arial" w:hAnsi="Arial"/>
          <w:sz w:val="13"/>
          <w:szCs w:val="13"/>
          <w:color w:val="008000"/>
        </w:rPr>
      </w:pPr>
    </w:p>
    <w:p>
      <w:pPr>
        <w:ind w:left="220" w:hanging="194"/>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options vested in multiple installments, with the final installment vesting on January 23, 2012.</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41" w:lineRule="exact"/>
        <w:rPr>
          <w:sz w:val="20"/>
          <w:szCs w:val="20"/>
          <w:color w:val="auto"/>
        </w:rPr>
      </w:pPr>
    </w:p>
    <w:tbl>
      <w:tblPr>
        <w:tblLayout w:type="fixed"/>
        <w:tblInd w:w="6840" w:type="dxa"/>
        <w:tblCellMar>
          <w:top w:w="0" w:type="dxa"/>
          <w:left w:w="0" w:type="dxa"/>
          <w:bottom w:w="0" w:type="dxa"/>
          <w:right w:w="0" w:type="dxa"/>
        </w:tblCellMar>
      </w:tblPr>
      <w:tr>
        <w:trPr>
          <w:trHeight w:val="21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Lazbart Oseni,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04/26/2012</w:t>
            </w:r>
          </w:p>
        </w:tc>
        <w:tc>
          <w:tcPr>
            <w:tcW w:w="0" w:type="dxa"/>
            <w:vAlign w:val="bottom"/>
          </w:tcPr>
          <w:p>
            <w:pPr>
              <w:spacing w:after="0"/>
              <w:rPr>
                <w:sz w:val="1"/>
                <w:szCs w:val="1"/>
                <w:color w:val="auto"/>
              </w:rPr>
            </w:pPr>
          </w:p>
        </w:tc>
      </w:tr>
      <w:tr>
        <w:trPr>
          <w:trHeight w:val="86"/>
        </w:trPr>
        <w:tc>
          <w:tcPr>
            <w:tcW w:w="300" w:type="dxa"/>
            <w:vAlign w:val="bottom"/>
            <w:vMerge w:val="restart"/>
          </w:tcPr>
          <w:p>
            <w:pPr>
              <w:spacing w:after="0" w:line="192" w:lineRule="exact"/>
              <w:rPr>
                <w:sz w:val="20"/>
                <w:szCs w:val="20"/>
                <w:color w:val="auto"/>
              </w:rPr>
            </w:pPr>
            <w:r>
              <w:rPr>
                <w:rFonts w:ascii="Arial" w:cs="Arial" w:eastAsia="Arial" w:hAnsi="Arial"/>
                <w:sz w:val="17"/>
                <w:szCs w:val="17"/>
                <w:color w:val="0000FF"/>
                <w:w w:val="84"/>
              </w:rPr>
              <w:t>Fact</w:t>
            </w:r>
          </w:p>
        </w:tc>
        <w:tc>
          <w:tcPr>
            <w:tcW w:w="190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00" w:type="dxa"/>
            <w:vAlign w:val="bottom"/>
            <w:tcBorders>
              <w:bottom w:val="single" w:sz="8" w:color="auto"/>
            </w:tcBorders>
            <w:vMerge w:val="continue"/>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20" w:right="3840" w:firstLine="6"/>
        <w:spacing w:after="0" w:line="316" w:lineRule="auto"/>
        <w:tabs>
          <w:tab w:leader="none" w:pos="16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60" w:top="187"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7362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2019-12-16T13:09:29Z</dcterms:created>
  <dcterms:modified xsi:type="dcterms:W3CDTF">2019-12-16T13:09:29Z</dcterms:modified>
</cp:coreProperties>
</file>