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6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SECURITIES AND EXCHANGE COMMISSION</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1" w:lineRule="exact"/>
        <w:rPr>
          <w:sz w:val="24"/>
          <w:szCs w:val="24"/>
          <w:color w:val="auto"/>
        </w:rPr>
      </w:pPr>
    </w:p>
    <w:p>
      <w:pPr>
        <w:ind w:left="30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FORM 10-K</w:t>
      </w:r>
    </w:p>
    <w:p>
      <w:pPr>
        <w:spacing w:after="0" w:line="1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rPr>
          <w:sz w:val="20"/>
          <w:szCs w:val="20"/>
          <w:color w:val="auto"/>
        </w:rPr>
      </w:pPr>
      <w:r>
        <w:rPr>
          <w:rFonts w:ascii="Arial" w:cs="Arial" w:eastAsia="Arial" w:hAnsi="Arial"/>
          <w:sz w:val="16"/>
          <w:szCs w:val="16"/>
          <w:b w:val="1"/>
          <w:bCs w:val="1"/>
          <w:color w:val="auto"/>
        </w:rPr>
        <w:t>(Mark One)</w:t>
      </w:r>
    </w:p>
    <w:p>
      <w:pPr>
        <w:spacing w:after="0" w:line="108" w:lineRule="exact"/>
        <w:rPr>
          <w:sz w:val="24"/>
          <w:szCs w:val="24"/>
          <w:color w:val="auto"/>
        </w:rPr>
      </w:pPr>
    </w:p>
    <w:p>
      <w:pPr>
        <w:ind w:left="300" w:hanging="278"/>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3" w:lineRule="exact"/>
        <w:rPr>
          <w:sz w:val="24"/>
          <w:szCs w:val="24"/>
          <w:color w:val="auto"/>
        </w:rPr>
      </w:pPr>
    </w:p>
    <w:p>
      <w:pPr>
        <w:ind w:left="300" w:hanging="278"/>
        <w:spacing w:after="0"/>
        <w:tabs>
          <w:tab w:leader="none" w:pos="3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1" w:lineRule="exact"/>
        <w:rPr>
          <w:sz w:val="24"/>
          <w:szCs w:val="24"/>
          <w:color w:val="auto"/>
        </w:rPr>
      </w:pPr>
    </w:p>
    <w:p>
      <w:pPr>
        <w:ind w:left="322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3912235</wp:posOffset>
            </wp:positionH>
            <wp:positionV relativeFrom="paragraph">
              <wp:posOffset>-7620</wp:posOffset>
            </wp:positionV>
            <wp:extent cx="1191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001-33089</w:t>
      </w:r>
    </w:p>
    <w:p>
      <w:pPr>
        <w:spacing w:after="0" w:line="2"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35"/>
          <w:szCs w:val="35"/>
          <w:b w:val="1"/>
          <w:bCs w:val="1"/>
          <w:color w:val="auto"/>
        </w:rPr>
        <w:t>EXLSERVICE HOLDINGS, INC.</w:t>
      </w:r>
    </w:p>
    <w:p>
      <w:pPr>
        <w:jc w:val="center"/>
        <w:ind w:right="-99"/>
        <w:spacing w:after="0" w:line="225" w:lineRule="auto"/>
        <w:rPr>
          <w:sz w:val="20"/>
          <w:szCs w:val="20"/>
          <w:color w:val="auto"/>
        </w:rPr>
      </w:pPr>
      <w:r>
        <w:rPr>
          <w:rFonts w:ascii="Arial" w:cs="Arial" w:eastAsia="Arial" w:hAnsi="Arial"/>
          <w:sz w:val="16"/>
          <w:szCs w:val="16"/>
          <w:b w:val="1"/>
          <w:bCs w:val="1"/>
          <w:color w:val="auto"/>
        </w:rPr>
        <w:t>(Exact name of registrant as specified in its charter)</w:t>
      </w: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__________________________________________________________</w:t>
      </w:r>
    </w:p>
    <w:p>
      <w:pPr>
        <w:spacing w:after="0" w:line="104" w:lineRule="exact"/>
        <w:rPr>
          <w:sz w:val="24"/>
          <w:szCs w:val="24"/>
          <w:color w:val="auto"/>
        </w:rPr>
      </w:pPr>
    </w:p>
    <w:tbl>
      <w:tblPr>
        <w:tblLayout w:type="fixed"/>
        <w:tblInd w:w="350" w:type="dxa"/>
        <w:tblCellMar>
          <w:top w:w="0" w:type="dxa"/>
          <w:left w:w="0" w:type="dxa"/>
          <w:bottom w:w="0" w:type="dxa"/>
          <w:right w:w="0" w:type="dxa"/>
        </w:tblCellMar>
      </w:tblPr>
      <w:tr>
        <w:trPr>
          <w:trHeight w:val="201"/>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jc w:val="center"/>
              <w:ind w:right="1040"/>
              <w:spacing w:after="0"/>
              <w:rPr>
                <w:sz w:val="20"/>
                <w:szCs w:val="20"/>
                <w:color w:val="auto"/>
              </w:rPr>
            </w:pPr>
            <w:r>
              <w:rPr>
                <w:rFonts w:ascii="Arial" w:cs="Arial" w:eastAsia="Arial" w:hAnsi="Arial"/>
                <w:sz w:val="16"/>
                <w:szCs w:val="16"/>
                <w:b w:val="1"/>
                <w:bCs w:val="1"/>
                <w:color w:val="auto"/>
                <w:w w:val="91"/>
              </w:rPr>
              <w:t>Delaware</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006"/>
              <w:spacing w:after="0"/>
              <w:rPr>
                <w:sz w:val="20"/>
                <w:szCs w:val="20"/>
                <w:color w:val="auto"/>
              </w:rPr>
            </w:pPr>
            <w:r>
              <w:rPr>
                <w:rFonts w:ascii="Arial" w:cs="Arial" w:eastAsia="Arial" w:hAnsi="Arial"/>
                <w:sz w:val="16"/>
                <w:szCs w:val="16"/>
                <w:b w:val="1"/>
                <w:bCs w:val="1"/>
                <w:color w:val="auto"/>
              </w:rPr>
              <w:t>82-0572194</w:t>
            </w:r>
          </w:p>
        </w:tc>
        <w:tc>
          <w:tcPr>
            <w:tcW w:w="600" w:type="dxa"/>
            <w:vAlign w:val="bottom"/>
          </w:tcPr>
          <w:p>
            <w:pPr>
              <w:spacing w:after="0"/>
              <w:rPr>
                <w:sz w:val="17"/>
                <w:szCs w:val="17"/>
                <w:color w:val="auto"/>
              </w:rPr>
            </w:pPr>
          </w:p>
        </w:tc>
      </w:tr>
      <w:tr>
        <w:trPr>
          <w:trHeight w:val="141"/>
        </w:trPr>
        <w:tc>
          <w:tcPr>
            <w:tcW w:w="1320" w:type="dxa"/>
            <w:vAlign w:val="bottom"/>
          </w:tcPr>
          <w:p>
            <w:pPr>
              <w:spacing w:after="0"/>
              <w:rPr>
                <w:sz w:val="12"/>
                <w:szCs w:val="12"/>
                <w:color w:val="auto"/>
              </w:rPr>
            </w:pPr>
          </w:p>
        </w:tc>
        <w:tc>
          <w:tcPr>
            <w:tcW w:w="3000" w:type="dxa"/>
            <w:vAlign w:val="bottom"/>
            <w:gridSpan w:val="3"/>
          </w:tcPr>
          <w:p>
            <w:pPr>
              <w:jc w:val="center"/>
              <w:ind w:left="67"/>
              <w:spacing w:after="0" w:line="141" w:lineRule="exact"/>
              <w:rPr>
                <w:sz w:val="20"/>
                <w:szCs w:val="20"/>
                <w:color w:val="auto"/>
              </w:rPr>
            </w:pPr>
            <w:r>
              <w:rPr>
                <w:rFonts w:ascii="Arial" w:cs="Arial" w:eastAsia="Arial" w:hAnsi="Arial"/>
                <w:sz w:val="14"/>
                <w:szCs w:val="14"/>
                <w:b w:val="1"/>
                <w:bCs w:val="1"/>
                <w:color w:val="auto"/>
                <w:w w:val="90"/>
              </w:rPr>
              <w:t>(State or other jurisdiction of</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gridSpan w:val="3"/>
          </w:tcPr>
          <w:p>
            <w:pPr>
              <w:jc w:val="center"/>
              <w:ind w:right="2440"/>
              <w:spacing w:after="0" w:line="141" w:lineRule="exact"/>
              <w:rPr>
                <w:sz w:val="20"/>
                <w:szCs w:val="20"/>
                <w:color w:val="auto"/>
              </w:rPr>
            </w:pPr>
            <w:r>
              <w:rPr>
                <w:rFonts w:ascii="Arial" w:cs="Arial" w:eastAsia="Arial" w:hAnsi="Arial"/>
                <w:sz w:val="14"/>
                <w:szCs w:val="14"/>
                <w:b w:val="1"/>
                <w:bCs w:val="1"/>
                <w:color w:val="auto"/>
                <w:w w:val="93"/>
              </w:rPr>
              <w:t>(I.R.S. Employer</w:t>
            </w:r>
          </w:p>
        </w:tc>
      </w:tr>
      <w:tr>
        <w:trPr>
          <w:trHeight w:val="183"/>
        </w:trPr>
        <w:tc>
          <w:tcPr>
            <w:tcW w:w="1320" w:type="dxa"/>
            <w:vAlign w:val="bottom"/>
          </w:tcPr>
          <w:p>
            <w:pPr>
              <w:spacing w:after="0"/>
              <w:rPr>
                <w:sz w:val="15"/>
                <w:szCs w:val="15"/>
                <w:color w:val="auto"/>
              </w:rPr>
            </w:pPr>
          </w:p>
        </w:tc>
        <w:tc>
          <w:tcPr>
            <w:tcW w:w="3000" w:type="dxa"/>
            <w:vAlign w:val="bottom"/>
            <w:gridSpan w:val="3"/>
          </w:tcPr>
          <w:p>
            <w:pPr>
              <w:jc w:val="center"/>
              <w:ind w:left="67"/>
              <w:spacing w:after="0"/>
              <w:rPr>
                <w:sz w:val="20"/>
                <w:szCs w:val="20"/>
                <w:color w:val="auto"/>
              </w:rPr>
            </w:pPr>
            <w:r>
              <w:rPr>
                <w:rFonts w:ascii="Arial" w:cs="Arial" w:eastAsia="Arial" w:hAnsi="Arial"/>
                <w:sz w:val="14"/>
                <w:szCs w:val="14"/>
                <w:b w:val="1"/>
                <w:bCs w:val="1"/>
                <w:color w:val="auto"/>
                <w:w w:val="91"/>
              </w:rPr>
              <w:t>incorporation or organization)</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80" w:type="dxa"/>
            <w:vAlign w:val="bottom"/>
            <w:gridSpan w:val="3"/>
          </w:tcPr>
          <w:p>
            <w:pPr>
              <w:jc w:val="center"/>
              <w:ind w:right="2440"/>
              <w:spacing w:after="0"/>
              <w:rPr>
                <w:sz w:val="20"/>
                <w:szCs w:val="20"/>
                <w:color w:val="auto"/>
              </w:rPr>
            </w:pPr>
            <w:r>
              <w:rPr>
                <w:rFonts w:ascii="Arial" w:cs="Arial" w:eastAsia="Arial" w:hAnsi="Arial"/>
                <w:sz w:val="14"/>
                <w:szCs w:val="14"/>
                <w:b w:val="1"/>
                <w:bCs w:val="1"/>
                <w:color w:val="auto"/>
                <w:w w:val="91"/>
              </w:rPr>
              <w:t>Identification No.)</w:t>
            </w:r>
          </w:p>
        </w:tc>
      </w:tr>
      <w:tr>
        <w:trPr>
          <w:trHeight w:val="262"/>
        </w:trPr>
        <w:tc>
          <w:tcPr>
            <w:tcW w:w="1320" w:type="dxa"/>
            <w:vAlign w:val="bottom"/>
          </w:tcPr>
          <w:p>
            <w:pPr>
              <w:spacing w:after="0"/>
              <w:rPr>
                <w:sz w:val="22"/>
                <w:szCs w:val="22"/>
                <w:color w:val="auto"/>
              </w:rPr>
            </w:pPr>
          </w:p>
        </w:tc>
        <w:tc>
          <w:tcPr>
            <w:tcW w:w="3000" w:type="dxa"/>
            <w:vAlign w:val="bottom"/>
            <w:gridSpan w:val="3"/>
          </w:tcPr>
          <w:p>
            <w:pPr>
              <w:jc w:val="center"/>
              <w:ind w:left="27"/>
              <w:spacing w:after="0"/>
              <w:rPr>
                <w:sz w:val="20"/>
                <w:szCs w:val="20"/>
                <w:color w:val="auto"/>
              </w:rPr>
            </w:pPr>
            <w:r>
              <w:rPr>
                <w:rFonts w:ascii="Arial" w:cs="Arial" w:eastAsia="Arial" w:hAnsi="Arial"/>
                <w:sz w:val="16"/>
                <w:szCs w:val="16"/>
                <w:b w:val="1"/>
                <w:bCs w:val="1"/>
                <w:color w:val="auto"/>
                <w:w w:val="87"/>
              </w:rPr>
              <w:t>320 Park Avenue, 29</w:t>
            </w:r>
            <w:r>
              <w:rPr>
                <w:rFonts w:ascii="Arial" w:cs="Arial" w:eastAsia="Arial" w:hAnsi="Arial"/>
                <w:sz w:val="20"/>
                <w:szCs w:val="20"/>
                <w:b w:val="1"/>
                <w:bCs w:val="1"/>
                <w:color w:val="auto"/>
                <w:w w:val="87"/>
                <w:vertAlign w:val="superscript"/>
              </w:rPr>
              <w:t>th</w:t>
            </w:r>
            <w:r>
              <w:rPr>
                <w:rFonts w:ascii="Arial" w:cs="Arial" w:eastAsia="Arial" w:hAnsi="Arial"/>
                <w:sz w:val="16"/>
                <w:szCs w:val="16"/>
                <w:b w:val="1"/>
                <w:bCs w:val="1"/>
                <w:color w:val="auto"/>
                <w:w w:val="87"/>
              </w:rPr>
              <w:t xml:space="preserve"> Floor,</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01"/>
        </w:trPr>
        <w:tc>
          <w:tcPr>
            <w:tcW w:w="1320" w:type="dxa"/>
            <w:vAlign w:val="bottom"/>
          </w:tcPr>
          <w:p>
            <w:pPr>
              <w:spacing w:after="0"/>
              <w:rPr>
                <w:sz w:val="17"/>
                <w:szCs w:val="17"/>
                <w:color w:val="auto"/>
              </w:rPr>
            </w:pPr>
          </w:p>
        </w:tc>
        <w:tc>
          <w:tcPr>
            <w:tcW w:w="3000" w:type="dxa"/>
            <w:vAlign w:val="bottom"/>
            <w:gridSpan w:val="3"/>
          </w:tcPr>
          <w:p>
            <w:pPr>
              <w:ind w:left="1080"/>
              <w:spacing w:after="0"/>
              <w:rPr>
                <w:sz w:val="20"/>
                <w:szCs w:val="20"/>
                <w:color w:val="auto"/>
              </w:rPr>
            </w:pPr>
            <w:r>
              <w:rPr>
                <w:rFonts w:ascii="Arial" w:cs="Arial" w:eastAsia="Arial" w:hAnsi="Arial"/>
                <w:sz w:val="16"/>
                <w:szCs w:val="16"/>
                <w:b w:val="1"/>
                <w:bCs w:val="1"/>
                <w:color w:val="auto"/>
              </w:rPr>
              <w:t>New York, New York</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186"/>
              <w:spacing w:after="0"/>
              <w:rPr>
                <w:sz w:val="20"/>
                <w:szCs w:val="20"/>
                <w:color w:val="auto"/>
              </w:rPr>
            </w:pPr>
            <w:r>
              <w:rPr>
                <w:rFonts w:ascii="Arial" w:cs="Arial" w:eastAsia="Arial" w:hAnsi="Arial"/>
                <w:sz w:val="16"/>
                <w:szCs w:val="16"/>
                <w:b w:val="1"/>
                <w:bCs w:val="1"/>
                <w:color w:val="auto"/>
              </w:rPr>
              <w:t>10022</w:t>
            </w:r>
          </w:p>
        </w:tc>
        <w:tc>
          <w:tcPr>
            <w:tcW w:w="600" w:type="dxa"/>
            <w:vAlign w:val="bottom"/>
          </w:tcPr>
          <w:p>
            <w:pPr>
              <w:spacing w:after="0"/>
              <w:rPr>
                <w:sz w:val="17"/>
                <w:szCs w:val="17"/>
                <w:color w:val="auto"/>
              </w:rPr>
            </w:pPr>
          </w:p>
        </w:tc>
      </w:tr>
      <w:tr>
        <w:trPr>
          <w:trHeight w:val="183"/>
        </w:trPr>
        <w:tc>
          <w:tcPr>
            <w:tcW w:w="1320" w:type="dxa"/>
            <w:vAlign w:val="bottom"/>
          </w:tcPr>
          <w:p>
            <w:pPr>
              <w:spacing w:after="0"/>
              <w:rPr>
                <w:sz w:val="15"/>
                <w:szCs w:val="15"/>
                <w:color w:val="auto"/>
              </w:rPr>
            </w:pPr>
          </w:p>
        </w:tc>
        <w:tc>
          <w:tcPr>
            <w:tcW w:w="3000" w:type="dxa"/>
            <w:vAlign w:val="bottom"/>
            <w:gridSpan w:val="3"/>
          </w:tcPr>
          <w:p>
            <w:pPr>
              <w:jc w:val="center"/>
              <w:ind w:left="4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0" w:type="dxa"/>
            <w:vAlign w:val="bottom"/>
            <w:gridSpan w:val="2"/>
          </w:tcPr>
          <w:p>
            <w:pPr>
              <w:jc w:val="center"/>
              <w:ind w:right="2720"/>
              <w:spacing w:after="0"/>
              <w:rPr>
                <w:sz w:val="20"/>
                <w:szCs w:val="20"/>
                <w:color w:val="auto"/>
              </w:rPr>
            </w:pPr>
            <w:r>
              <w:rPr>
                <w:rFonts w:ascii="Arial" w:cs="Arial" w:eastAsia="Arial" w:hAnsi="Arial"/>
                <w:sz w:val="14"/>
                <w:szCs w:val="14"/>
                <w:b w:val="1"/>
                <w:bCs w:val="1"/>
                <w:color w:val="auto"/>
                <w:w w:val="89"/>
              </w:rPr>
              <w:t>(Zip code)</w:t>
            </w:r>
          </w:p>
        </w:tc>
      </w:tr>
      <w:tr>
        <w:trPr>
          <w:trHeight w:val="568"/>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2"/>
          </w:tcPr>
          <w:p>
            <w:pPr>
              <w:jc w:val="center"/>
              <w:ind w:left="361"/>
              <w:spacing w:after="0"/>
              <w:rPr>
                <w:sz w:val="20"/>
                <w:szCs w:val="20"/>
                <w:color w:val="auto"/>
              </w:rPr>
            </w:pPr>
            <w:r>
              <w:rPr>
                <w:rFonts w:ascii="Arial" w:cs="Arial" w:eastAsia="Arial" w:hAnsi="Arial"/>
                <w:sz w:val="16"/>
                <w:szCs w:val="16"/>
                <w:b w:val="1"/>
                <w:bCs w:val="1"/>
                <w:color w:val="auto"/>
                <w:w w:val="89"/>
              </w:rPr>
              <w:t>(212) 277-7100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6"/>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gridSpan w:val="6"/>
          </w:tcPr>
          <w:p>
            <w:pPr>
              <w:jc w:val="center"/>
              <w:ind w:left="1084"/>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76"/>
        </w:trPr>
        <w:tc>
          <w:tcPr>
            <w:tcW w:w="1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gridSpan w:val="3"/>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gridSpan w:val="3"/>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r>
      <w:tr>
        <w:trPr>
          <w:trHeight w:val="200"/>
        </w:trPr>
        <w:tc>
          <w:tcPr>
            <w:tcW w:w="132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120" w:type="dxa"/>
            <w:vAlign w:val="bottom"/>
            <w:tcBorders>
              <w:bottom w:val="single" w:sz="8" w:color="auto"/>
              <w:right w:val="single" w:sz="8" w:color="auto"/>
            </w:tcBorders>
            <w:gridSpan w:val="9"/>
          </w:tcPr>
          <w:p>
            <w:pPr>
              <w:jc w:val="center"/>
              <w:ind w:right="2500"/>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r>
      <w:tr>
        <w:trPr>
          <w:trHeight w:val="166"/>
        </w:trPr>
        <w:tc>
          <w:tcPr>
            <w:tcW w:w="38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00" w:type="dxa"/>
            <w:vAlign w:val="bottom"/>
          </w:tcPr>
          <w:p>
            <w:pPr>
              <w:spacing w:after="0"/>
              <w:rPr>
                <w:sz w:val="14"/>
                <w:szCs w:val="14"/>
                <w:color w:val="auto"/>
              </w:rPr>
            </w:pPr>
          </w:p>
        </w:tc>
        <w:tc>
          <w:tcPr>
            <w:tcW w:w="2320" w:type="dxa"/>
            <w:vAlign w:val="bottom"/>
            <w:tcBorders>
              <w:right w:val="single" w:sz="8" w:color="auto"/>
            </w:tcBorders>
            <w:gridSpan w:val="3"/>
          </w:tcPr>
          <w:p>
            <w:pPr>
              <w:jc w:val="center"/>
              <w:ind w:right="540"/>
              <w:spacing w:after="0" w:line="167" w:lineRule="exact"/>
              <w:rPr>
                <w:sz w:val="20"/>
                <w:szCs w:val="20"/>
                <w:color w:val="auto"/>
              </w:rPr>
            </w:pPr>
            <w:r>
              <w:rPr>
                <w:rFonts w:ascii="Arial" w:cs="Arial" w:eastAsia="Arial" w:hAnsi="Arial"/>
                <w:sz w:val="16"/>
                <w:szCs w:val="16"/>
                <w:b w:val="1"/>
                <w:bCs w:val="1"/>
                <w:color w:val="auto"/>
                <w:w w:val="87"/>
              </w:rPr>
              <w:t>Trading symbol(s)</w:t>
            </w:r>
          </w:p>
        </w:tc>
        <w:tc>
          <w:tcPr>
            <w:tcW w:w="280" w:type="dxa"/>
            <w:vAlign w:val="bottom"/>
          </w:tcPr>
          <w:p>
            <w:pPr>
              <w:spacing w:after="0"/>
              <w:rPr>
                <w:sz w:val="14"/>
                <w:szCs w:val="14"/>
                <w:color w:val="auto"/>
              </w:rPr>
            </w:pPr>
          </w:p>
        </w:tc>
        <w:tc>
          <w:tcPr>
            <w:tcW w:w="368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99"/>
        </w:trPr>
        <w:tc>
          <w:tcPr>
            <w:tcW w:w="3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87"/>
              </w:rPr>
              <w:t>Common Stock, par value $0.001 per share</w:t>
            </w: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14"/>
                <w:szCs w:val="14"/>
                <w:color w:val="auto"/>
              </w:rPr>
              <w:t>EXLS</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0" w:type="dxa"/>
            <w:vAlign w:val="bottom"/>
            <w:tcBorders>
              <w:bottom w:val="single" w:sz="8" w:color="auto"/>
              <w:right w:val="single" w:sz="8" w:color="auto"/>
            </w:tcBorders>
            <w:gridSpan w:val="2"/>
          </w:tcPr>
          <w:p>
            <w:pPr>
              <w:jc w:val="center"/>
              <w:ind w:right="600"/>
              <w:spacing w:after="0"/>
              <w:rPr>
                <w:sz w:val="20"/>
                <w:szCs w:val="20"/>
                <w:color w:val="auto"/>
              </w:rPr>
            </w:pPr>
            <w:r>
              <w:rPr>
                <w:rFonts w:ascii="Arial" w:cs="Arial" w:eastAsia="Arial" w:hAnsi="Arial"/>
                <w:sz w:val="16"/>
                <w:szCs w:val="16"/>
                <w:color w:val="auto"/>
                <w:w w:val="94"/>
              </w:rPr>
              <w:t>NASDAQ</w:t>
            </w:r>
          </w:p>
        </w:tc>
      </w:tr>
    </w:tbl>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None</w:t>
      </w:r>
    </w:p>
    <w:p>
      <w:pPr>
        <w:spacing w:after="0" w:line="21" w:lineRule="exact"/>
        <w:rPr>
          <w:sz w:val="24"/>
          <w:szCs w:val="24"/>
          <w:color w:val="auto"/>
        </w:rPr>
      </w:pPr>
    </w:p>
    <w:p>
      <w:pPr>
        <w:ind w:left="4260"/>
        <w:spacing w:after="0"/>
        <w:rPr>
          <w:sz w:val="20"/>
          <w:szCs w:val="20"/>
          <w:color w:val="auto"/>
        </w:rPr>
      </w:pPr>
      <w:r>
        <w:rPr>
          <w:rFonts w:ascii="Arial" w:cs="Arial" w:eastAsia="Arial" w:hAnsi="Arial"/>
          <w:sz w:val="17"/>
          <w:szCs w:val="17"/>
          <w:b w:val="1"/>
          <w:bCs w:val="1"/>
          <w:color w:val="auto"/>
        </w:rPr>
        <w:t>_______________________________</w:t>
      </w:r>
    </w:p>
    <w:p>
      <w:pPr>
        <w:ind w:left="320" w:right="2700"/>
        <w:spacing w:after="0" w:line="21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right="360" w:firstLine="315"/>
        <w:spacing w:after="0" w:line="18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right="120" w:firstLine="315"/>
        <w:spacing w:after="0" w:line="18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spacing w:after="0" w:line="29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1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8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520"/>
              <w:spacing w:after="0"/>
              <w:rPr>
                <w:sz w:val="20"/>
                <w:szCs w:val="20"/>
                <w:color w:val="auto"/>
              </w:rPr>
            </w:pPr>
            <w:r>
              <w:rPr>
                <w:rFonts w:ascii="Arial" w:cs="Arial" w:eastAsia="Arial" w:hAnsi="Arial"/>
                <w:sz w:val="15"/>
                <w:szCs w:val="15"/>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9"/>
        </w:trPr>
        <w:tc>
          <w:tcPr>
            <w:tcW w:w="2160" w:type="dxa"/>
            <w:vAlign w:val="bottom"/>
          </w:tcPr>
          <w:p>
            <w:pPr>
              <w:spacing w:after="0"/>
              <w:rPr>
                <w:sz w:val="20"/>
                <w:szCs w:val="20"/>
                <w:color w:val="auto"/>
              </w:rPr>
            </w:pPr>
            <w:r>
              <w:rPr>
                <w:rFonts w:ascii="Arial" w:cs="Arial" w:eastAsia="Arial" w:hAnsi="Arial"/>
                <w:sz w:val="15"/>
                <w:szCs w:val="15"/>
                <w:color w:val="auto"/>
              </w:rPr>
              <w:t>Non-accelerated filer</w:t>
            </w:r>
          </w:p>
        </w:tc>
        <w:tc>
          <w:tcPr>
            <w:tcW w:w="318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520"/>
              <w:spacing w:after="0"/>
              <w:rPr>
                <w:sz w:val="20"/>
                <w:szCs w:val="20"/>
                <w:color w:val="auto"/>
              </w:rPr>
            </w:pPr>
            <w:r>
              <w:rPr>
                <w:rFonts w:ascii="Arial" w:cs="Arial" w:eastAsia="Arial" w:hAnsi="Arial"/>
                <w:sz w:val="15"/>
                <w:szCs w:val="15"/>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9"/>
        </w:trPr>
        <w:tc>
          <w:tcPr>
            <w:tcW w:w="21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18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58" w:lineRule="exact"/>
        <w:rPr>
          <w:sz w:val="24"/>
          <w:szCs w:val="24"/>
          <w:color w:val="auto"/>
        </w:rPr>
      </w:pPr>
    </w:p>
    <w:p>
      <w:pPr>
        <w:ind w:right="520" w:firstLine="315"/>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56" w:lineRule="exact"/>
        <w:rPr>
          <w:sz w:val="24"/>
          <w:szCs w:val="24"/>
          <w:color w:val="auto"/>
        </w:rPr>
      </w:pPr>
    </w:p>
    <w:p>
      <w:pPr>
        <w:ind w:right="160" w:firstLine="315"/>
        <w:spacing w:after="0" w:line="18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80" w:lineRule="exact"/>
        <w:rPr>
          <w:sz w:val="24"/>
          <w:szCs w:val="24"/>
          <w:color w:val="auto"/>
        </w:rPr>
      </w:pPr>
    </w:p>
    <w:p>
      <w:pPr>
        <w:ind w:left="320"/>
        <w:spacing w:after="0" w:line="173" w:lineRule="exact"/>
        <w:tabs>
          <w:tab w:leader="none" w:pos="7200" w:val="left"/>
          <w:tab w:leader="none" w:pos="77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261620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462" w:right="419" w:bottom="1440" w:gutter="0" w:footer="0" w:header="0"/>
        </w:sectPr>
      </w:pPr>
    </w:p>
    <w:bookmarkStart w:id="1" w:name="page2"/>
    <w:bookmarkEnd w:id="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17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June 30, 2021, the aggregate market value of common stock held by non-affiliates was approximately $3,440,655,754.</w:t>
      </w:r>
    </w:p>
    <w:p>
      <w:pPr>
        <w:spacing w:after="0" w:line="33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February 22, 2022, there were 33,205,469 shares of the registrant’s common stock outstanding, par value $0.001 per share.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DOCUMENTS INCORPORATED BY REFERENCE</w:t>
      </w:r>
    </w:p>
    <w:p>
      <w:pPr>
        <w:spacing w:after="0" w:line="14" w:lineRule="exact"/>
        <w:rPr>
          <w:sz w:val="20"/>
          <w:szCs w:val="20"/>
          <w:color w:val="auto"/>
        </w:rPr>
      </w:pPr>
    </w:p>
    <w:p>
      <w:pPr>
        <w:spacing w:after="0" w:line="242" w:lineRule="auto"/>
        <w:rPr>
          <w:sz w:val="20"/>
          <w:szCs w:val="20"/>
          <w:color w:val="auto"/>
        </w:rPr>
      </w:pPr>
      <w:r>
        <w:rPr>
          <w:rFonts w:ascii="Arial" w:cs="Arial" w:eastAsia="Arial" w:hAnsi="Arial"/>
          <w:sz w:val="15"/>
          <w:szCs w:val="15"/>
          <w:color w:val="auto"/>
        </w:rPr>
        <w:t>Part III incorporates information from certain portions of the registrant’s definitive proxy statement to be filed with the Securities and Exchange Commission within 120 days after the fiscal year end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217170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104775</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713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20"/>
          </w:cols>
          <w:pgMar w:left="320" w:top="357" w:right="35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20" w:type="dxa"/>
            <w:vAlign w:val="bottom"/>
            <w:gridSpan w:val="12"/>
          </w:tcPr>
          <w:p>
            <w:pPr>
              <w:ind w:left="320"/>
              <w:spacing w:after="0"/>
              <w:rPr>
                <w:sz w:val="20"/>
                <w:szCs w:val="20"/>
                <w:color w:val="auto"/>
              </w:rPr>
            </w:pPr>
            <w:r>
              <w:rPr>
                <w:rFonts w:ascii="Arial" w:cs="Arial" w:eastAsia="Arial" w:hAnsi="Arial"/>
                <w:sz w:val="17"/>
                <w:szCs w:val="17"/>
                <w:b w:val="1"/>
                <w:bCs w:val="1"/>
                <w:color w:val="auto"/>
              </w:rPr>
              <w:t>TABLE OF CONTENTS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57"/>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gridSpan w:val="3"/>
          </w:tcPr>
          <w:p>
            <w:pPr>
              <w:ind w:left="180"/>
              <w:spacing w:after="0"/>
              <w:rPr>
                <w:sz w:val="20"/>
                <w:szCs w:val="20"/>
                <w:color w:val="auto"/>
              </w:rPr>
            </w:pPr>
            <w:r>
              <w:rPr>
                <w:rFonts w:ascii="Arial" w:cs="Arial" w:eastAsia="Arial" w:hAnsi="Arial"/>
                <w:sz w:val="14"/>
                <w:szCs w:val="14"/>
                <w:b w:val="1"/>
                <w:bCs w:val="1"/>
                <w:color w:val="auto"/>
              </w:rPr>
              <w:t>Page</w:t>
            </w:r>
          </w:p>
        </w:tc>
      </w:tr>
      <w:tr>
        <w:trPr>
          <w:trHeight w:val="170"/>
        </w:trPr>
        <w:tc>
          <w:tcPr>
            <w:tcW w:w="40" w:type="dxa"/>
            <w:vAlign w:val="bottom"/>
          </w:tcPr>
          <w:p>
            <w:pPr>
              <w:spacing w:after="0"/>
              <w:rPr>
                <w:sz w:val="14"/>
                <w:szCs w:val="14"/>
                <w:color w:val="auto"/>
              </w:rPr>
            </w:pPr>
          </w:p>
        </w:tc>
        <w:tc>
          <w:tcPr>
            <w:tcW w:w="2020" w:type="dxa"/>
            <w:vAlign w:val="bottom"/>
            <w:gridSpan w:val="6"/>
          </w:tcPr>
          <w:p>
            <w:pPr>
              <w:spacing w:after="0" w:line="171" w:lineRule="exact"/>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w:t>
              </w:r>
            </w:hyperlink>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1.</w:t>
            </w:r>
          </w:p>
        </w:tc>
        <w:tc>
          <w:tcPr>
            <w:tcW w:w="620" w:type="dxa"/>
            <w:vAlign w:val="bottom"/>
            <w:tcBorders>
              <w:bottom w:val="single" w:sz="8" w:color="0000FF"/>
            </w:tcBorders>
          </w:tcPr>
          <w:p>
            <w:pPr>
              <w:spacing w:after="0"/>
              <w:rPr>
                <w:rFonts w:ascii="Arial" w:cs="Arial" w:eastAsia="Arial" w:hAnsi="Arial"/>
                <w:sz w:val="17"/>
                <w:szCs w:val="17"/>
                <w:color w:val="0000FF"/>
                <w:w w:val="86"/>
              </w:rPr>
            </w:pPr>
            <w:hyperlink w:anchor="page4">
              <w:r>
                <w:rPr>
                  <w:rFonts w:ascii="Arial" w:cs="Arial" w:eastAsia="Arial" w:hAnsi="Arial"/>
                  <w:sz w:val="17"/>
                  <w:szCs w:val="17"/>
                  <w:color w:val="0000FF"/>
                  <w:w w:val="86"/>
                </w:rPr>
                <w:t>Business</w:t>
              </w:r>
            </w:hyperlink>
          </w:p>
        </w:tc>
        <w:tc>
          <w:tcPr>
            <w:tcW w:w="7900" w:type="dxa"/>
            <w:vAlign w:val="bottom"/>
            <w:gridSpan w:val="22"/>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1</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1A.</w:t>
            </w:r>
          </w:p>
        </w:tc>
        <w:tc>
          <w:tcPr>
            <w:tcW w:w="880" w:type="dxa"/>
            <w:vAlign w:val="bottom"/>
            <w:tcBorders>
              <w:bottom w:val="single" w:sz="8" w:color="0000FF"/>
            </w:tcBorders>
            <w:gridSpan w:val="3"/>
          </w:tcPr>
          <w:p>
            <w:pPr>
              <w:spacing w:after="0"/>
              <w:rPr>
                <w:rFonts w:ascii="Arial" w:cs="Arial" w:eastAsia="Arial" w:hAnsi="Arial"/>
                <w:sz w:val="17"/>
                <w:szCs w:val="17"/>
                <w:color w:val="0000FF"/>
                <w:w w:val="90"/>
              </w:rPr>
            </w:pPr>
            <w:hyperlink w:anchor="page15">
              <w:r>
                <w:rPr>
                  <w:rFonts w:ascii="Arial" w:cs="Arial" w:eastAsia="Arial" w:hAnsi="Arial"/>
                  <w:sz w:val="17"/>
                  <w:szCs w:val="17"/>
                  <w:color w:val="0000FF"/>
                  <w:w w:val="90"/>
                </w:rPr>
                <w:t>Risk Factors</w:t>
              </w:r>
            </w:hyperlink>
          </w:p>
        </w:tc>
        <w:tc>
          <w:tcPr>
            <w:tcW w:w="7640" w:type="dxa"/>
            <w:vAlign w:val="bottom"/>
            <w:gridSpan w:val="20"/>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15">
              <w:r>
                <w:rPr>
                  <w:rFonts w:ascii="Arial" w:cs="Arial" w:eastAsia="Arial" w:hAnsi="Arial"/>
                  <w:sz w:val="17"/>
                  <w:szCs w:val="17"/>
                  <w:color w:val="0000FF"/>
                </w:rPr>
                <w:t>13</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1B.</w:t>
            </w:r>
          </w:p>
        </w:tc>
        <w:tc>
          <w:tcPr>
            <w:tcW w:w="8520" w:type="dxa"/>
            <w:vAlign w:val="bottom"/>
            <w:gridSpan w:val="23"/>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Unresolved Staff Comments</w:t>
              </w:r>
            </w:hyperlink>
          </w:p>
        </w:tc>
        <w:tc>
          <w:tcPr>
            <w:tcW w:w="640" w:type="dxa"/>
            <w:vAlign w:val="bottom"/>
            <w:gridSpan w:val="2"/>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30</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2.</w:t>
            </w:r>
          </w:p>
        </w:tc>
        <w:tc>
          <w:tcPr>
            <w:tcW w:w="1980" w:type="dxa"/>
            <w:vAlign w:val="bottom"/>
            <w:tcBorders>
              <w:top w:val="single" w:sz="8" w:color="0000FF"/>
            </w:tcBorders>
            <w:gridSpan w:val="10"/>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Properties</w:t>
              </w:r>
            </w:hyperlink>
          </w:p>
        </w:tc>
        <w:tc>
          <w:tcPr>
            <w:tcW w:w="6540" w:type="dxa"/>
            <w:vAlign w:val="bottom"/>
            <w:gridSpan w:val="13"/>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30</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3.</w:t>
            </w:r>
          </w:p>
        </w:tc>
        <w:tc>
          <w:tcPr>
            <w:tcW w:w="1300" w:type="dxa"/>
            <w:vAlign w:val="bottom"/>
            <w:tcBorders>
              <w:bottom w:val="single" w:sz="8" w:color="0000FF"/>
            </w:tcBorders>
            <w:gridSpan w:val="5"/>
          </w:tcPr>
          <w:p>
            <w:pPr>
              <w:spacing w:after="0"/>
              <w:rPr>
                <w:rFonts w:ascii="Arial" w:cs="Arial" w:eastAsia="Arial" w:hAnsi="Arial"/>
                <w:sz w:val="17"/>
                <w:szCs w:val="17"/>
                <w:color w:val="0000FF"/>
                <w:w w:val="90"/>
              </w:rPr>
            </w:pPr>
            <w:hyperlink w:anchor="page33">
              <w:r>
                <w:rPr>
                  <w:rFonts w:ascii="Arial" w:cs="Arial" w:eastAsia="Arial" w:hAnsi="Arial"/>
                  <w:sz w:val="17"/>
                  <w:szCs w:val="17"/>
                  <w:color w:val="0000FF"/>
                  <w:w w:val="90"/>
                </w:rPr>
                <w:t>Legal Proceedings</w:t>
              </w:r>
            </w:hyperlink>
          </w:p>
        </w:tc>
        <w:tc>
          <w:tcPr>
            <w:tcW w:w="7220" w:type="dxa"/>
            <w:vAlign w:val="bottom"/>
            <w:gridSpan w:val="18"/>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30</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4.</w:t>
            </w:r>
          </w:p>
        </w:tc>
        <w:tc>
          <w:tcPr>
            <w:tcW w:w="8520" w:type="dxa"/>
            <w:vAlign w:val="bottom"/>
            <w:gridSpan w:val="23"/>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Mine Safety Disclosures</w:t>
              </w:r>
            </w:hyperlink>
          </w:p>
        </w:tc>
        <w:tc>
          <w:tcPr>
            <w:tcW w:w="640" w:type="dxa"/>
            <w:vAlign w:val="bottom"/>
            <w:gridSpan w:val="2"/>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31</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680" w:type="dxa"/>
            <w:vAlign w:val="bottom"/>
            <w:tcBorders>
              <w:bottom w:val="single" w:sz="8" w:color="0000FF"/>
            </w:tcBorders>
            <w:gridSpan w:val="2"/>
          </w:tcPr>
          <w:p>
            <w:pPr>
              <w:spacing w:after="0"/>
              <w:rPr>
                <w:rFonts w:ascii="Arial" w:cs="Arial" w:eastAsia="Arial" w:hAnsi="Arial"/>
                <w:sz w:val="17"/>
                <w:szCs w:val="17"/>
                <w:b w:val="1"/>
                <w:bCs w:val="1"/>
                <w:color w:val="0000FF"/>
              </w:rPr>
            </w:pPr>
            <w:hyperlink w:anchor="page34">
              <w:r>
                <w:rPr>
                  <w:rFonts w:ascii="Arial" w:cs="Arial" w:eastAsia="Arial" w:hAnsi="Arial"/>
                  <w:sz w:val="17"/>
                  <w:szCs w:val="17"/>
                  <w:b w:val="1"/>
                  <w:bCs w:val="1"/>
                  <w:color w:val="0000FF"/>
                </w:rPr>
                <w:t>PART II.</w:t>
              </w:r>
            </w:hyperlink>
          </w:p>
        </w:tc>
        <w:tc>
          <w:tcPr>
            <w:tcW w:w="1340" w:type="dxa"/>
            <w:vAlign w:val="bottom"/>
            <w:gridSpan w:val="4"/>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5.</w:t>
            </w:r>
          </w:p>
        </w:tc>
        <w:tc>
          <w:tcPr>
            <w:tcW w:w="7840" w:type="dxa"/>
            <w:vAlign w:val="bottom"/>
            <w:tcBorders>
              <w:bottom w:val="single" w:sz="8" w:color="0000FF"/>
            </w:tcBorders>
            <w:gridSpan w:val="22"/>
          </w:tcPr>
          <w:p>
            <w:pPr>
              <w:spacing w:after="0"/>
              <w:rPr>
                <w:rFonts w:ascii="Arial" w:cs="Arial" w:eastAsia="Arial" w:hAnsi="Arial"/>
                <w:sz w:val="17"/>
                <w:szCs w:val="17"/>
                <w:color w:val="0000FF"/>
                <w:w w:val="93"/>
              </w:rPr>
            </w:pPr>
            <w:hyperlink w:anchor="page35">
              <w:r>
                <w:rPr>
                  <w:rFonts w:ascii="Arial" w:cs="Arial" w:eastAsia="Arial" w:hAnsi="Arial"/>
                  <w:sz w:val="17"/>
                  <w:szCs w:val="17"/>
                  <w:color w:val="0000FF"/>
                  <w:w w:val="93"/>
                </w:rPr>
                <w:t>Market for Registrant’s Common Equity, Related Stockholder Matters and Issuer Purchases of Equity Securities</w:t>
              </w:r>
            </w:hyperlink>
          </w:p>
        </w:tc>
        <w:tc>
          <w:tcPr>
            <w:tcW w:w="680" w:type="dxa"/>
            <w:vAlign w:val="bottom"/>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35">
              <w:r>
                <w:rPr>
                  <w:rFonts w:ascii="Arial" w:cs="Arial" w:eastAsia="Arial" w:hAnsi="Arial"/>
                  <w:sz w:val="17"/>
                  <w:szCs w:val="17"/>
                  <w:color w:val="0000FF"/>
                </w:rPr>
                <w:t>32</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6.</w:t>
            </w:r>
          </w:p>
        </w:tc>
        <w:tc>
          <w:tcPr>
            <w:tcW w:w="1660" w:type="dxa"/>
            <w:vAlign w:val="bottom"/>
            <w:tcBorders>
              <w:bottom w:val="single" w:sz="8" w:color="0000FF"/>
            </w:tcBorders>
            <w:gridSpan w:val="7"/>
          </w:tcPr>
          <w:p>
            <w:pPr>
              <w:spacing w:after="0"/>
              <w:rPr>
                <w:rFonts w:ascii="Arial" w:cs="Arial" w:eastAsia="Arial" w:hAnsi="Arial"/>
                <w:sz w:val="17"/>
                <w:szCs w:val="17"/>
                <w:color w:val="0000FF"/>
                <w:w w:val="91"/>
              </w:rPr>
            </w:pPr>
            <w:hyperlink w:anchor="page37">
              <w:r>
                <w:rPr>
                  <w:rFonts w:ascii="Arial" w:cs="Arial" w:eastAsia="Arial" w:hAnsi="Arial"/>
                  <w:sz w:val="17"/>
                  <w:szCs w:val="17"/>
                  <w:color w:val="0000FF"/>
                  <w:w w:val="91"/>
                </w:rPr>
                <w:t>Selected Financial Data</w:t>
              </w:r>
            </w:hyperlink>
          </w:p>
        </w:tc>
        <w:tc>
          <w:tcPr>
            <w:tcW w:w="6860" w:type="dxa"/>
            <w:vAlign w:val="bottom"/>
            <w:gridSpan w:val="16"/>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34</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7.</w:t>
            </w:r>
          </w:p>
        </w:tc>
        <w:tc>
          <w:tcPr>
            <w:tcW w:w="8520" w:type="dxa"/>
            <w:vAlign w:val="bottom"/>
            <w:gridSpan w:val="23"/>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Management’s Discussion and Analysis of Financial Condition and Results of Operations</w:t>
              </w:r>
            </w:hyperlink>
          </w:p>
        </w:tc>
        <w:tc>
          <w:tcPr>
            <w:tcW w:w="640" w:type="dxa"/>
            <w:vAlign w:val="bottom"/>
            <w:gridSpan w:val="2"/>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35</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7A.</w:t>
            </w:r>
          </w:p>
        </w:tc>
        <w:tc>
          <w:tcPr>
            <w:tcW w:w="6260" w:type="dxa"/>
            <w:vAlign w:val="bottom"/>
            <w:tcBorders>
              <w:top w:val="single" w:sz="8" w:color="0000FF"/>
            </w:tcBorders>
            <w:gridSpan w:val="20"/>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Quantitative and Qualitative Disclosures About Market Risk</w:t>
              </w:r>
            </w:hyperlink>
          </w:p>
        </w:tc>
        <w:tc>
          <w:tcPr>
            <w:tcW w:w="2260" w:type="dxa"/>
            <w:vAlign w:val="bottom"/>
            <w:gridSpan w:val="3"/>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59">
              <w:r>
                <w:rPr>
                  <w:rFonts w:ascii="Arial" w:cs="Arial" w:eastAsia="Arial" w:hAnsi="Arial"/>
                  <w:sz w:val="17"/>
                  <w:szCs w:val="17"/>
                  <w:color w:val="0000FF"/>
                </w:rPr>
                <w:t>57</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8.</w:t>
            </w:r>
          </w:p>
        </w:tc>
        <w:tc>
          <w:tcPr>
            <w:tcW w:w="4220" w:type="dxa"/>
            <w:vAlign w:val="bottom"/>
            <w:tcBorders>
              <w:top w:val="single" w:sz="8" w:color="0000FF"/>
            </w:tcBorders>
            <w:gridSpan w:val="16"/>
          </w:tcPr>
          <w:p>
            <w:pPr>
              <w:spacing w:after="0"/>
              <w:rPr>
                <w:rFonts w:ascii="Arial" w:cs="Arial" w:eastAsia="Arial" w:hAnsi="Arial"/>
                <w:sz w:val="17"/>
                <w:szCs w:val="17"/>
                <w:color w:val="0000FF"/>
              </w:rPr>
            </w:pPr>
            <w:hyperlink w:anchor="page61">
              <w:r>
                <w:rPr>
                  <w:rFonts w:ascii="Arial" w:cs="Arial" w:eastAsia="Arial" w:hAnsi="Arial"/>
                  <w:sz w:val="17"/>
                  <w:szCs w:val="17"/>
                  <w:color w:val="0000FF"/>
                </w:rPr>
                <w:t>Financial Statements and Supplementary Data</w:t>
              </w:r>
            </w:hyperlink>
          </w:p>
        </w:tc>
        <w:tc>
          <w:tcPr>
            <w:tcW w:w="4300" w:type="dxa"/>
            <w:vAlign w:val="bottom"/>
            <w:gridSpan w:val="7"/>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61">
              <w:r>
                <w:rPr>
                  <w:rFonts w:ascii="Arial" w:cs="Arial" w:eastAsia="Arial" w:hAnsi="Arial"/>
                  <w:sz w:val="17"/>
                  <w:szCs w:val="17"/>
                  <w:color w:val="0000FF"/>
                </w:rPr>
                <w:t>59</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9.</w:t>
            </w:r>
          </w:p>
        </w:tc>
        <w:tc>
          <w:tcPr>
            <w:tcW w:w="6220" w:type="dxa"/>
            <w:vAlign w:val="bottom"/>
            <w:tcBorders>
              <w:bottom w:val="single" w:sz="8" w:color="0000FF"/>
            </w:tcBorders>
            <w:gridSpan w:val="19"/>
          </w:tcPr>
          <w:p>
            <w:pPr>
              <w:spacing w:after="0"/>
              <w:rPr>
                <w:rFonts w:ascii="Arial" w:cs="Arial" w:eastAsia="Arial" w:hAnsi="Arial"/>
                <w:sz w:val="17"/>
                <w:szCs w:val="17"/>
                <w:color w:val="0000FF"/>
                <w:w w:val="93"/>
              </w:rPr>
            </w:pPr>
            <w:hyperlink w:anchor="page62">
              <w:r>
                <w:rPr>
                  <w:rFonts w:ascii="Arial" w:cs="Arial" w:eastAsia="Arial" w:hAnsi="Arial"/>
                  <w:sz w:val="17"/>
                  <w:szCs w:val="17"/>
                  <w:color w:val="0000FF"/>
                  <w:w w:val="93"/>
                </w:rPr>
                <w:t>Changes in and Disagreement with Accountants on Accounting and Financial Disclosure</w:t>
              </w:r>
            </w:hyperlink>
          </w:p>
        </w:tc>
        <w:tc>
          <w:tcPr>
            <w:tcW w:w="2300" w:type="dxa"/>
            <w:vAlign w:val="bottom"/>
            <w:gridSpan w:val="4"/>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62">
              <w:r>
                <w:rPr>
                  <w:rFonts w:ascii="Arial" w:cs="Arial" w:eastAsia="Arial" w:hAnsi="Arial"/>
                  <w:sz w:val="17"/>
                  <w:szCs w:val="17"/>
                  <w:color w:val="0000FF"/>
                </w:rPr>
                <w:t>59</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9A.</w:t>
            </w:r>
          </w:p>
        </w:tc>
        <w:tc>
          <w:tcPr>
            <w:tcW w:w="1720" w:type="dxa"/>
            <w:vAlign w:val="bottom"/>
            <w:tcBorders>
              <w:bottom w:val="single" w:sz="8" w:color="0000FF"/>
            </w:tcBorders>
            <w:gridSpan w:val="8"/>
          </w:tcPr>
          <w:p>
            <w:pPr>
              <w:spacing w:after="0"/>
              <w:rPr>
                <w:rFonts w:ascii="Arial" w:cs="Arial" w:eastAsia="Arial" w:hAnsi="Arial"/>
                <w:sz w:val="17"/>
                <w:szCs w:val="17"/>
                <w:color w:val="0000FF"/>
                <w:w w:val="90"/>
              </w:rPr>
            </w:pPr>
            <w:hyperlink w:anchor="page62">
              <w:r>
                <w:rPr>
                  <w:rFonts w:ascii="Arial" w:cs="Arial" w:eastAsia="Arial" w:hAnsi="Arial"/>
                  <w:sz w:val="17"/>
                  <w:szCs w:val="17"/>
                  <w:color w:val="0000FF"/>
                  <w:w w:val="90"/>
                </w:rPr>
                <w:t>Controls and Procedures</w:t>
              </w:r>
            </w:hyperlink>
          </w:p>
        </w:tc>
        <w:tc>
          <w:tcPr>
            <w:tcW w:w="6800" w:type="dxa"/>
            <w:vAlign w:val="bottom"/>
            <w:gridSpan w:val="15"/>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62">
              <w:r>
                <w:rPr>
                  <w:rFonts w:ascii="Arial" w:cs="Arial" w:eastAsia="Arial" w:hAnsi="Arial"/>
                  <w:sz w:val="17"/>
                  <w:szCs w:val="17"/>
                  <w:color w:val="0000FF"/>
                </w:rPr>
                <w:t>59</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9B.</w:t>
            </w:r>
          </w:p>
        </w:tc>
        <w:tc>
          <w:tcPr>
            <w:tcW w:w="1280" w:type="dxa"/>
            <w:vAlign w:val="bottom"/>
            <w:tcBorders>
              <w:bottom w:val="single" w:sz="8" w:color="0000FF"/>
            </w:tcBorders>
            <w:gridSpan w:val="4"/>
          </w:tcPr>
          <w:p>
            <w:pPr>
              <w:spacing w:after="0"/>
              <w:rPr>
                <w:rFonts w:ascii="Arial" w:cs="Arial" w:eastAsia="Arial" w:hAnsi="Arial"/>
                <w:sz w:val="17"/>
                <w:szCs w:val="17"/>
                <w:color w:val="0000FF"/>
                <w:w w:val="95"/>
              </w:rPr>
            </w:pPr>
            <w:hyperlink w:anchor="page63">
              <w:r>
                <w:rPr>
                  <w:rFonts w:ascii="Arial" w:cs="Arial" w:eastAsia="Arial" w:hAnsi="Arial"/>
                  <w:sz w:val="17"/>
                  <w:szCs w:val="17"/>
                  <w:color w:val="0000FF"/>
                  <w:w w:val="95"/>
                </w:rPr>
                <w:t>Other Information</w:t>
              </w:r>
            </w:hyperlink>
          </w:p>
        </w:tc>
        <w:tc>
          <w:tcPr>
            <w:tcW w:w="7240" w:type="dxa"/>
            <w:vAlign w:val="bottom"/>
            <w:gridSpan w:val="19"/>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63">
              <w:r>
                <w:rPr>
                  <w:rFonts w:ascii="Arial" w:cs="Arial" w:eastAsia="Arial" w:hAnsi="Arial"/>
                  <w:sz w:val="17"/>
                  <w:szCs w:val="17"/>
                  <w:color w:val="0000FF"/>
                </w:rPr>
                <w:t>60</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9C.</w:t>
            </w:r>
          </w:p>
        </w:tc>
        <w:tc>
          <w:tcPr>
            <w:tcW w:w="8520" w:type="dxa"/>
            <w:vAlign w:val="bottom"/>
            <w:gridSpan w:val="23"/>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Disclosure Regarding Foreign Jurisdictions that Prevent Inspections</w:t>
              </w:r>
            </w:hyperlink>
          </w:p>
        </w:tc>
        <w:tc>
          <w:tcPr>
            <w:tcW w:w="640" w:type="dxa"/>
            <w:vAlign w:val="bottom"/>
            <w:gridSpan w:val="2"/>
          </w:tcPr>
          <w:p>
            <w:pPr>
              <w:jc w:val="right"/>
              <w:spacing w:after="0"/>
              <w:rPr>
                <w:rFonts w:ascii="Arial" w:cs="Arial" w:eastAsia="Arial" w:hAnsi="Arial"/>
                <w:sz w:val="17"/>
                <w:szCs w:val="17"/>
                <w:color w:val="0000FF"/>
              </w:rPr>
            </w:pPr>
            <w:hyperlink w:anchor="page63">
              <w:r>
                <w:rPr>
                  <w:rFonts w:ascii="Arial" w:cs="Arial" w:eastAsia="Arial" w:hAnsi="Arial"/>
                  <w:sz w:val="17"/>
                  <w:szCs w:val="17"/>
                  <w:color w:val="0000FF"/>
                </w:rPr>
                <w:t>60</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spacing w:after="0"/>
              <w:rPr>
                <w:rFonts w:ascii="Arial" w:cs="Arial" w:eastAsia="Arial" w:hAnsi="Arial"/>
                <w:sz w:val="17"/>
                <w:szCs w:val="17"/>
                <w:b w:val="1"/>
                <w:bCs w:val="1"/>
                <w:color w:val="0000FF"/>
              </w:rPr>
            </w:pPr>
            <w:hyperlink w:anchor="page63">
              <w:r>
                <w:rPr>
                  <w:rFonts w:ascii="Arial" w:cs="Arial" w:eastAsia="Arial" w:hAnsi="Arial"/>
                  <w:sz w:val="17"/>
                  <w:szCs w:val="17"/>
                  <w:b w:val="1"/>
                  <w:bCs w:val="1"/>
                  <w:color w:val="0000FF"/>
                </w:rPr>
                <w:t>PART III.</w:t>
              </w:r>
            </w:hyperlink>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10.</w:t>
            </w:r>
          </w:p>
        </w:tc>
        <w:tc>
          <w:tcPr>
            <w:tcW w:w="3980" w:type="dxa"/>
            <w:vAlign w:val="bottom"/>
            <w:tcBorders>
              <w:bottom w:val="single" w:sz="8" w:color="0000FF"/>
            </w:tcBorders>
            <w:gridSpan w:val="15"/>
          </w:tcPr>
          <w:p>
            <w:pPr>
              <w:spacing w:after="0"/>
              <w:rPr>
                <w:rFonts w:ascii="Arial" w:cs="Arial" w:eastAsia="Arial" w:hAnsi="Arial"/>
                <w:sz w:val="17"/>
                <w:szCs w:val="17"/>
                <w:color w:val="0000FF"/>
                <w:w w:val="93"/>
              </w:rPr>
            </w:pPr>
            <w:hyperlink w:anchor="page63">
              <w:r>
                <w:rPr>
                  <w:rFonts w:ascii="Arial" w:cs="Arial" w:eastAsia="Arial" w:hAnsi="Arial"/>
                  <w:sz w:val="17"/>
                  <w:szCs w:val="17"/>
                  <w:color w:val="0000FF"/>
                  <w:w w:val="93"/>
                </w:rPr>
                <w:t>Directors, Executive Officers and Corporate Governance</w:t>
              </w:r>
            </w:hyperlink>
          </w:p>
        </w:tc>
        <w:tc>
          <w:tcPr>
            <w:tcW w:w="4540" w:type="dxa"/>
            <w:vAlign w:val="bottom"/>
            <w:gridSpan w:val="8"/>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63">
              <w:r>
                <w:rPr>
                  <w:rFonts w:ascii="Arial" w:cs="Arial" w:eastAsia="Arial" w:hAnsi="Arial"/>
                  <w:sz w:val="17"/>
                  <w:szCs w:val="17"/>
                  <w:color w:val="0000FF"/>
                </w:rPr>
                <w:t>60</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11.</w:t>
            </w:r>
          </w:p>
        </w:tc>
        <w:tc>
          <w:tcPr>
            <w:tcW w:w="8520" w:type="dxa"/>
            <w:vAlign w:val="bottom"/>
            <w:gridSpan w:val="23"/>
          </w:tcPr>
          <w:p>
            <w:pPr>
              <w:spacing w:after="0"/>
              <w:rPr>
                <w:rFonts w:ascii="Arial" w:cs="Arial" w:eastAsia="Arial" w:hAnsi="Arial"/>
                <w:sz w:val="17"/>
                <w:szCs w:val="17"/>
                <w:color w:val="0000FF"/>
              </w:rPr>
            </w:pPr>
            <w:hyperlink w:anchor="page63">
              <w:r>
                <w:rPr>
                  <w:rFonts w:ascii="Arial" w:cs="Arial" w:eastAsia="Arial" w:hAnsi="Arial"/>
                  <w:sz w:val="17"/>
                  <w:szCs w:val="17"/>
                  <w:color w:val="0000FF"/>
                </w:rPr>
                <w:t>Executive Compensation</w:t>
              </w:r>
            </w:hyperlink>
          </w:p>
        </w:tc>
        <w:tc>
          <w:tcPr>
            <w:tcW w:w="640" w:type="dxa"/>
            <w:vAlign w:val="bottom"/>
            <w:gridSpan w:val="2"/>
          </w:tcPr>
          <w:p>
            <w:pPr>
              <w:jc w:val="right"/>
              <w:spacing w:after="0"/>
              <w:rPr>
                <w:rFonts w:ascii="Arial" w:cs="Arial" w:eastAsia="Arial" w:hAnsi="Arial"/>
                <w:sz w:val="17"/>
                <w:szCs w:val="17"/>
                <w:color w:val="0000FF"/>
              </w:rPr>
            </w:pPr>
            <w:hyperlink w:anchor="page63">
              <w:r>
                <w:rPr>
                  <w:rFonts w:ascii="Arial" w:cs="Arial" w:eastAsia="Arial" w:hAnsi="Arial"/>
                  <w:sz w:val="17"/>
                  <w:szCs w:val="17"/>
                  <w:color w:val="0000FF"/>
                </w:rPr>
                <w:t>60</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12.</w:t>
            </w:r>
          </w:p>
        </w:tc>
        <w:tc>
          <w:tcPr>
            <w:tcW w:w="7080" w:type="dxa"/>
            <w:vAlign w:val="bottom"/>
            <w:tcBorders>
              <w:bottom w:val="single" w:sz="8" w:color="0000FF"/>
            </w:tcBorders>
            <w:gridSpan w:val="21"/>
          </w:tcPr>
          <w:p>
            <w:pPr>
              <w:spacing w:after="0"/>
              <w:rPr>
                <w:rFonts w:ascii="Arial" w:cs="Arial" w:eastAsia="Arial" w:hAnsi="Arial"/>
                <w:sz w:val="17"/>
                <w:szCs w:val="17"/>
                <w:color w:val="0000FF"/>
                <w:w w:val="93"/>
              </w:rPr>
            </w:pPr>
            <w:hyperlink w:anchor="page64">
              <w:r>
                <w:rPr>
                  <w:rFonts w:ascii="Arial" w:cs="Arial" w:eastAsia="Arial" w:hAnsi="Arial"/>
                  <w:sz w:val="17"/>
                  <w:szCs w:val="17"/>
                  <w:color w:val="0000FF"/>
                  <w:w w:val="93"/>
                </w:rPr>
                <w:t>Security Ownership of Certain Beneficial Owners and Management and Related Stockholder Matters</w:t>
              </w:r>
            </w:hyperlink>
          </w:p>
        </w:tc>
        <w:tc>
          <w:tcPr>
            <w:tcW w:w="1440" w:type="dxa"/>
            <w:vAlign w:val="bottom"/>
            <w:gridSpan w:val="2"/>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64">
              <w:r>
                <w:rPr>
                  <w:rFonts w:ascii="Arial" w:cs="Arial" w:eastAsia="Arial" w:hAnsi="Arial"/>
                  <w:sz w:val="17"/>
                  <w:szCs w:val="17"/>
                  <w:color w:val="0000FF"/>
                </w:rPr>
                <w:t>61</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13.</w:t>
            </w:r>
          </w:p>
        </w:tc>
        <w:tc>
          <w:tcPr>
            <w:tcW w:w="8520" w:type="dxa"/>
            <w:vAlign w:val="bottom"/>
            <w:gridSpan w:val="23"/>
          </w:tcPr>
          <w:p>
            <w:pPr>
              <w:spacing w:after="0"/>
              <w:rPr>
                <w:rFonts w:ascii="Arial" w:cs="Arial" w:eastAsia="Arial" w:hAnsi="Arial"/>
                <w:sz w:val="17"/>
                <w:szCs w:val="17"/>
                <w:color w:val="0000FF"/>
              </w:rPr>
            </w:pPr>
            <w:hyperlink w:anchor="page64">
              <w:r>
                <w:rPr>
                  <w:rFonts w:ascii="Arial" w:cs="Arial" w:eastAsia="Arial" w:hAnsi="Arial"/>
                  <w:sz w:val="17"/>
                  <w:szCs w:val="17"/>
                  <w:color w:val="0000FF"/>
                </w:rPr>
                <w:t>Certain Relationships and Related Transactions, and Director Independence</w:t>
              </w:r>
            </w:hyperlink>
          </w:p>
        </w:tc>
        <w:tc>
          <w:tcPr>
            <w:tcW w:w="640" w:type="dxa"/>
            <w:vAlign w:val="bottom"/>
            <w:gridSpan w:val="2"/>
          </w:tcPr>
          <w:p>
            <w:pPr>
              <w:jc w:val="right"/>
              <w:spacing w:after="0"/>
              <w:rPr>
                <w:rFonts w:ascii="Arial" w:cs="Arial" w:eastAsia="Arial" w:hAnsi="Arial"/>
                <w:sz w:val="17"/>
                <w:szCs w:val="17"/>
                <w:color w:val="0000FF"/>
              </w:rPr>
            </w:pPr>
            <w:hyperlink w:anchor="page64">
              <w:r>
                <w:rPr>
                  <w:rFonts w:ascii="Arial" w:cs="Arial" w:eastAsia="Arial" w:hAnsi="Arial"/>
                  <w:sz w:val="17"/>
                  <w:szCs w:val="17"/>
                  <w:color w:val="0000FF"/>
                </w:rPr>
                <w:t>61</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14.</w:t>
            </w:r>
          </w:p>
        </w:tc>
        <w:tc>
          <w:tcPr>
            <w:tcW w:w="5280" w:type="dxa"/>
            <w:vAlign w:val="bottom"/>
            <w:tcBorders>
              <w:top w:val="single" w:sz="8" w:color="0000FF"/>
            </w:tcBorders>
            <w:gridSpan w:val="18"/>
          </w:tcPr>
          <w:p>
            <w:pPr>
              <w:spacing w:after="0"/>
              <w:rPr>
                <w:rFonts w:ascii="Arial" w:cs="Arial" w:eastAsia="Arial" w:hAnsi="Arial"/>
                <w:sz w:val="17"/>
                <w:szCs w:val="17"/>
                <w:color w:val="0000FF"/>
              </w:rPr>
            </w:pPr>
            <w:hyperlink w:anchor="page64">
              <w:r>
                <w:rPr>
                  <w:rFonts w:ascii="Arial" w:cs="Arial" w:eastAsia="Arial" w:hAnsi="Arial"/>
                  <w:sz w:val="17"/>
                  <w:szCs w:val="17"/>
                  <w:color w:val="0000FF"/>
                </w:rPr>
                <w:t>Principal Accountant Fees and Services</w:t>
              </w:r>
            </w:hyperlink>
          </w:p>
        </w:tc>
        <w:tc>
          <w:tcPr>
            <w:tcW w:w="3240" w:type="dxa"/>
            <w:vAlign w:val="bottom"/>
            <w:gridSpan w:val="5"/>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64">
              <w:r>
                <w:rPr>
                  <w:rFonts w:ascii="Arial" w:cs="Arial" w:eastAsia="Arial" w:hAnsi="Arial"/>
                  <w:sz w:val="17"/>
                  <w:szCs w:val="17"/>
                  <w:color w:val="0000FF"/>
                </w:rPr>
                <w:t>61</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spacing w:after="0"/>
              <w:rPr>
                <w:rFonts w:ascii="Arial" w:cs="Arial" w:eastAsia="Arial" w:hAnsi="Arial"/>
                <w:sz w:val="17"/>
                <w:szCs w:val="17"/>
                <w:b w:val="1"/>
                <w:bCs w:val="1"/>
                <w:color w:val="0000FF"/>
              </w:rPr>
            </w:pPr>
            <w:hyperlink w:anchor="page64">
              <w:r>
                <w:rPr>
                  <w:rFonts w:ascii="Arial" w:cs="Arial" w:eastAsia="Arial" w:hAnsi="Arial"/>
                  <w:sz w:val="17"/>
                  <w:szCs w:val="17"/>
                  <w:b w:val="1"/>
                  <w:bCs w:val="1"/>
                  <w:color w:val="0000FF"/>
                </w:rPr>
                <w:t>PART IV.</w:t>
              </w:r>
            </w:hyperlink>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6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15.</w:t>
            </w:r>
          </w:p>
        </w:tc>
        <w:tc>
          <w:tcPr>
            <w:tcW w:w="8520" w:type="dxa"/>
            <w:vAlign w:val="bottom"/>
            <w:gridSpan w:val="23"/>
          </w:tcPr>
          <w:p>
            <w:pPr>
              <w:spacing w:after="0"/>
              <w:rPr>
                <w:rFonts w:ascii="Arial" w:cs="Arial" w:eastAsia="Arial" w:hAnsi="Arial"/>
                <w:sz w:val="17"/>
                <w:szCs w:val="17"/>
                <w:color w:val="0000FF"/>
              </w:rPr>
            </w:pPr>
            <w:hyperlink w:anchor="page65">
              <w:r>
                <w:rPr>
                  <w:rFonts w:ascii="Arial" w:cs="Arial" w:eastAsia="Arial" w:hAnsi="Arial"/>
                  <w:sz w:val="17"/>
                  <w:szCs w:val="17"/>
                  <w:color w:val="0000FF"/>
                </w:rPr>
                <w:t>Exhibits and Financial Statement Schedules</w:t>
              </w:r>
            </w:hyperlink>
          </w:p>
        </w:tc>
        <w:tc>
          <w:tcPr>
            <w:tcW w:w="640" w:type="dxa"/>
            <w:vAlign w:val="bottom"/>
            <w:gridSpan w:val="2"/>
          </w:tcPr>
          <w:p>
            <w:pPr>
              <w:jc w:val="right"/>
              <w:spacing w:after="0"/>
              <w:rPr>
                <w:rFonts w:ascii="Arial" w:cs="Arial" w:eastAsia="Arial" w:hAnsi="Arial"/>
                <w:sz w:val="17"/>
                <w:szCs w:val="17"/>
                <w:color w:val="0000FF"/>
              </w:rPr>
            </w:pPr>
            <w:hyperlink w:anchor="page65">
              <w:r>
                <w:rPr>
                  <w:rFonts w:ascii="Arial" w:cs="Arial" w:eastAsia="Arial" w:hAnsi="Arial"/>
                  <w:sz w:val="17"/>
                  <w:szCs w:val="17"/>
                  <w:color w:val="0000FF"/>
                </w:rPr>
                <w:t>62</w:t>
              </w:r>
            </w:hyperlink>
          </w:p>
        </w:tc>
        <w:tc>
          <w:tcPr>
            <w:tcW w:w="2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2020" w:type="dxa"/>
            <w:vAlign w:val="bottom"/>
            <w:gridSpan w:val="6"/>
          </w:tcPr>
          <w:p>
            <w:pPr>
              <w:ind w:left="420"/>
              <w:spacing w:after="0"/>
              <w:rPr>
                <w:sz w:val="20"/>
                <w:szCs w:val="20"/>
                <w:color w:val="auto"/>
              </w:rPr>
            </w:pPr>
            <w:r>
              <w:rPr>
                <w:rFonts w:ascii="Arial" w:cs="Arial" w:eastAsia="Arial" w:hAnsi="Arial"/>
                <w:sz w:val="17"/>
                <w:szCs w:val="17"/>
                <w:color w:val="auto"/>
              </w:rPr>
              <w:t>ITEM 16.</w:t>
            </w:r>
          </w:p>
        </w:tc>
        <w:tc>
          <w:tcPr>
            <w:tcW w:w="3060" w:type="dxa"/>
            <w:vAlign w:val="bottom"/>
            <w:tcBorders>
              <w:top w:val="single" w:sz="8" w:color="0000FF"/>
            </w:tcBorders>
            <w:gridSpan w:val="13"/>
          </w:tcPr>
          <w:p>
            <w:pPr>
              <w:spacing w:after="0"/>
              <w:rPr>
                <w:rFonts w:ascii="Arial" w:cs="Arial" w:eastAsia="Arial" w:hAnsi="Arial"/>
                <w:sz w:val="17"/>
                <w:szCs w:val="17"/>
                <w:color w:val="0000FF"/>
              </w:rPr>
            </w:pPr>
            <w:hyperlink w:anchor="page65">
              <w:r>
                <w:rPr>
                  <w:rFonts w:ascii="Arial" w:cs="Arial" w:eastAsia="Arial" w:hAnsi="Arial"/>
                  <w:sz w:val="17"/>
                  <w:szCs w:val="17"/>
                  <w:color w:val="0000FF"/>
                </w:rPr>
                <w:t>Form 10-K Summary</w:t>
              </w:r>
            </w:hyperlink>
          </w:p>
        </w:tc>
        <w:tc>
          <w:tcPr>
            <w:tcW w:w="5460" w:type="dxa"/>
            <w:vAlign w:val="bottom"/>
            <w:gridSpan w:val="10"/>
          </w:tcPr>
          <w:p>
            <w:pPr>
              <w:spacing w:after="0"/>
              <w:rPr>
                <w:sz w:val="17"/>
                <w:szCs w:val="17"/>
                <w:color w:val="auto"/>
              </w:rPr>
            </w:pPr>
          </w:p>
        </w:tc>
        <w:tc>
          <w:tcPr>
            <w:tcW w:w="640" w:type="dxa"/>
            <w:vAlign w:val="bottom"/>
            <w:gridSpan w:val="2"/>
          </w:tcPr>
          <w:p>
            <w:pPr>
              <w:jc w:val="right"/>
              <w:spacing w:after="0"/>
              <w:rPr>
                <w:rFonts w:ascii="Arial" w:cs="Arial" w:eastAsia="Arial" w:hAnsi="Arial"/>
                <w:sz w:val="17"/>
                <w:szCs w:val="17"/>
                <w:color w:val="0000FF"/>
              </w:rPr>
            </w:pPr>
            <w:hyperlink w:anchor="page65">
              <w:r>
                <w:rPr>
                  <w:rFonts w:ascii="Arial" w:cs="Arial" w:eastAsia="Arial" w:hAnsi="Arial"/>
                  <w:sz w:val="17"/>
                  <w:szCs w:val="17"/>
                  <w:color w:val="0000FF"/>
                </w:rPr>
                <w:t>62</w:t>
              </w:r>
            </w:hyperlink>
          </w:p>
        </w:tc>
        <w:tc>
          <w:tcPr>
            <w:tcW w:w="20" w:type="dxa"/>
            <w:vAlign w:val="bottom"/>
          </w:tcPr>
          <w:p>
            <w:pPr>
              <w:spacing w:after="0"/>
              <w:rPr>
                <w:sz w:val="17"/>
                <w:szCs w:val="17"/>
                <w:color w:val="auto"/>
              </w:rPr>
            </w:pPr>
          </w:p>
        </w:tc>
      </w:tr>
      <w:tr>
        <w:trPr>
          <w:trHeight w:val="255"/>
        </w:trPr>
        <w:tc>
          <w:tcPr>
            <w:tcW w:w="40" w:type="dxa"/>
            <w:vAlign w:val="bottom"/>
          </w:tcPr>
          <w:p>
            <w:pPr>
              <w:spacing w:after="0"/>
              <w:rPr>
                <w:sz w:val="22"/>
                <w:szCs w:val="22"/>
                <w:color w:val="auto"/>
              </w:rPr>
            </w:pPr>
          </w:p>
        </w:tc>
        <w:tc>
          <w:tcPr>
            <w:tcW w:w="2020" w:type="dxa"/>
            <w:vAlign w:val="bottom"/>
            <w:gridSpan w:val="6"/>
          </w:tcPr>
          <w:p>
            <w:pPr>
              <w:spacing w:after="0"/>
              <w:rPr>
                <w:rFonts w:ascii="Arial" w:cs="Arial" w:eastAsia="Arial" w:hAnsi="Arial"/>
                <w:sz w:val="17"/>
                <w:szCs w:val="17"/>
                <w:color w:val="0000FF"/>
              </w:rPr>
            </w:pPr>
            <w:hyperlink w:anchor="page65">
              <w:r>
                <w:rPr>
                  <w:rFonts w:ascii="Arial" w:cs="Arial" w:eastAsia="Arial" w:hAnsi="Arial"/>
                  <w:sz w:val="17"/>
                  <w:szCs w:val="17"/>
                  <w:color w:val="0000FF"/>
                </w:rPr>
                <w:t>SIGNATURES</w:t>
              </w:r>
            </w:hyperlink>
          </w:p>
        </w:tc>
        <w:tc>
          <w:tcPr>
            <w:tcW w:w="6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gridSpan w:val="2"/>
          </w:tcPr>
          <w:p>
            <w:pPr>
              <w:jc w:val="right"/>
              <w:spacing w:after="0"/>
              <w:rPr>
                <w:rFonts w:ascii="Arial" w:cs="Arial" w:eastAsia="Arial" w:hAnsi="Arial"/>
                <w:sz w:val="17"/>
                <w:szCs w:val="17"/>
                <w:color w:val="0000FF"/>
              </w:rPr>
            </w:pPr>
            <w:hyperlink w:anchor="page65">
              <w:r>
                <w:rPr>
                  <w:rFonts w:ascii="Arial" w:cs="Arial" w:eastAsia="Arial" w:hAnsi="Arial"/>
                  <w:sz w:val="17"/>
                  <w:szCs w:val="17"/>
                  <w:color w:val="0000FF"/>
                </w:rPr>
                <w:t>63</w:t>
              </w:r>
            </w:hyperlink>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40" w:type="dxa"/>
            <w:vAlign w:val="bottom"/>
          </w:tcPr>
          <w:p>
            <w:pPr>
              <w:spacing w:after="0"/>
              <w:rPr>
                <w:sz w:val="22"/>
                <w:szCs w:val="22"/>
                <w:color w:val="auto"/>
              </w:rPr>
            </w:pPr>
          </w:p>
        </w:tc>
        <w:tc>
          <w:tcPr>
            <w:tcW w:w="2020" w:type="dxa"/>
            <w:vAlign w:val="bottom"/>
            <w:gridSpan w:val="6"/>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EXHIBIT INDEX</w:t>
              </w:r>
            </w:hyperlink>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gridSpan w:val="2"/>
          </w:tcPr>
          <w:p>
            <w:pPr>
              <w:jc w:val="right"/>
              <w:spacing w:after="0"/>
              <w:rPr>
                <w:rFonts w:ascii="Arial" w:cs="Arial" w:eastAsia="Arial" w:hAnsi="Arial"/>
                <w:sz w:val="17"/>
                <w:szCs w:val="17"/>
                <w:color w:val="0000FF"/>
              </w:rPr>
            </w:pPr>
            <w:hyperlink w:anchor="page66">
              <w:r>
                <w:rPr>
                  <w:rFonts w:ascii="Arial" w:cs="Arial" w:eastAsia="Arial" w:hAnsi="Arial"/>
                  <w:sz w:val="17"/>
                  <w:szCs w:val="17"/>
                  <w:color w:val="0000FF"/>
                </w:rPr>
                <w:t>64</w:t>
              </w:r>
            </w:hyperlink>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622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40" w:type="dxa"/>
            <w:vAlign w:val="bottom"/>
          </w:tcPr>
          <w:p>
            <w:pPr>
              <w:spacing w:after="0"/>
              <w:rPr>
                <w:sz w:val="22"/>
                <w:szCs w:val="22"/>
                <w:color w:val="auto"/>
              </w:rPr>
            </w:pPr>
          </w:p>
        </w:tc>
        <w:tc>
          <w:tcPr>
            <w:tcW w:w="10540" w:type="dxa"/>
            <w:vAlign w:val="bottom"/>
            <w:gridSpan w:val="29"/>
          </w:tcPr>
          <w:p>
            <w:pPr>
              <w:spacing w:after="0"/>
              <w:rPr>
                <w:rFonts w:ascii="Arial" w:cs="Arial" w:eastAsia="Arial" w:hAnsi="Arial"/>
                <w:sz w:val="17"/>
                <w:szCs w:val="17"/>
                <w:color w:val="0000FF"/>
              </w:rPr>
            </w:pPr>
            <w:hyperlink w:anchor="page69">
              <w:r>
                <w:rPr>
                  <w:rFonts w:ascii="Arial" w:cs="Arial" w:eastAsia="Arial" w:hAnsi="Arial"/>
                  <w:sz w:val="17"/>
                  <w:szCs w:val="17"/>
                  <w:color w:val="0000FF"/>
                </w:rPr>
                <w:t>INDEX TO CONSOLIDATED FINANCIAL STATEMENTS</w:t>
              </w:r>
            </w:hyperlink>
          </w:p>
        </w:tc>
        <w:tc>
          <w:tcPr>
            <w:tcW w:w="380" w:type="dxa"/>
            <w:vAlign w:val="bottom"/>
          </w:tcPr>
          <w:p>
            <w:pPr>
              <w:spacing w:after="0"/>
              <w:rPr>
                <w:sz w:val="22"/>
                <w:szCs w:val="22"/>
                <w:color w:val="auto"/>
              </w:rPr>
            </w:pPr>
          </w:p>
        </w:tc>
        <w:tc>
          <w:tcPr>
            <w:tcW w:w="280" w:type="dxa"/>
            <w:vAlign w:val="bottom"/>
            <w:gridSpan w:val="2"/>
          </w:tcPr>
          <w:p>
            <w:pPr>
              <w:ind w:left="20"/>
              <w:spacing w:after="0"/>
              <w:rPr>
                <w:rFonts w:ascii="Arial" w:cs="Arial" w:eastAsia="Arial" w:hAnsi="Arial"/>
                <w:sz w:val="17"/>
                <w:szCs w:val="17"/>
                <w:color w:val="661DE8"/>
                <w:w w:val="93"/>
              </w:rPr>
            </w:pPr>
            <w:r>
              <w:rPr>
                <w:rFonts w:ascii="Arial" w:cs="Arial" w:eastAsia="Arial" w:hAnsi="Arial"/>
                <w:sz w:val="17"/>
                <w:szCs w:val="17"/>
                <w:color w:val="661DE8"/>
                <w:w w:val="93"/>
              </w:rPr>
              <w:t>F-</w:t>
            </w:r>
            <w:hyperlink w:anchor="page69">
              <w:r>
                <w:rPr>
                  <w:rFonts w:ascii="Arial" w:cs="Arial" w:eastAsia="Arial" w:hAnsi="Arial"/>
                  <w:sz w:val="17"/>
                  <w:szCs w:val="17"/>
                  <w:color w:val="661DE8"/>
                  <w:w w:val="93"/>
                </w:rPr>
                <w:t>1</w:t>
              </w:r>
            </w:hyperlink>
          </w:p>
        </w:tc>
      </w:tr>
      <w:tr>
        <w:trPr>
          <w:trHeight w:val="917"/>
        </w:trPr>
        <w:tc>
          <w:tcPr>
            <w:tcW w:w="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top w:val="single" w:sz="8" w:color="661DE8"/>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78"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ExlService Holdings, Inc. (“EXL,” “we,” “us,” “our” or the “Company”), incorporated in Delaware in 2002, is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37,400 strong, with more than 50 offices spanning six continents.</w:t>
      </w:r>
    </w:p>
    <w:p>
      <w:pPr>
        <w:spacing w:after="0" w:line="115"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7"/>
          <w:szCs w:val="17"/>
          <w:color w:val="auto"/>
        </w:rPr>
        <w:t>We deliver data analytics and digital operations and solutions to our clients, driving enterprise-scale business transformation initiatives that leverage our deep expertise in advanced analytics, AI, ML and cloud. Data, analytics, and digital have become core to virtually every significant move a business makes to serve customers, optimize business processes, stay competitive and grow. Our vision of being an indispensable partner for data-led businesses is a reflection of where the data and technology-led transformation of our clients’ businesses is trending across industry sectors, and we are evolving our offerings to drive business outcomes through advanced analytics and AI-powered solutions on the cloud. Our data-led value creation framework enables better and faster decision making, leveraging our end-to-end data and analytics capabilities to drive improved business outcomes, and re-designing of operating models to integrate advanced technology into operational workflows. We embed digital operations and solutions into clients’ businesses and introduce our data led approach to transform operations with every new engagement. Accordingly, as our operations management services are now a part of our digital operations and solutions, they are referred to as “digital operations and solutions” herein; however, we have not changed the way in which we manage our business or our operating segments or segment reporting structure.</w:t>
      </w:r>
    </w:p>
    <w:p>
      <w:pPr>
        <w:spacing w:after="0" w:line="130"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We manage and report financial information through our four reportable segments or strategic business units: Insurance, Healthcare, Analytics and Emerging Business, which reflects how management reviews financial information and makes operating decisions. Our strategic business units align our products and services with how we manage our business, approach our key markets and interact with our clients. These business units develop client-specific solutions, build capabilities, maintain a unified go-to-market approach and are integrally responsible for service delivery, customer satisfaction, growth and profitability. By integrating data and analytics directly into our client workflows, we drive more intelligence into our clients’ increasingly digital operations that drive superior customer outcomes, optimize costs and power resilient and agile business models for our clients.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December 2021 acquisition of Clairvoyant AI Inc. (“Clairvoyant”) is included in the Analytics reportable segment.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COVID–19 Global Pandemic</w:t>
      </w:r>
    </w:p>
    <w:p>
      <w:pPr>
        <w:spacing w:after="0" w:line="178"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COVID-19 pandemic continues to cause global economic disruption and uncertainty, which affects our business. The global economic disruption of this pandemic has had an adverse impact on our business operations, customers, and suppliers.</w:t>
      </w:r>
    </w:p>
    <w:p>
      <w:pPr>
        <w:spacing w:after="0" w:line="106"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 extent to which COVID-19 impacts our future business, strategic initiatives, results of operations and financial condition will depend on future developments, which are highly uncertain and cannot be predicted, including, but not limited to, the duration, spread, severity and resurgence, of COVID-19, the effects of COVID-19 on our clients, vendors and employees and the remedial actions and stimulus measures adopted by local and federal governments, and to what extent normal economic and operating conditions can resume.</w:t>
      </w:r>
    </w:p>
    <w:p>
      <w:pPr>
        <w:spacing w:after="0" w:line="124"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will continue to evaluate the nature and scope of the impact to our business and may take further actions strategizing our business operations and managing our costs and liquidity that we deem necessary or appropriate to respond to this fast moving and uncertain global health crisis and the resulting global economic consequences.</w:t>
      </w:r>
    </w:p>
    <w:p>
      <w:pPr>
        <w:spacing w:after="0" w:line="107"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For a further discussion of the risks, uncertainties and actions taken in response to COVID-19, see Part I, Item 1A, “Risk Factors” and Part II, Item 7,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Digital Operations and Solutions</w:t>
      </w:r>
    </w:p>
    <w:p>
      <w:pPr>
        <w:spacing w:after="0" w:line="178" w:lineRule="exact"/>
        <w:rPr>
          <w:sz w:val="20"/>
          <w:szCs w:val="20"/>
          <w:color w:val="auto"/>
        </w:rPr>
      </w:pPr>
    </w:p>
    <w:p>
      <w:pPr>
        <w:jc w:val="both"/>
        <w:ind w:firstLine="384"/>
        <w:spacing w:after="0" w:line="290" w:lineRule="auto"/>
        <w:rPr>
          <w:sz w:val="20"/>
          <w:szCs w:val="20"/>
          <w:color w:val="auto"/>
        </w:rPr>
      </w:pPr>
      <w:r>
        <w:rPr>
          <w:rFonts w:ascii="Arial" w:cs="Arial" w:eastAsia="Arial" w:hAnsi="Arial"/>
          <w:sz w:val="16"/>
          <w:szCs w:val="16"/>
          <w:color w:val="auto"/>
        </w:rPr>
        <w:t>Our digital operations and solutions, which we provide from our Insurance, Healthcare and Emerging Business strategic business units are focused on solving complex industry problems such as the insurance claims lifecycle and financial transactions processing, and typically involve the use of agile delivery models to implement digital technologies and interventions like hyper-automation, customer experience transformation, advanced automation, robotics, enterprise architecture, end-to-end business function management and transformations. We either administer and manage these functions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for our clients on an ongoing basis via longer-term arrangements or project work. We use a focused industry vertical approach, and our solutions are designed to deliver business models that help our clients realize their business and innovation goals and improve their strategic competitive position.</w:t>
      </w:r>
    </w:p>
    <w:p>
      <w:pPr>
        <w:spacing w:after="0" w:line="106"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key differentiators and salient features of our digital operations and solutions include our agile operating and delivery model, which leverages AI/ML-based content extraction, natural language processing and cloud-based operations to automate business processes and improve speed-to-market. Our approach to digital integrates AI/ML and data on to the cloud to digitally transform legacy models and support real-time insights, faster decision-making and streamlined operations. This approach positions us to digitally transform our clients’ enterprise-wide data flows to deliver meaningful customer experience, business outcomes and efficiency improvements to our clients.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Some of our key digital operations and solutions we provide in connection with our analytics capabilities include:</w:t>
      </w:r>
    </w:p>
    <w:p>
      <w:pPr>
        <w:spacing w:after="0" w:line="172" w:lineRule="exact"/>
        <w:rPr>
          <w:sz w:val="20"/>
          <w:szCs w:val="20"/>
          <w:color w:val="auto"/>
        </w:rPr>
      </w:pPr>
    </w:p>
    <w:p>
      <w:pPr>
        <w:ind w:left="640" w:hanging="320"/>
        <w:spacing w:after="0" w:line="264"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AI:OS: Integrated cloud-native AI solutions with deep domain expertise and process transition experience to deliver a cloud receiving center for business processes.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Xtrakto.AI: AI-driven automation of manual processing of text, image and financial data;</w:t>
      </w:r>
    </w:p>
    <w:p>
      <w:pPr>
        <w:spacing w:after="0" w:line="14" w:lineRule="exact"/>
        <w:rPr>
          <w:rFonts w:ascii="Arial" w:cs="Arial" w:eastAsia="Arial" w:hAnsi="Arial"/>
          <w:sz w:val="17"/>
          <w:szCs w:val="17"/>
          <w:color w:val="auto"/>
        </w:rPr>
      </w:pPr>
    </w:p>
    <w:p>
      <w:pPr>
        <w:ind w:left="560" w:hanging="240"/>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Exelia.AI: AI-infused experiences across multiple customer journeys and touchpoints;</w:t>
      </w:r>
    </w:p>
    <w:p>
      <w:pPr>
        <w:spacing w:after="0" w:line="14" w:lineRule="exact"/>
        <w:rPr>
          <w:rFonts w:ascii="Arial" w:cs="Arial" w:eastAsia="Arial" w:hAnsi="Arial"/>
          <w:sz w:val="17"/>
          <w:szCs w:val="17"/>
          <w:color w:val="auto"/>
        </w:rPr>
      </w:pPr>
    </w:p>
    <w:p>
      <w:pPr>
        <w:ind w:left="560" w:hanging="240"/>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Paymentor: AI-powered customer centricity and digitization in payment and collection processes; and</w:t>
      </w:r>
    </w:p>
    <w:p>
      <w:pPr>
        <w:spacing w:after="0" w:line="14" w:lineRule="exact"/>
        <w:rPr>
          <w:rFonts w:ascii="Arial" w:cs="Arial" w:eastAsia="Arial" w:hAnsi="Arial"/>
          <w:sz w:val="17"/>
          <w:szCs w:val="17"/>
          <w:color w:val="auto"/>
        </w:rPr>
      </w:pPr>
    </w:p>
    <w:p>
      <w:pPr>
        <w:ind w:left="560" w:hanging="240"/>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 Financing: AI-powered Buy Now Pay Later solution, reimagining an integrated and coherent sales and credit journey.</w:t>
      </w:r>
    </w:p>
    <w:p>
      <w:pPr>
        <w:spacing w:after="0" w:line="160"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deliver digital operations and solutions to clients through multiple technology approaches, including, using client environments, EXL platforms and leveraging third-party solutions from our partner ecosystem. Where possible, our aim is to use standardized and shared technology and operational delivery infrastructure, enabling us to leverage technology and infrastructure investments across multiple clients.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strategic business units through which we provide digital operations and solutions are described below:</w:t>
      </w:r>
    </w:p>
    <w:p>
      <w:pPr>
        <w:spacing w:after="0" w:line="166" w:lineRule="exact"/>
        <w:rPr>
          <w:sz w:val="20"/>
          <w:szCs w:val="20"/>
          <w:color w:val="auto"/>
        </w:rPr>
      </w:pPr>
    </w:p>
    <w:p>
      <w:pPr>
        <w:jc w:val="both"/>
        <w:ind w:firstLine="393"/>
        <w:spacing w:after="0" w:line="243"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Insurance</w:t>
      </w:r>
      <w:r>
        <w:rPr>
          <w:rFonts w:ascii="Arial" w:cs="Arial" w:eastAsia="Arial" w:hAnsi="Arial"/>
          <w:sz w:val="17"/>
          <w:szCs w:val="17"/>
          <w:color w:val="auto"/>
        </w:rPr>
        <w:t xml:space="preserve"> strategic business unit serves property and casualty insurance, life insurance, disability insurance, insurance brokers, reinsurers, annuity and retirement services companies. We provide digital operations and solutions and analytics-driven services across the insurance industry in areas such as claims processing, premium and benefit administration, agency management, account reconciliation, policy research, underwriting support, new business acquisition, policy servicing, premium audit, surveys, billing and collection, commercial and residential survey, and customer service using digital technology, AI, ML and advanced automation. We provide end-to-end third party administration for life and annuity insurance policies which includes digital customer acquisition services using a software-as-a-service (“SaaS”) delivery model through our LifePRO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LISS platforms that help clients administer life insurance, annuities and credit life and disability insurance policies. We also provide subrogation services to property and casualty insurers using BPaaS delivery model and our proprietary Subrosource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software platform, the largest commercial end-to-end subrogation platform. Subrosource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integrates with client systems, manages recovery workflow, increases recoveries and reduces costs. We provide a suite of finance and accounting services that include high-end analytics-driven services including financial planning and analysis, decision support, GAAP and statutory reporting and compliance services in addition to core finance operations. We bring a data-driven and practical digital approach to finance and accounting, enabling our clients to simplify and scale their finance and accounting processes, drive stakeholder centricity, improve controls and compliance, reduce operating costs and deliver rich data-driven insights to their businesses.</w:t>
      </w:r>
    </w:p>
    <w:p>
      <w:pPr>
        <w:spacing w:after="0" w:line="137" w:lineRule="exact"/>
        <w:rPr>
          <w:sz w:val="20"/>
          <w:szCs w:val="20"/>
          <w:color w:val="auto"/>
        </w:rPr>
      </w:pPr>
    </w:p>
    <w:p>
      <w:pPr>
        <w:jc w:val="both"/>
        <w:ind w:firstLine="393"/>
        <w:spacing w:after="0" w:line="267"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Healthcare</w:t>
      </w:r>
      <w:r>
        <w:rPr>
          <w:rFonts w:ascii="Arial" w:cs="Arial" w:eastAsia="Arial" w:hAnsi="Arial"/>
          <w:sz w:val="17"/>
          <w:szCs w:val="17"/>
          <w:color w:val="auto"/>
        </w:rPr>
        <w:t xml:space="preserve"> strategic business unit primarily serves U.S.-based healthcare payers, providers, pharmacy benefit managers and life sciences organizations. We combine deep healthcare domain expertise with data-driven insights and technology-enabled services to transform how care is delivered, managed and paid. We provide services related to care management, utilization management, disease management, payment integrity, revenue optimization and customer engagement directly addressing the market need for improved healthcare outcomes, patient and provider experience and access to the healthcare system in the healthcare market, and optimized healthcare spend.</w:t>
      </w:r>
    </w:p>
    <w:p>
      <w:pPr>
        <w:spacing w:after="0" w:line="125"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We offer SaaS and platform services designed to serve the healthcare industry as well as proprietary technology platforms, robotics and advanced analytics. EXL’s integrated care management offering, including CareRadius® and our proprietary clinical data and analytics, connects payers, providers and members to increase efficiencies and effectiveness across all aspects of care management, including medical, pharmacy and behavioral health. Our digital operations and solutions infuse cloud, data, AI, ML, analytics and robotics capabilities to improve efficiency, business outcomes, and the consumer experience in healthcare across patient/member management, contracting and network management, health and care management, claims administration, and business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Similar to our Insurance strategic business unit, we also provide finance and accounting services, digital transformation and advisory/consulting services for our clients in the healthcare industry.</w:t>
      </w:r>
    </w:p>
    <w:p>
      <w:pPr>
        <w:spacing w:after="0" w:line="100"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Emerging Business</w:t>
      </w:r>
      <w:r>
        <w:rPr>
          <w:rFonts w:ascii="Arial" w:cs="Arial" w:eastAsia="Arial" w:hAnsi="Arial"/>
          <w:sz w:val="17"/>
          <w:szCs w:val="17"/>
          <w:color w:val="auto"/>
        </w:rPr>
        <w:t xml:space="preserve"> strategic business unit provides data-driven and digital enterprise solutions in the areas of revenue enhancement, finance &amp; accounting and customer experience management to clients primarily in the banking and capital markets, utilities, travel, transportation and logistics, media and communications, manufacturing and retail and business services industries. These enterprise solutions complement our domain specific industry solutions enabling our clients to maximize performance.</w:t>
      </w:r>
    </w:p>
    <w:p>
      <w:pPr>
        <w:spacing w:after="0" w:line="116" w:lineRule="exact"/>
        <w:rPr>
          <w:sz w:val="20"/>
          <w:szCs w:val="20"/>
          <w:color w:val="auto"/>
        </w:rPr>
      </w:pPr>
    </w:p>
    <w:p>
      <w:pPr>
        <w:jc w:val="both"/>
        <w:ind w:firstLine="393"/>
        <w:spacing w:after="0" w:line="242" w:lineRule="auto"/>
        <w:rPr>
          <w:sz w:val="20"/>
          <w:szCs w:val="20"/>
          <w:color w:val="auto"/>
        </w:rPr>
      </w:pPr>
      <w:r>
        <w:rPr>
          <w:rFonts w:ascii="Arial" w:cs="Arial" w:eastAsia="Arial" w:hAnsi="Arial"/>
          <w:sz w:val="17"/>
          <w:szCs w:val="17"/>
          <w:color w:val="auto"/>
        </w:rPr>
        <w:t>Our revenue enhancement solutions, enabled by our analytics based EXL Revenue Leakage Preventer (formerly Revlift</w:t>
      </w:r>
      <w:r>
        <w:rPr>
          <w:rFonts w:ascii="Arial" w:cs="Arial" w:eastAsia="Arial" w:hAnsi="Arial"/>
          <w:sz w:val="22"/>
          <w:szCs w:val="22"/>
          <w:color w:val="auto"/>
          <w:vertAlign w:val="superscript"/>
        </w:rPr>
        <w:t>TM</w:t>
      </w:r>
      <w:r>
        <w:rPr>
          <w:rFonts w:ascii="Arial" w:cs="Arial" w:eastAsia="Arial" w:hAnsi="Arial"/>
          <w:sz w:val="17"/>
          <w:szCs w:val="17"/>
          <w:color w:val="auto"/>
        </w:rPr>
        <w:t>) platform include lead generation, inside sales and digital marketing, pricing, customer and marketing analytics, billing and revenue assurance solutions, helping deliver direct topline and margin impact to our clients’ business.</w:t>
      </w:r>
    </w:p>
    <w:p>
      <w:pPr>
        <w:spacing w:after="0" w:line="145"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Our data-driven finance and accounting services include high-end analytics driven services, including financial planning and analysis, strategic finance, advanced forecasting and decision support, data management, regulatory reporting and risk and compliance services in addition to core finance operations. Powered by our integrated cloud-based hyper-automation and insights platform EXL Digital Finance Suite, we help CFOs transform finance into a digitally enabled, scalable data-driven function with lower cost to serve, superior business outcomes, and improved stakeholder experience and business partnering.</w:t>
      </w:r>
    </w:p>
    <w:p>
      <w:pPr>
        <w:spacing w:after="0" w:line="107"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Our client experience management solutions which run on our CONNECx platform help our clients improve their end-customer experience across the front, middle and back-office, integrating data flows, redesigning customer service processes and leveraging digital omni-channel platforms. In delivering these solutions, we combine our deep domain expertise, digital operations and solutions, advanced analytics and digital capabilities, including robotics, proprietary and partner driven AI and ML solutions.</w:t>
      </w:r>
    </w:p>
    <w:p>
      <w:pPr>
        <w:spacing w:after="0" w:line="124"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color w:val="auto"/>
        </w:rPr>
        <w:t>We also provide industry-specific digital operations and solutions. For our clients in the travel sector, we provide corporate and leisure travel services including reservations, customer service and fulfilment services. In the transportation and logistics sectors, we provide our clients with billing, collections, claims management, freight audit, logistics, supply chain management, revenue assurance and payment services. For our clients in the banking and financial services sector, we provide comprehensive range of digital operations and solutions, including residential mortgage lending, title verification and validation, retail banking and credit cards, trust verification, commercial banking and investment management. In addition to banks and financial services firms, we work with financial technology (Fintech) companies to supplement their marketing and sales operations, support their processing and underwriting as well as enhance their servicing and collections efforts. For our clients in the utilities sector, we offer digital operations and solutions related to end-to-end customer lifecycle management including onboarding and terminations, engineering field services, customer service, billing and debt management and collections.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Analytics</w:t>
      </w:r>
    </w:p>
    <w:p>
      <w:pPr>
        <w:spacing w:after="0" w:line="17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Through our Analytics strategic business unit, we help our clients build data-led businesses. By leveraging our suite of end-to-end analytics capabilities, our analytics services focus on driving improved business outcomes for our clients by unlocking deep insights from data and creating data-driven solutions across all parts of our clients’ businesses.</w:t>
      </w:r>
    </w:p>
    <w:p>
      <w:pPr>
        <w:spacing w:after="0" w:line="120"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Our teams deliver predictive and prescriptive analytics in the areas of customer acquisition and life cycle management, risk underwriting and pricing, operational effectiveness, credit and operational risk monitoring and governance, regulatory reporting, and data management.</w:t>
      </w:r>
    </w:p>
    <w:p>
      <w:pPr>
        <w:spacing w:after="0" w:line="10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enhance, modernize and enrich structured and unstructured data and use a spectrum of advanced analytical tools and techniques, including our in-house AI and ML capabilities, to create insights and improve decision making for our clients. We leverage and deploy our proprietary AI and ML solutions to help deliver improved business outcomes and address a range of complex industry-wide problems, including:</w:t>
      </w:r>
    </w:p>
    <w:p>
      <w:pPr>
        <w:spacing w:after="0" w:line="120" w:lineRule="exact"/>
        <w:rPr>
          <w:sz w:val="20"/>
          <w:szCs w:val="20"/>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Superior customer experience, driving engagement, loyalty and increasing cross-sell through a deeper understanding of consumer behavior;</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Solutions for risk models , stress testing, Basel risk-weighted assets, reserves, and economic capital calculation;</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ML models for fraud monitoring, loss mitigation, and implementation and execution of fraud strategies;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Enhanced decision-making in underwriting, claims processing and policy renewal through cognitive image analytics.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firstLine="384"/>
        <w:spacing w:after="0" w:line="289" w:lineRule="auto"/>
        <w:rPr>
          <w:sz w:val="20"/>
          <w:szCs w:val="20"/>
          <w:color w:val="auto"/>
        </w:rPr>
      </w:pPr>
      <w:r>
        <w:rPr>
          <w:rFonts w:ascii="Arial" w:cs="Arial" w:eastAsia="Arial" w:hAnsi="Arial"/>
          <w:sz w:val="17"/>
          <w:szCs w:val="17"/>
          <w:color w:val="auto"/>
        </w:rPr>
        <w:t>Our Analytics team is comprised of approximately 6,600 professionals, including data scientists, data architects, business analysts, statisticians, modelers, industry domain specialists and data experts.</w:t>
      </w:r>
    </w:p>
    <w:p>
      <w:pPr>
        <w:spacing w:after="0" w:line="106" w:lineRule="exact"/>
        <w:rPr>
          <w:sz w:val="20"/>
          <w:szCs w:val="20"/>
          <w:color w:val="auto"/>
        </w:rPr>
      </w:pPr>
    </w:p>
    <w:p>
      <w:pPr>
        <w:ind w:firstLine="384"/>
        <w:spacing w:after="0" w:line="289" w:lineRule="auto"/>
        <w:rPr>
          <w:sz w:val="20"/>
          <w:szCs w:val="20"/>
          <w:color w:val="auto"/>
        </w:rPr>
      </w:pPr>
      <w:r>
        <w:rPr>
          <w:rFonts w:ascii="Arial" w:cs="Arial" w:eastAsia="Arial" w:hAnsi="Arial"/>
          <w:sz w:val="17"/>
          <w:szCs w:val="17"/>
          <w:color w:val="auto"/>
        </w:rPr>
        <w:t>We help our clients leverage internal and external data sources, enhance their data assets, identify and visualize data patterns, and utilize data-driven insights to improve their effectiveness. Our Analytics services for our clients include:</w:t>
      </w:r>
    </w:p>
    <w:p>
      <w:pPr>
        <w:spacing w:after="0" w:line="106" w:lineRule="exact"/>
        <w:rPr>
          <w:sz w:val="20"/>
          <w:szCs w:val="20"/>
          <w:color w:val="auto"/>
        </w:rPr>
      </w:pPr>
    </w:p>
    <w:p>
      <w:pPr>
        <w:ind w:left="640" w:hanging="320"/>
        <w:spacing w:after="0" w:line="289"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Identification, cleansing, matching and use of structured, semi-structured and unstructured data available both internally to our client’s organization and externally;</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Integration of data insights and predictive models into real-time decision making processes to drive measurable business impact;</w:t>
      </w:r>
    </w:p>
    <w:p>
      <w:pPr>
        <w:spacing w:after="0" w:line="17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Design and implementation of services that enable data visualization and management reporting enabling business users to segment, drill-down, and filter data; and</w:t>
      </w:r>
    </w:p>
    <w:p>
      <w:pPr>
        <w:spacing w:after="0" w:line="10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Deployment of analytics professionals and data scientists who utilize analytics tools, cutting edge statistical techniques and methodologies in ways designed to help customers better understand their data to generate actionable business insights.</w:t>
      </w:r>
    </w:p>
    <w:p>
      <w:pPr>
        <w:spacing w:after="0" w:line="106" w:lineRule="exact"/>
        <w:rPr>
          <w:sz w:val="20"/>
          <w:szCs w:val="20"/>
          <w:color w:val="auto"/>
        </w:rPr>
      </w:pPr>
    </w:p>
    <w:p>
      <w:pPr>
        <w:jc w:val="both"/>
        <w:ind w:firstLine="384"/>
        <w:spacing w:after="0" w:line="273" w:lineRule="auto"/>
        <w:rPr>
          <w:sz w:val="20"/>
          <w:szCs w:val="20"/>
          <w:color w:val="auto"/>
        </w:rPr>
      </w:pPr>
      <w:r>
        <w:rPr>
          <w:rFonts w:ascii="Arial" w:cs="Arial" w:eastAsia="Arial" w:hAnsi="Arial"/>
          <w:sz w:val="17"/>
          <w:szCs w:val="17"/>
          <w:color w:val="auto"/>
        </w:rPr>
        <w:t>Our Analytics engagements span both project work and longer-term arrangements where EXL provides ongoing analytics modeling and services for a year or more. We utilize our domain and industry knowledge to drive these engagements across our various competencies including data management and cloud enablement, AI, ML and advanced analytics and insights, data-enabled marketing solutions and strategic data assets.</w:t>
      </w:r>
    </w:p>
    <w:p>
      <w:pPr>
        <w:spacing w:after="0" w:line="120"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7"/>
          <w:szCs w:val="17"/>
          <w:color w:val="auto"/>
        </w:rPr>
        <w:t>Our Analytics services support: (1) retail banking, commercial banking and investment banking and management for the banking and financial services industries; (2) actuarial, claims, informatics, customer relationship management and marketing analysis; (3) marketing and agency management, actuarial, servicing and operations, customer management, and claims and money movement in the insurance industry; and (4) marketing analytics, supply chain, logistics and digital operations and solutions in the retail, media and entertainment industries.</w:t>
      </w:r>
    </w:p>
    <w:p>
      <w:pPr>
        <w:spacing w:after="0" w:line="124"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As a result of the ongoing impact of COVID-19, we have seen a significant acceleration in the shift to digital and cloud-based solutions across all of our target markets. Capturing data and enriching data has become a key differentiator for clients and their speed of decision-making necessitating the adoption of advanced AI and ML techniques. The accelerated adoption of cloud-based solutions has increased our clients’ needs for a suite of cloud migration and enablement capabilities. We expect that this will continue to grow our target addressable market and support higher growth over the next few years.</w:t>
      </w:r>
    </w:p>
    <w:p>
      <w:pPr>
        <w:spacing w:after="0" w:line="10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expect the long-term trend in demand to be positive and to capture these new opportunities, we are building a scalable and customizable multi-cloud cross-sector analytics platform with pre-built accelerators and packaged solutions. This will enable us to continue to enhance our solutions to scalable industry solutions and as-a-service models.</w:t>
      </w:r>
    </w:p>
    <w:p>
      <w:pPr>
        <w:spacing w:after="0" w:line="107"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To position EXL as a market leader in analytics services, we are customizing solutions across our target verticals and markets and deepening our advanced analytics and cloud capabilities and our domain expertise.</w:t>
      </w:r>
    </w:p>
    <w:p>
      <w:pPr>
        <w:spacing w:after="0" w:line="112" w:lineRule="exact"/>
        <w:rPr>
          <w:sz w:val="20"/>
          <w:szCs w:val="20"/>
          <w:color w:val="auto"/>
        </w:rPr>
      </w:pPr>
    </w:p>
    <w:p>
      <w:pPr>
        <w:jc w:val="both"/>
        <w:ind w:firstLine="393"/>
        <w:spacing w:after="0" w:line="259" w:lineRule="auto"/>
        <w:rPr>
          <w:sz w:val="20"/>
          <w:szCs w:val="20"/>
          <w:color w:val="auto"/>
        </w:rPr>
      </w:pPr>
      <w:r>
        <w:rPr>
          <w:rFonts w:ascii="Arial" w:cs="Arial" w:eastAsia="Arial" w:hAnsi="Arial"/>
          <w:sz w:val="16"/>
          <w:szCs w:val="16"/>
          <w:color w:val="auto"/>
        </w:rPr>
        <w:t>Our EXLClarity</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platform supports payers’ and providers’ risk adjustment and quality management programs in order to close clinical gaps and optimize revenue, and our EXLVantage</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platform offers robust population health analytics that can be leveraged by our payer, provider and life science customers to drive insights and associated actions for improved outcomes in quality and efficiency performance for care and network optimization. In addition, our population health analytic models can be leveraged with our campaign management and marketing analytics to support member acquisition and clinical program intervention management. We offer end-to-end data management services to support data strategy, ingestion, normalization, quality, security, governance, visualization and data architecture development and deployment via agnostic tools and flexible delivery models.</w:t>
      </w:r>
    </w:p>
    <w:p>
      <w:pPr>
        <w:spacing w:after="0" w:line="133"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On December 16, 2021, we completed the acquisition of Clairvoyant, a global data, AI, ML, and cloud services firm that helps organizations in their business transformation by maximizing the value of data through actionable insights. It provides data engineering, analytics, AI, ML, product engineering, and cloud-based solutions. The acquisition strengthens our Analytics capabilities with additional expertise in data engineering and cloud enablement, further supporting our clients in the insurance, healthcare, banking and financial services, and retail industries.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Strategy</w:t>
      </w:r>
    </w:p>
    <w:p>
      <w:pPr>
        <w:spacing w:after="0" w:line="204"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EXL is a leading data analytics and digital operations and solutions company and is a key strategic partner for data-led businesses. We drive business outcomes for our clients through advanced analytics and AI/ML-powered digital solutions on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cloud. We do this through our data-led value creation framework to enable better and faster decision making and orchestrate re-designing of operating models to integrate advanced technology into operational workflows. Below are some of our strategically focused considerations: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Expanding our services in large addressable markets</w:t>
      </w:r>
    </w:p>
    <w:p>
      <w:pPr>
        <w:spacing w:after="0" w:line="172"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We continue to focus on the insurance, healthcare, banking, retail, media and high tech, among other industries, which are large markets with high demand. We will also continue to build our client portfolio in finance and accounting and consulting services in all of our business segments. As we can continue to refine our focus, we are pursuing opportunities in other industries. We are strategically equipped to help clients apply relevant digital technologies to enterprise processes and business problems at every step of the digital transformation, by bringing together deep domain expertise with robust data, powerful analytics, cloud, AI and ML. Demand for our services is expected to exhibit strong growth in the next several years.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Integrating our Capabilities</w:t>
      </w:r>
    </w:p>
    <w:p>
      <w:pPr>
        <w:spacing w:after="0" w:line="17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Our deep domain expertise has been central to our market differentiation. We are also well-positioned with our suite of data and analytics, strong operational excellence and digital toolkit to create integrated services and solutions under one brand.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Cultivating Long-term Relationships and Expanding our Client Base</w:t>
      </w:r>
    </w:p>
    <w:p>
      <w:pPr>
        <w:spacing w:after="0" w:line="172" w:lineRule="exact"/>
        <w:rPr>
          <w:sz w:val="20"/>
          <w:szCs w:val="20"/>
          <w:color w:val="auto"/>
        </w:rPr>
      </w:pPr>
    </w:p>
    <w:p>
      <w:pPr>
        <w:jc w:val="both"/>
        <w:ind w:firstLine="629"/>
        <w:spacing w:after="0" w:line="289" w:lineRule="auto"/>
        <w:rPr>
          <w:sz w:val="20"/>
          <w:szCs w:val="20"/>
          <w:color w:val="auto"/>
        </w:rPr>
      </w:pPr>
      <w:r>
        <w:rPr>
          <w:rFonts w:ascii="Arial" w:cs="Arial" w:eastAsia="Arial" w:hAnsi="Arial"/>
          <w:sz w:val="17"/>
          <w:szCs w:val="17"/>
          <w:color w:val="auto"/>
        </w:rPr>
        <w:t>We continue to maintain our focus on cultivating long-term client relationships as well as attracting new clients. We believe there are significant opportunities for additional growth within our existing clients, and we seek to expand these relationships by:</w:t>
      </w:r>
    </w:p>
    <w:p>
      <w:pPr>
        <w:spacing w:after="0" w:line="106" w:lineRule="exact"/>
        <w:rPr>
          <w:sz w:val="20"/>
          <w:szCs w:val="20"/>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the depth and breadth of the services we provide across our clients’ value chains and geographies;</w:t>
      </w:r>
    </w:p>
    <w:p>
      <w:pPr>
        <w:spacing w:after="0" w:line="158" w:lineRule="exact"/>
        <w:rPr>
          <w:rFonts w:ascii="Arial" w:cs="Arial" w:eastAsia="Arial" w:hAnsi="Arial"/>
          <w:sz w:val="17"/>
          <w:szCs w:val="17"/>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Offering the full suite of EXL services that includes digital operations and solutions, consulting and data analytics services;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Supporting our clients’ geographic expansion leveraging our global footprint.</w:t>
      </w:r>
    </w:p>
    <w:p>
      <w:pPr>
        <w:spacing w:after="0" w:line="172" w:lineRule="exact"/>
        <w:rPr>
          <w:sz w:val="20"/>
          <w:szCs w:val="20"/>
          <w:color w:val="auto"/>
        </w:rPr>
      </w:pPr>
    </w:p>
    <w:p>
      <w:pPr>
        <w:jc w:val="both"/>
        <w:ind w:firstLine="384"/>
        <w:spacing w:after="0" w:line="273" w:lineRule="auto"/>
        <w:rPr>
          <w:sz w:val="20"/>
          <w:szCs w:val="20"/>
          <w:color w:val="auto"/>
        </w:rPr>
      </w:pPr>
      <w:r>
        <w:rPr>
          <w:rFonts w:ascii="Arial" w:cs="Arial" w:eastAsia="Arial" w:hAnsi="Arial"/>
          <w:sz w:val="17"/>
          <w:szCs w:val="17"/>
          <w:color w:val="auto"/>
        </w:rPr>
        <w:t>We intend to continue building a portfolio of Fortune 500 and Global 2000 companies in our focus industries that have complex and diverse data-led processes and, accordingly, stand to benefit significantly from our services. We also intend to cultivate long-term relationships with medium-sized companies in our focus industries by leveraging our BPaaS and digital offerings.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Optimizing our Global Delivery Footprint and Operational Infrastructure in the Countries and Regions in which we Operate</w:t>
      </w:r>
    </w:p>
    <w:p>
      <w:pPr>
        <w:spacing w:after="0" w:line="159" w:lineRule="exact"/>
        <w:rPr>
          <w:sz w:val="20"/>
          <w:szCs w:val="20"/>
          <w:color w:val="auto"/>
        </w:rPr>
      </w:pPr>
    </w:p>
    <w:p>
      <w:pPr>
        <w:jc w:val="both"/>
        <w:ind w:firstLine="384"/>
        <w:spacing w:after="0" w:line="257" w:lineRule="auto"/>
        <w:rPr>
          <w:sz w:val="20"/>
          <w:szCs w:val="20"/>
          <w:color w:val="auto"/>
        </w:rPr>
      </w:pPr>
      <w:r>
        <w:rPr>
          <w:rFonts w:ascii="Arial" w:cs="Arial" w:eastAsia="Arial" w:hAnsi="Arial"/>
          <w:sz w:val="17"/>
          <w:szCs w:val="17"/>
          <w:color w:val="auto"/>
        </w:rPr>
        <w:t>We intend to further optimize our existing network of delivery centers to service our clients, drive efficiencies and adapting to remote working operating model. As part of our ongoing evaluation of facilities usage, we closed certain facilities in India, the Philippines and in the United States.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Pursuing Strategic Acquisitions and Relationships</w:t>
      </w:r>
    </w:p>
    <w:p>
      <w:pPr>
        <w:spacing w:after="0" w:line="172"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We intend to continue making selective acquisitions in our focus industry verticals that enhance our competitive differentiation and facilitate our growth strategy. We consider selective strategic relationships with industry leaders that add new long-term client relationships, enhance the depth and breadth of our services and solutions and complement our business strategy. Through our Connected Intelligence Partnership programs, we expand our technology and innovation ecosystem with select partnerships, alliances or investments that we expect will enhance go-to-market opportunities and expand the scope and</w:t>
      </w:r>
    </w:p>
    <w:p>
      <w:pPr>
        <w:spacing w:after="0" w:line="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effectiveness of our services and solutions by adding digital assets and intellectual property, which will help us to win new clients or allowing us to enter new industry verticals and geographic markets.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Industry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Digital operations and solutions</w:t>
      </w:r>
    </w:p>
    <w:p>
      <w:pPr>
        <w:spacing w:after="0" w:line="172" w:lineRule="exact"/>
        <w:rPr>
          <w:sz w:val="20"/>
          <w:szCs w:val="20"/>
          <w:color w:val="auto"/>
        </w:rPr>
      </w:pPr>
    </w:p>
    <w:p>
      <w:pPr>
        <w:jc w:val="both"/>
        <w:ind w:firstLine="384"/>
        <w:spacing w:after="0" w:line="264" w:lineRule="auto"/>
        <w:rPr>
          <w:sz w:val="20"/>
          <w:szCs w:val="20"/>
          <w:color w:val="auto"/>
        </w:rPr>
      </w:pPr>
      <w:r>
        <w:rPr>
          <w:rFonts w:ascii="Arial" w:cs="Arial" w:eastAsia="Arial" w:hAnsi="Arial"/>
          <w:sz w:val="17"/>
          <w:szCs w:val="17"/>
          <w:color w:val="auto"/>
        </w:rPr>
        <w:t>As a digital operations and solutions company, we work with clients to execute enterprise-scale business transformation initiatives that leverage deep expertise in advanced analytics, AI, ML and the cloud. Specifically, digital operations and solutions companies help clients achieve digital transformation in three key ways: 1) advanced analytics that combine publicly available data, proprietary data sets and clients’ own data help power faster, more strategic decision making, 2) AI/ML-driven natural language processing solutions help streamline manual, labor-intensive workflows and improve end-customer engagement and experience, and 3) AI/ML-powered operating models that integrates AI and ML capabilities and data on to the cloud to help transition from legacy models and get to market faster.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384"/>
        <w:spacing w:after="0" w:line="273" w:lineRule="auto"/>
        <w:rPr>
          <w:sz w:val="20"/>
          <w:szCs w:val="20"/>
          <w:color w:val="auto"/>
        </w:rPr>
      </w:pPr>
      <w:r>
        <w:rPr>
          <w:rFonts w:ascii="Arial" w:cs="Arial" w:eastAsia="Arial" w:hAnsi="Arial"/>
          <w:sz w:val="17"/>
          <w:szCs w:val="17"/>
          <w:color w:val="auto"/>
        </w:rPr>
        <w:t>This comprehensive approach acknowledges the critical role that digital capabilities play in both the operational business process and consumer-facing customer engagement and user experience, as touch points, interactions and experiences with companies’ customers have increasingly shifted to digital channels.</w:t>
      </w:r>
    </w:p>
    <w:p>
      <w:pPr>
        <w:spacing w:after="0" w:line="120" w:lineRule="exact"/>
        <w:rPr>
          <w:sz w:val="20"/>
          <w:szCs w:val="20"/>
          <w:color w:val="auto"/>
        </w:rPr>
      </w:pPr>
    </w:p>
    <w:p>
      <w:pPr>
        <w:jc w:val="both"/>
        <w:ind w:firstLine="384"/>
        <w:spacing w:after="0" w:line="265" w:lineRule="auto"/>
        <w:rPr>
          <w:sz w:val="20"/>
          <w:szCs w:val="20"/>
          <w:color w:val="auto"/>
        </w:rPr>
      </w:pPr>
      <w:r>
        <w:rPr>
          <w:rFonts w:ascii="Arial" w:cs="Arial" w:eastAsia="Arial" w:hAnsi="Arial"/>
          <w:sz w:val="17"/>
          <w:szCs w:val="17"/>
          <w:color w:val="auto"/>
        </w:rPr>
        <w:t>Digital transformation is a long-term strategic commitment for a company that, once implemented, is generally not subject to cyclical spending or information technology budget fluctuations. Increased global demand, cost improvements in international communications and the automation of many business services have created a significant opportunity for digital operations providers with offshore delivery capabilities, and many companies are moving select office processes to providers with the capacity to perform these functions from overseas locations. We believe the demand for digital operations and solutions will be primarily led by industries that are transaction-driven and that require significant customer interactions.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Analytics</w:t>
      </w:r>
    </w:p>
    <w:p>
      <w:pPr>
        <w:spacing w:after="0" w:line="172"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7"/>
          <w:szCs w:val="17"/>
          <w:color w:val="auto"/>
        </w:rPr>
        <w:t>As an analytics business, we help companies access and deliver real-time data and insights at multiple points in their overall workflows so that all parts of the organization are working from the same data pool. Leveraging a large number of high-frequency, granular, non-traditional data elements aggregated across proprietary data sets, client data and publicly available sources, Analytics helps companies settle consumer issues efficiently, deliver hyper-personalized customer experiences at scale, and rapidly shift their business strategies in response to market changes. The enhanced generation of business data across multiple formats, substantial reduction in data storage costs, growing enterprise demand for data-driven and real-time decision making and availability of sophisticated analytics tools have enabled companies to benefit from global labor markets. Our service offerings develop industry-specific analytics solutions and deep data insights that are well-poised to benefit from this global trend.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Marketing and Client Management</w:t>
      </w:r>
    </w:p>
    <w:p>
      <w:pPr>
        <w:spacing w:after="0" w:line="172" w:lineRule="exact"/>
        <w:rPr>
          <w:sz w:val="20"/>
          <w:szCs w:val="20"/>
          <w:color w:val="auto"/>
        </w:rPr>
      </w:pPr>
    </w:p>
    <w:p>
      <w:pPr>
        <w:jc w:val="both"/>
        <w:ind w:firstLine="384"/>
        <w:spacing w:after="0" w:line="273" w:lineRule="auto"/>
        <w:rPr>
          <w:sz w:val="20"/>
          <w:szCs w:val="20"/>
          <w:color w:val="auto"/>
        </w:rPr>
      </w:pPr>
      <w:r>
        <w:rPr>
          <w:rFonts w:ascii="Arial" w:cs="Arial" w:eastAsia="Arial" w:hAnsi="Arial"/>
          <w:sz w:val="17"/>
          <w:szCs w:val="17"/>
          <w:color w:val="auto"/>
        </w:rPr>
        <w:t>We market our services to our existing and prospective clients through our sales and client management teams, which are aligned by industry verticals and cross-industry domains such as finance and accounting and consulting. Our sales and client management teams operate from the U.S., Europe, Australia and South Africa are supported by our business development teams.</w:t>
      </w:r>
    </w:p>
    <w:p>
      <w:pPr>
        <w:spacing w:after="0" w:line="120" w:lineRule="exact"/>
        <w:rPr>
          <w:sz w:val="20"/>
          <w:szCs w:val="20"/>
          <w:color w:val="auto"/>
        </w:rPr>
      </w:pPr>
    </w:p>
    <w:p>
      <w:pPr>
        <w:jc w:val="both"/>
        <w:ind w:firstLine="384"/>
        <w:spacing w:after="0" w:line="265" w:lineRule="auto"/>
        <w:rPr>
          <w:sz w:val="20"/>
          <w:szCs w:val="20"/>
          <w:color w:val="auto"/>
        </w:rPr>
      </w:pPr>
      <w:r>
        <w:rPr>
          <w:rFonts w:ascii="Arial" w:cs="Arial" w:eastAsia="Arial" w:hAnsi="Arial"/>
          <w:sz w:val="17"/>
          <w:szCs w:val="17"/>
          <w:color w:val="auto"/>
        </w:rPr>
        <w:t>Our sales, marketing and business development teams are responsible for new client acquisitions, public relations, relations with outsourcing advisory companies, analyst relations and rankings, lead generation, knowledge management, content development, campaign management, digital or web presence, brand awareness and participation in industry forums and conferences. As of December 31, 2021, we employed approximately 214 sales, marketing, business development and client management professionals, with the majority of them based in either the U.S. or Europe. Our professionals generally have significant experience in business process services, technology, operations, analytics and consulting.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Clients</w:t>
      </w:r>
    </w:p>
    <w:p>
      <w:pPr>
        <w:spacing w:after="0" w:line="178" w:lineRule="exact"/>
        <w:rPr>
          <w:sz w:val="20"/>
          <w:szCs w:val="20"/>
          <w:color w:val="auto"/>
        </w:rPr>
      </w:pPr>
    </w:p>
    <w:p>
      <w:pPr>
        <w:jc w:val="both"/>
        <w:ind w:firstLine="384"/>
        <w:spacing w:after="0" w:line="289" w:lineRule="auto"/>
        <w:rPr>
          <w:sz w:val="20"/>
          <w:szCs w:val="20"/>
          <w:color w:val="auto"/>
        </w:rPr>
      </w:pPr>
      <w:r>
        <w:rPr>
          <w:rFonts w:ascii="Arial" w:cs="Arial" w:eastAsia="Arial" w:hAnsi="Arial"/>
          <w:sz w:val="17"/>
          <w:szCs w:val="17"/>
          <w:color w:val="auto"/>
        </w:rPr>
        <w:t>EXL generated revenues from approximately 459 clients and 460 clients in 2021 and 2020, respectively (with annual revenue exceeding $50,000 per client). We have won 58 and 44 new clients during 2021 and 2020, respectively.</w:t>
      </w:r>
    </w:p>
    <w:p>
      <w:pPr>
        <w:spacing w:after="0" w:line="106"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Our top three, five and ten clients generated 18.7%, 25.2% and 38.1% of our revenues, respectively, in 2021. Our top three, five and ten clients generated 19.2%, 25.4% and 37.4% of our revenues, respectively, in 2020. No client accounted for more than 10% of our total revenues in 2021 or 2020.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 See Part I, Item 1A, “Risk Factors” under “Risks Related to Our Business-We earn a substantial portion of our revenues from a limited number of clients.”</w:t>
      </w:r>
    </w:p>
    <w:p>
      <w:pPr>
        <w:spacing w:after="0" w:line="110" w:lineRule="exact"/>
        <w:rPr>
          <w:sz w:val="20"/>
          <w:szCs w:val="20"/>
          <w:color w:val="auto"/>
        </w:rPr>
      </w:pPr>
    </w:p>
    <w:p>
      <w:pPr>
        <w:jc w:val="both"/>
        <w:ind w:firstLine="384"/>
        <w:spacing w:after="0" w:line="265" w:lineRule="auto"/>
        <w:rPr>
          <w:sz w:val="20"/>
          <w:szCs w:val="20"/>
          <w:color w:val="auto"/>
        </w:rPr>
      </w:pPr>
      <w:r>
        <w:rPr>
          <w:rFonts w:ascii="Arial" w:cs="Arial" w:eastAsia="Arial" w:hAnsi="Arial"/>
          <w:sz w:val="17"/>
          <w:szCs w:val="17"/>
          <w:color w:val="auto"/>
        </w:rPr>
        <w:t>Our long-term relationships with our clients typically evolve from providing a single, discrete service or process into providing a series of complex, integrated processes across multiple business lines. For digital operations and solutions other than consulting, we generally enter into long-term agreements with our clients with typical initial terms of between three to five years. Consulting engagements have typical terms of six to twelve months. Agreements for our analytics services are either project based or have shorter initial terms, which are typically between one to three years. However, each agreement is individually negotiated with the client.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8"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7"/>
          <w:szCs w:val="17"/>
          <w:color w:val="auto"/>
        </w:rPr>
        <w:t>Competition in the data analytics and digital operations and solutions industry is intense and growing. See Part I, Item 1A, “Risk Factors” under “Risks Related to Our Business-We face competition from U.S.-based and non-U.S.-based BPM and IT companies and from our clients, who may build shared services centers to perform digital operations and solutions and analytics services themselves, either in-house, in the United States or through offshore groups or other arrangements.” Many companies,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9" w:name="page10"/>
    <w:bookmarkEnd w:id="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including certain of our clients, choose to perform some or all of their front-, middle- and back-office analytics and processes internally, utilizing their own employees and digital applications to provide these services as part of their regular business operations. We believe our key advantage over in-house business processes and analytics management is our ability to orchestrate relevant domain, data, digital, advanced analytics and human design expertise to enable delivery of sustainable outcomes that allow companies to focus on their customers, core products and markets. We compete primarily against:</w:t>
      </w:r>
    </w:p>
    <w:p>
      <w:pPr>
        <w:spacing w:after="0" w:line="107" w:lineRule="exact"/>
        <w:rPr>
          <w:sz w:val="20"/>
          <w:szCs w:val="20"/>
          <w:color w:val="auto"/>
        </w:rPr>
      </w:pPr>
    </w:p>
    <w:p>
      <w:pPr>
        <w:ind w:left="640" w:hanging="320"/>
        <w:spacing w:after="0" w:line="289"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large global companies with digital operations and solutions and operations capabilities, such as Accenture, Cognizant Technology Solutions, Genpact Limited, Infosys, NTT DATA, Tata Consultancy Services, and WNS (Holdings);</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niche industry-specific digital operations and solutions providers such as Cotiviti and Optum Health;</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niche analytics services and digital platform providers;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leading accounting and management consulting firms.</w:t>
      </w:r>
    </w:p>
    <w:p>
      <w:pPr>
        <w:spacing w:after="0" w:line="172"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We compete against these entities by working to differentiate ourselves as a strategic partner for businesses with deep industry expertise, sophisticated data and analytics capabilities, innovative digital operations and solutions and technology strong client relationships, leading industry talent, superior process capabilities, and differentiated technology, which enable us to respond rapidly to market trends and the evolving needs of our clients.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78"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Our intellectual property consists of proprietary and licensed platforms, software and databases, trade secrets, methodologies and know-how, trademarks, service marks, copyrighted software, operating procedures and other materials, and patents and pending patent applications. We consider many of our business processes and implementation methodologies to be trade secrets or proprietary know-how and confidential information. We seek to protect our intellectual property through a combination of patent, trademark, copyright and trade secret laws, confidentiality procedures and contractual provisions. Clients and business partners typically agree in writing to confidential treatment of our information. Our employees and independent contractors are required to sign work-for-hire and agreements containing confidentiality covenants as a condition to their employment and engagement, respectively. We also have policies requiring our associates to respect the intellectual property rights of others.</w:t>
      </w:r>
    </w:p>
    <w:p>
      <w:pPr>
        <w:spacing w:after="0" w:line="132"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7"/>
          <w:szCs w:val="17"/>
          <w:color w:val="auto"/>
        </w:rPr>
        <w:t>The solutions we offer our clients often include our intellectual property assets developed by our technology group combined with SaaS, software and data licensed by us or clients from third parties. We also leverage several strategic partnerships with third parties to facilitate our solution offerings to clients, including, among others, robotics and process automation software companies and a financing platform provider. We typically retain ownership of any pre-existing proprietary intellectual property assets, including modifications or enhancements to such pre-existing proprietary assets developed while providing client services. While working on client engagements, we also often develop new tools, methodologies, and models, including robotics and process automation software, or “bots,” AI and ML capabilities. We endeavor to negotiate contracts that give us ownership or licenses to use, develop, demonstrate and offer such tools for other clients.</w:t>
      </w:r>
    </w:p>
    <w:p>
      <w:pPr>
        <w:spacing w:after="0" w:line="132"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7"/>
          <w:szCs w:val="17"/>
          <w:color w:val="auto"/>
        </w:rPr>
        <w:t>We operate in a highly competitive and rapidly evolving global market. We seek to continue providing value to our clients with our deep domain expertise, ability to advise clients on how to transform their processes and deliver transformation that drives business value, ability to provide innovative services and products, including digital offerings that incorporate AI and ML capabilities, and our ability to continuously improve processes and consistently add value through digital transformation. We also rely on our reputation, client references, ability to sustain long-term client relationships, as well as our global reach and scale, and competitive pricing to maintain our competitiveness in our industry. While our proprietary intellectual property assets are important to our business, we believe our company as a whole is not materially dependent on any particular intellectual property right, other than our EXL brand. We have a registered, and applied for the registration of, numerous U.S. and international trademarks, service marks, and domain names to protect our brands, including our EXL brand, which is one of our most valuable assets.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Security and Data Privacy</w:t>
      </w:r>
    </w:p>
    <w:p>
      <w:pPr>
        <w:spacing w:after="0" w:line="178"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Overseen by our senior management and our board of directors, we have a comprehensive program that focuses on information security and cyber security, data privacy and the protection of our clients’ confidential personal and sensitive information. We have invested in strengthening our cyber security posture and protocols to enable compliance with our contractual obligations and the regulations governing our activities. These investments include people, processes and technology intended to protect information throughout the business life cycle.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EXL’s cyber security strategy aims to build a cyber-resilient organization and focuses on implementing and operating cyber security capabilities to identify, protect, detect, respond and recover from cyber threats, events and incidents; mitigate vulnerabilities and minimize the impact of cyber incidents. We emphasize on institutional governance built upon and supported by policies and processes, tools and technologies, and knowledge and awareness training. EXL takes into account guidelines from relevant regulatory and governance bodies, including but not limited to the Cyber Security Framework of the National Institute of Standards and Technology of the U.S. Department of Commerce, in designing policies and controls regarding security of sensitive and confidential information of EXL's clients, employee, partners, third parties and EXL’s owned products and services. EXL has undertaken measures designed to comply with new privacy regulations, including the European General Data Protection Regulation (EU) 2016/679 (“GDPR”) and the California Consumer Privacy Act (“CCPA”), as well as other national and state laws or regulations.</w:t>
      </w:r>
    </w:p>
    <w:p>
      <w:pPr>
        <w:spacing w:after="0" w:line="129" w:lineRule="exact"/>
        <w:rPr>
          <w:sz w:val="20"/>
          <w:szCs w:val="20"/>
          <w:color w:val="auto"/>
        </w:rPr>
      </w:pPr>
    </w:p>
    <w:p>
      <w:pPr>
        <w:jc w:val="both"/>
        <w:ind w:firstLine="384"/>
        <w:spacing w:after="0" w:line="278" w:lineRule="auto"/>
        <w:rPr>
          <w:sz w:val="20"/>
          <w:szCs w:val="20"/>
          <w:color w:val="auto"/>
        </w:rPr>
      </w:pPr>
      <w:r>
        <w:rPr>
          <w:rFonts w:ascii="Arial" w:cs="Arial" w:eastAsia="Arial" w:hAnsi="Arial"/>
          <w:sz w:val="16"/>
          <w:szCs w:val="16"/>
          <w:color w:val="auto"/>
        </w:rPr>
        <w:t>According to the needs of our clients as well as the regulatory requirements of the geographies where we operate, many of our delivery centers are certified related to information security and health and environmental safety, such as the ISO 27001:2013 standard for information security management systems, the ISO 22301:2012 for Business continuity management systems, the ISO 9001:2008 standard for quality management system, the ISO 14001 for environmental management standards and the OHSAS 18001:2007 standard for occupational health and safety management systems. The required delivery centers and processes are also compliant with HITRUST CSF™ and certified for other similar requirements. Some of our centers in the Philippines and South Africa and certain client processes in other operation centers in India are compliant with the Payment Card Industry Data Security Standard (PCI-DSS) version 3.2 or higher requirements. We engage independent firms to conduct General Controls and business process (SOC1and SOC2 - Type II) assessments on managed hosting environments that we offer in our Insurance and Healthcare verticals. EXL also engages third parties to conduct vulnerability assessment and penetration testing of its technology environment. For disaster recovery purposes, many of our key technology systems are hosted in ISO 27001 certified, SSAE18 SOC1 compliant Tier 4 data centers that are proactively monitored and managed 24 hours a day. In 2021, we also conducted an external security readiness review of our approach to remote work and strengthened the environment further.</w:t>
      </w:r>
    </w:p>
    <w:p>
      <w:pPr>
        <w:spacing w:after="0" w:line="121" w:lineRule="exact"/>
        <w:rPr>
          <w:sz w:val="20"/>
          <w:szCs w:val="20"/>
          <w:color w:val="auto"/>
        </w:rPr>
      </w:pPr>
    </w:p>
    <w:p>
      <w:pPr>
        <w:jc w:val="both"/>
        <w:ind w:firstLine="384"/>
        <w:spacing w:after="0" w:line="278" w:lineRule="auto"/>
        <w:rPr>
          <w:sz w:val="20"/>
          <w:szCs w:val="20"/>
          <w:color w:val="auto"/>
        </w:rPr>
      </w:pPr>
      <w:r>
        <w:rPr>
          <w:rFonts w:ascii="Arial" w:cs="Arial" w:eastAsia="Arial" w:hAnsi="Arial"/>
          <w:sz w:val="16"/>
          <w:szCs w:val="16"/>
          <w:color w:val="auto"/>
        </w:rPr>
        <w:t>In March 2020, as a result of COVID-19 and the implementation of our business continuity plans, a significant portion of our employees began to provide services from their homes, or other remote locations. We augmented our endpoint security capabilities with next generation security controls including strong encryption and a secure virtual private network to access EXL or client application from these global locations. As we were unable to replicate physical controls in place at our delivery centers, we agreed with our clients to implement certain additional logical information security controls on the technology and computers issued by EXL and used by our employees while working from home, including browsers, peripherals and operating systems restrictions, as well additional monitoring from our Cyber Defense Operations Center. All employees providing services from home are required to agree to an undertaking of their compliance with our Telecommuter Policy. However, we continue to face certain risks related to cybersecurity threats in general and our modified delivery models due to COVID-19. See Part I, Item 1A, “Risk Factors” under “Risks Related to Our Business-Our business, results of operations and financial condition have been adversely affected, and could in the future be materially adversely affected, by COVID-19” and under “Risks Related to Our Industry-Unauthorized disclosure of sensitive or confidential client and employee data, whether through breach of our computer systems or otherwise, could cause us significant reputational damage, expose us to protracted and costly litigation, and cause us to lose clients.”</w:t>
      </w:r>
    </w:p>
    <w:p>
      <w:pPr>
        <w:spacing w:after="0" w:line="121"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7"/>
          <w:szCs w:val="17"/>
          <w:color w:val="auto"/>
        </w:rPr>
        <w:t>We have procured from leading global technology providers and other third parties a robust, wide area network and international telecommunications capacity to support our global business operations. Our business continuity management plans include locations, redundancy network infrastructure, power sources and other utilities to mitigate and manage operational risks as well as trained talent across our service delivery locations. These plans are documented, as well as tested on a periodic basis.</w:t>
      </w:r>
    </w:p>
    <w:p>
      <w:pPr>
        <w:spacing w:after="0" w:line="124" w:lineRule="exact"/>
        <w:rPr>
          <w:sz w:val="20"/>
          <w:szCs w:val="20"/>
          <w:color w:val="auto"/>
        </w:rPr>
      </w:pPr>
    </w:p>
    <w:p>
      <w:pPr>
        <w:jc w:val="both"/>
        <w:ind w:firstLine="384"/>
        <w:spacing w:after="0" w:line="273" w:lineRule="auto"/>
        <w:rPr>
          <w:sz w:val="20"/>
          <w:szCs w:val="20"/>
          <w:color w:val="auto"/>
        </w:rPr>
      </w:pPr>
      <w:r>
        <w:rPr>
          <w:rFonts w:ascii="Arial" w:cs="Arial" w:eastAsia="Arial" w:hAnsi="Arial"/>
          <w:sz w:val="17"/>
          <w:szCs w:val="17"/>
          <w:color w:val="auto"/>
        </w:rPr>
        <w:t>EXL has adopted a cloud-first strategy for delivering business and enterprise technology services and has developed a Unified Cloud Infrastructure that addresses requirements across our diverse businesses leveraging public cloud services. This infrastructure spans across a multi-cloud environment for data and digital led business solutions and are covered with globally established service level agreements and best practices.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78" w:lineRule="exact"/>
        <w:rPr>
          <w:sz w:val="20"/>
          <w:szCs w:val="20"/>
          <w:color w:val="auto"/>
        </w:rPr>
      </w:pPr>
    </w:p>
    <w:p>
      <w:pPr>
        <w:jc w:val="both"/>
        <w:ind w:firstLine="384"/>
        <w:spacing w:after="0" w:line="322" w:lineRule="auto"/>
        <w:rPr>
          <w:sz w:val="20"/>
          <w:szCs w:val="20"/>
          <w:color w:val="auto"/>
        </w:rPr>
      </w:pPr>
      <w:r>
        <w:rPr>
          <w:rFonts w:ascii="Arial" w:cs="Arial" w:eastAsia="Arial" w:hAnsi="Arial"/>
          <w:sz w:val="16"/>
          <w:szCs w:val="16"/>
          <w:color w:val="auto"/>
        </w:rPr>
        <w:t>At EXL, our culture is defined by our five core values: innovation, collaboration, excellence, integrity and mutual respect. In line with those values, we consider our employees to be critical to the success of our business and view employee development and growth as key to our performance and sustainability.</w:t>
      </w:r>
    </w:p>
    <w:p>
      <w:pPr>
        <w:spacing w:after="0" w:line="83" w:lineRule="exact"/>
        <w:rPr>
          <w:sz w:val="20"/>
          <w:szCs w:val="20"/>
          <w:color w:val="auto"/>
        </w:rPr>
      </w:pPr>
    </w:p>
    <w:p>
      <w:pPr>
        <w:jc w:val="both"/>
        <w:ind w:firstLine="384"/>
        <w:spacing w:after="0" w:line="273" w:lineRule="auto"/>
        <w:rPr>
          <w:sz w:val="20"/>
          <w:szCs w:val="20"/>
          <w:color w:val="auto"/>
        </w:rPr>
      </w:pPr>
      <w:r>
        <w:rPr>
          <w:rFonts w:ascii="Arial" w:cs="Arial" w:eastAsia="Arial" w:hAnsi="Arial"/>
          <w:sz w:val="17"/>
          <w:szCs w:val="17"/>
          <w:color w:val="auto"/>
        </w:rPr>
        <w:t>As of December 31, 2021, we had a headcount of approximately 37,400 employees. We had approximately 24,800 employees based in India, 8,100 employees in the Philippines, 2,300 employees in the United States, 200 employees in the United Kingdom, 400 employees in Colombia, 400 employees in the Czech Republic, Bulgaria, Romania, and 1,200 employees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South Africa and other geographies. None of our employees are unionized. We have never experienced any work stoppages and believe that we enjoy good employee relations.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Equity and Inclusion</w:t>
      </w:r>
    </w:p>
    <w:p>
      <w:pPr>
        <w:spacing w:after="0" w:line="172" w:lineRule="exact"/>
        <w:rPr>
          <w:sz w:val="20"/>
          <w:szCs w:val="20"/>
          <w:color w:val="auto"/>
        </w:rPr>
      </w:pPr>
    </w:p>
    <w:p>
      <w:pPr>
        <w:ind w:right="180" w:firstLine="393"/>
        <w:spacing w:after="0" w:line="289" w:lineRule="auto"/>
        <w:rPr>
          <w:sz w:val="20"/>
          <w:szCs w:val="20"/>
          <w:color w:val="auto"/>
        </w:rPr>
      </w:pPr>
      <w:r>
        <w:rPr>
          <w:rFonts w:ascii="Arial" w:cs="Arial" w:eastAsia="Arial" w:hAnsi="Arial"/>
          <w:sz w:val="17"/>
          <w:szCs w:val="17"/>
          <w:color w:val="auto"/>
        </w:rPr>
        <w:t>Our diversity, equity and inclusion philosophy is to create an inclusive work environment and leverage diversity to enable the organization to effectively capitalize on the differing views and contributions that each employee brings to the workplace.</w:t>
      </w:r>
    </w:p>
    <w:p>
      <w:pPr>
        <w:spacing w:after="0" w:line="10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consider diversity, equity and inclusion to be a key factor in our recruiting and retention goals and overall business growth strategy. As of December 31, 2021, of the United States reporting workforce, approximately 45.4% were racially/ethnically diverse individuals. As of December 31, 2021, our global workforce was approximately 41.0% female, with over 15,180 women employees globally.</w:t>
      </w:r>
    </w:p>
    <w:p>
      <w:pPr>
        <w:spacing w:after="0" w:line="120"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EXL is committed to providing a supportive working environment and career opportunities for our employees. Our Diversity and Inclusion Council consists of a global, diverse mix of leaders and oversees our diversity, equity and inclusion program. We provide trainings to our employees on topics aimed at improving diversity, equity and inclusion, such as managing unconscious bias, and have formed employee resource groups for select employee communities that are aimed at supporting diverse groups and interests. For our female employees, EXL has several programs to promote career advancement, including leadership development for women at the mid- to senior- levels, a separate program to improve the retention and engagement of new mothers through employee friendly parental leave and similar policies, and our WE (Women at EXL) platform, which is designed to enable women at EXL advance their career and achieve professional growth through discussion, collaboration, networking, training, development and mentorship opportunities.</w:t>
      </w:r>
    </w:p>
    <w:p>
      <w:pPr>
        <w:spacing w:after="0" w:line="118" w:lineRule="exact"/>
        <w:rPr>
          <w:sz w:val="20"/>
          <w:szCs w:val="20"/>
          <w:color w:val="auto"/>
        </w:rPr>
      </w:pPr>
    </w:p>
    <w:p>
      <w:pPr>
        <w:ind w:right="1020" w:firstLine="393"/>
        <w:spacing w:after="0" w:line="450" w:lineRule="auto"/>
        <w:rPr>
          <w:sz w:val="20"/>
          <w:szCs w:val="20"/>
          <w:color w:val="auto"/>
        </w:rPr>
      </w:pPr>
      <w:r>
        <w:rPr>
          <w:rFonts w:ascii="Arial" w:cs="Arial" w:eastAsia="Arial" w:hAnsi="Arial"/>
          <w:sz w:val="17"/>
          <w:szCs w:val="17"/>
          <w:color w:val="auto"/>
        </w:rPr>
        <w:t xml:space="preserve">In addition, we maintain a supplier diversity program in the United States designed to provide opportunities for qualified diverse businesses. </w:t>
      </w:r>
      <w:r>
        <w:rPr>
          <w:rFonts w:ascii="Arial" w:cs="Arial" w:eastAsia="Arial" w:hAnsi="Arial"/>
          <w:sz w:val="17"/>
          <w:szCs w:val="17"/>
          <w:b w:val="1"/>
          <w:bCs w:val="1"/>
          <w:i w:val="1"/>
          <w:iCs w:val="1"/>
          <w:color w:val="auto"/>
        </w:rPr>
        <w:t>Recruiting, Developing and Engaging our Employees</w:t>
      </w:r>
    </w:p>
    <w:p>
      <w:pPr>
        <w:spacing w:after="0" w:line="1"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7"/>
          <w:szCs w:val="17"/>
          <w:color w:val="auto"/>
        </w:rPr>
        <w:t>We have an integrated talent management framework that employs active collaboration between our recruitment, capability development and business human resource functions. We deploy innovative methods to recruit, train and retain our skilled employees. We focus on recruiting the right talent and developing them further on relevant competencies through our learning academies, rigorous promotion standards, client and industry specific training and competitive compensation packages that include incentive-based compensation. We are able to leverage shared resources across our services through personnel who have skill sets applicable to a wide variety of data, digital, cloud and AI/ML services. We also have specialized experts in various domains, who develop specialization in our chosen industries and subject matters through our training academies. We have established a comprehensive set of practices, processes and programs, which have made learning easily accessible, collaborative and embedded in workflows. Our employees can now participate in trainings and upskilling virtually. Our employee relations function helps us to understand our employees’ needs, concerns and interests, so that we can respond to specific needs and concerns as they arise.</w:t>
      </w:r>
    </w:p>
    <w:p>
      <w:pPr>
        <w:spacing w:after="0" w:line="132" w:lineRule="exact"/>
        <w:rPr>
          <w:sz w:val="20"/>
          <w:szCs w:val="20"/>
          <w:color w:val="auto"/>
        </w:rPr>
      </w:pPr>
    </w:p>
    <w:p>
      <w:pPr>
        <w:jc w:val="both"/>
        <w:ind w:firstLine="384"/>
        <w:spacing w:after="0" w:line="281" w:lineRule="auto"/>
        <w:rPr>
          <w:sz w:val="20"/>
          <w:szCs w:val="20"/>
          <w:color w:val="auto"/>
        </w:rPr>
      </w:pPr>
      <w:r>
        <w:rPr>
          <w:rFonts w:ascii="Arial" w:cs="Arial" w:eastAsia="Arial" w:hAnsi="Arial"/>
          <w:sz w:val="16"/>
          <w:szCs w:val="16"/>
          <w:color w:val="auto"/>
        </w:rPr>
        <w:t>We focus on recruiting, training and retaining our professionals. We have developed effective strategies that enable an efficient recruitment process. The recruitment and training process evolved to an online model in 2020 and continued in 2021. We have over 100 employees dedicated to recruitment. Some of the strategies we have adopted to increase efficiency in our hiring practices include AI/ML-based intelligent screening mechanisms, remotely proctored online techniques and automated trainings. Our hiring policies focus on identifying high quality employees who demonstrate a propensity for learning, contribution to client services and growth. Candidates must undergo numerous tests and video interviews, in 2021, before we extend offers for employment. We also conduct background checks on candidates, including criminal background checks, where permitted and as required by clients. In 2020 and continued in 2021, as a result of COVID-19, much of our recruiting and training of new hires was conducted virtually.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Benefits and Experience</w:t>
      </w:r>
    </w:p>
    <w:p>
      <w:pPr>
        <w:spacing w:after="0" w:line="172" w:lineRule="exact"/>
        <w:rPr>
          <w:sz w:val="20"/>
          <w:szCs w:val="20"/>
          <w:color w:val="auto"/>
        </w:rPr>
      </w:pPr>
    </w:p>
    <w:p>
      <w:pPr>
        <w:jc w:val="both"/>
        <w:ind w:firstLine="384"/>
        <w:spacing w:after="0" w:line="303" w:lineRule="auto"/>
        <w:rPr>
          <w:sz w:val="20"/>
          <w:szCs w:val="20"/>
          <w:color w:val="auto"/>
        </w:rPr>
      </w:pPr>
      <w:r>
        <w:rPr>
          <w:rFonts w:ascii="Arial" w:cs="Arial" w:eastAsia="Arial" w:hAnsi="Arial"/>
          <w:sz w:val="15"/>
          <w:szCs w:val="15"/>
          <w:color w:val="auto"/>
        </w:rPr>
        <w:t>We offer our employees competitive compensation packages that include incentive-based compensation and offer a variety of benefits that vary by facility, including free transport to and from home in certain circumstances, subsidized meals and free access to recreational facilities that are located within some of our operations centers. In 2020 and 2021, given COVID-19, we implemented several new measures to support our employees while working from home, including regular Company-wide town hall meetings, as well as promoting smaller virtual video-based team building activities, and a renewed employee wellness program, made up of specialists such as counselors, physicians and fitness instructors. We also took a number of COVID-19 safety measures, such as chartering a senior management-led Pandemic Management Task Force that is charged with ensuring the safety of our employees and adherence to government guidelines in each of the geographies where we operate, and publishing guidelines for our employees on quarantine protocols, enhanced testing and tracking measures for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those of our employees who are unable to work remotely due to the nature of their jobs, and providing an additional four weeks of leave for those of our employees who become ill, and additional two weeks of leave for those of our employees who have to care for family members who become ill, and approved salary advances for those employees. We also took actions in response to the pandemic that focused on helping our employees. In the geographies most affected by the recent COVID-19 variants, these actions included healthcare support including securing and administering vaccines for our employees, facilitating our employees’ access to medical equipment, providing ambulance services and online medical consultations, extending medical insurance to our employees’ family members and enhancing the dollar value of such coverage. We also instituted a one-time employee compensation payment to beneficiaries of employees, facilitated voluntary contributions from our clients and employees to support the family members of deceased employees and provide financial support for their children's education.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Capability Development</w:t>
      </w:r>
    </w:p>
    <w:p>
      <w:pPr>
        <w:spacing w:after="0" w:line="172" w:lineRule="exact"/>
        <w:rPr>
          <w:sz w:val="20"/>
          <w:szCs w:val="20"/>
          <w:color w:val="auto"/>
        </w:rPr>
      </w:pPr>
    </w:p>
    <w:p>
      <w:pPr>
        <w:jc w:val="both"/>
        <w:ind w:firstLine="384"/>
        <w:spacing w:after="0" w:line="280" w:lineRule="auto"/>
        <w:rPr>
          <w:sz w:val="20"/>
          <w:szCs w:val="20"/>
          <w:color w:val="auto"/>
        </w:rPr>
      </w:pPr>
      <w:r>
        <w:rPr>
          <w:rFonts w:ascii="Arial" w:cs="Arial" w:eastAsia="Arial" w:hAnsi="Arial"/>
          <w:sz w:val="16"/>
          <w:szCs w:val="16"/>
          <w:color w:val="auto"/>
        </w:rPr>
        <w:t>We maintain a strong focus on capability development, with an emphasis on digital transformation and domain expertise. Our talent development strategy is comprehensive, aligned to overall business strategy and founded on three pillars: Digital Leadership, Digital Technologies &amp; Methodologies, and Digital Culture &amp; Mindset. Digital Leadership is the ability to partner with clients on digital operations and solutions end-to-end, from strategy to execution. Digital Technologies &amp; Methodologies develops expertise around the specific technologies, tools, and frameworks required to successfully execute projects for our clients. Digital Culture and Mindset is all about creating the right DNA for high performance in a digital economy. This includes developing traits of agility and speed, creating a culture of innovation and collaboration, and fostering a mindset to reimagine and think beyond. Digital culture also builds the foundation of self-learning and spurs the desire for change amongst all our employees. We create thought leaders with high industry acumen who are better able to address our clients’ requirements. We also provide a career-linked learning path to our employees from new hires to tenured employees to senior levels of leadership.</w:t>
      </w:r>
    </w:p>
    <w:p>
      <w:pPr>
        <w:spacing w:after="0" w:line="119" w:lineRule="exact"/>
        <w:rPr>
          <w:sz w:val="20"/>
          <w:szCs w:val="20"/>
          <w:color w:val="auto"/>
        </w:rPr>
      </w:pPr>
    </w:p>
    <w:p>
      <w:pPr>
        <w:jc w:val="both"/>
        <w:ind w:firstLine="384"/>
        <w:spacing w:after="0" w:line="283" w:lineRule="auto"/>
        <w:rPr>
          <w:sz w:val="20"/>
          <w:szCs w:val="20"/>
          <w:color w:val="auto"/>
        </w:rPr>
      </w:pPr>
      <w:r>
        <w:rPr>
          <w:rFonts w:ascii="Arial" w:cs="Arial" w:eastAsia="Arial" w:hAnsi="Arial"/>
          <w:sz w:val="16"/>
          <w:szCs w:val="16"/>
          <w:color w:val="auto"/>
        </w:rPr>
        <w:t>Our domain academies focus on building domain expertise through certifications and specialization. These include our Insurance Academy, Travel Academy, Finance and Accounting Academy, Healthcare Academy, Analytics Academy, Utilities Academy, Consulting Academy and Digital Academy. These domain academies focus on achieving excellence and developing skill sets that can be used across the different domains. Our training includes behavioral and functional components to enhance and ensure job readiness as well as also boosting ongoing productivity and effectiveness. We also focus on promoting better diversity, equity and inclusion through our training programs. We have a global presence catering to the specific learning requirements of each geography. We provide learning through our blended learning methodology comprising of virtual, classroom, on the job coaching and technology led learning.</w:t>
      </w:r>
    </w:p>
    <w:p>
      <w:pPr>
        <w:spacing w:after="0" w:line="101" w:lineRule="exact"/>
        <w:rPr>
          <w:sz w:val="20"/>
          <w:szCs w:val="20"/>
          <w:color w:val="auto"/>
        </w:rPr>
      </w:pPr>
    </w:p>
    <w:p>
      <w:pPr>
        <w:jc w:val="both"/>
        <w:ind w:firstLine="384"/>
        <w:spacing w:after="0" w:line="237" w:lineRule="auto"/>
        <w:rPr>
          <w:sz w:val="20"/>
          <w:szCs w:val="20"/>
          <w:color w:val="auto"/>
        </w:rPr>
      </w:pPr>
      <w:r>
        <w:rPr>
          <w:rFonts w:ascii="Arial" w:cs="Arial" w:eastAsia="Arial" w:hAnsi="Arial"/>
          <w:sz w:val="17"/>
          <w:szCs w:val="17"/>
          <w:color w:val="auto"/>
        </w:rPr>
        <w:t>Our new capability development digital ecosystem, EXL Infinity, drives learning from anywhere, anytime, any device. Objective is to harness the collective knowledge base of the Company, drive a culture continuous self-learning, and promote knowledge sharing and learning collaboration. EXL Infinity has over 565,000 learning engagement activities. We have added several new capability development interventions this year on an array of topics, including leadership and team building, diversity and inclusion, and the cloud.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Retention</w:t>
      </w:r>
    </w:p>
    <w:p>
      <w:pPr>
        <w:spacing w:after="0" w:line="159"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Our attrition rate for employees who had been with EXL for more than 180 days was 28.3% and 23.4% for the years ended December 31, 2021 and 2020, respectively. The attrition rate in 2020 was lower than our historical average due to the global pandemic, and the attrition rate in 2021 increased from 2020 but remained lower than historical average. It is difficult to estimate the attrition rate in 2022 at this time. As competition in our industry increases, our turnover rate could increase. See Part I, Item 1A, “Risk Factors” under “Risks Related to Our Business-We may fail to attract and retain enough sufficiently trained employees to support our operations, as competition for highly skilled personnel is intense and we experience significant employee turnover rates, which may result in loss of revenue and an inability to expand our business.” and “Employee wage increases may prevent us from sustaining our competitive advantage and may reduce our profit margin.”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Social and Governance Strategy</w:t>
      </w:r>
    </w:p>
    <w:p>
      <w:pPr>
        <w:spacing w:after="0" w:line="178"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 world we work and live in is powered by innovation. We believe success in such a world will come through passing along social goods to the communities in which we operate, and ensuring that we conduct our operations in a sustainable and safe manner. These initiatives reflect our core values and will make us a stronger, more impactful organization to work for and allow us to deliver exceptional results for our clients, employees, communities and stockholders.</w:t>
      </w:r>
    </w:p>
    <w:p>
      <w:pPr>
        <w:spacing w:after="0" w:line="124"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Our most recent Sustainability Report is available on the Company’s website. The information contained on the Company’s website is not included in, or incorporated by reference into, this Annual Report on Form 10-K.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Community Activities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EXL finds meaningful ways to help the communities in which we operate. Our community activities focus on passing along the skills that our employees use in our operations to members of the communities in which we operate to help transform lives. On our own, with outside partners, and in partnership with our clients, we support market-relevant skill development and education initiatives, disaster relief efforts, and global health initiatives. These programs align with the expectations clients have of service providers, and benefit our other stakeholders. In 2021, we continued many of these activities virtually. Examples of our programs include:</w:t>
      </w:r>
    </w:p>
    <w:p>
      <w:pPr>
        <w:spacing w:after="0" w:line="127" w:lineRule="exact"/>
        <w:rPr>
          <w:sz w:val="20"/>
          <w:szCs w:val="20"/>
          <w:color w:val="auto"/>
        </w:rPr>
      </w:pPr>
    </w:p>
    <w:p>
      <w:pPr>
        <w:jc w:val="both"/>
        <w:ind w:left="640" w:hanging="320"/>
        <w:spacing w:after="0" w:line="273"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Skills to Win Initiative: This skill development initiative provides participants from communities in which we operate with market-relevant skills, including foundational employability skills required for back-office roles, as well as courses on topics including finance and accounting, data and analytics, and digital skills. This initiative also offers placement assistance to successfully trained participants.</w:t>
      </w:r>
    </w:p>
    <w:p>
      <w:pPr>
        <w:spacing w:after="0" w:line="119"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Education as a Foundation Initiative: This classroom-based initiative currently delivered through online and offline learning platforms provides school-aged students from communities in which we operate with data and analytics skills and career guidance.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Health and Safety</w:t>
      </w:r>
    </w:p>
    <w:p>
      <w:pPr>
        <w:spacing w:after="0" w:line="172" w:lineRule="exact"/>
        <w:rPr>
          <w:sz w:val="20"/>
          <w:szCs w:val="20"/>
          <w:color w:val="auto"/>
        </w:rPr>
      </w:pPr>
    </w:p>
    <w:p>
      <w:pPr>
        <w:jc w:val="both"/>
        <w:ind w:firstLine="393"/>
        <w:spacing w:after="0" w:line="301" w:lineRule="auto"/>
        <w:rPr>
          <w:sz w:val="20"/>
          <w:szCs w:val="20"/>
          <w:color w:val="auto"/>
        </w:rPr>
      </w:pPr>
      <w:r>
        <w:rPr>
          <w:rFonts w:ascii="Arial" w:cs="Arial" w:eastAsia="Arial" w:hAnsi="Arial"/>
          <w:sz w:val="15"/>
          <w:szCs w:val="15"/>
          <w:color w:val="auto"/>
        </w:rPr>
        <w:t>We strive to continuously improve in the area of environmental, health and safety initiatives (“EHS”), with a focus on reducing our carbon footprint, energy conservation, waste minimization, green infrastructure and operations. Our EHS team tracks and assesses our progress with respect to key performance indicators for energy, greenhouse gas emissions, and water and waste generation targets annually. We have also established Company-wide and worksite-specific workplace safety objectives that are integrated into our EHS Management System. We believe that these measures will also help us in sustainable development efforts. Where practical, we seek to integrate EHS with our business activities, focusing on conducting our activities in an environmentally responsible manner and ensuring the health and safety of the Company’s employees, contractors, customers, visitors and the communities where the Company operates. In addition, we seek to maintain a responsible supply chain by stating our expectations for all of our vendors in our Supplier Standards of Conduct, and through background verifications for new suppliers with respect to policies and performance on human rights, labor rights and environmental issues.</w:t>
      </w:r>
    </w:p>
    <w:p>
      <w:pPr>
        <w:spacing w:after="0" w:line="92" w:lineRule="exact"/>
        <w:rPr>
          <w:sz w:val="20"/>
          <w:szCs w:val="20"/>
          <w:color w:val="auto"/>
        </w:rPr>
      </w:pPr>
    </w:p>
    <w:p>
      <w:pPr>
        <w:jc w:val="both"/>
        <w:ind w:firstLine="393"/>
        <w:spacing w:after="0" w:line="233" w:lineRule="auto"/>
        <w:rPr>
          <w:sz w:val="20"/>
          <w:szCs w:val="20"/>
          <w:color w:val="auto"/>
        </w:rPr>
      </w:pPr>
      <w:r>
        <w:rPr>
          <w:rFonts w:ascii="Arial" w:cs="Arial" w:eastAsia="Arial" w:hAnsi="Arial"/>
          <w:sz w:val="17"/>
          <w:szCs w:val="17"/>
          <w:color w:val="auto"/>
        </w:rPr>
        <w:t>All of our delivery centers worldwide are currently ISO 45001:2018 certified, meeting international standards for occupational health and safety, and all of our delivery centers in India and the Philippines are ISO 14001:2015 certified, meeting international standards for effective environmental management systems. We have begun the ISO 14001:2015 certification process for our delivery centers in Colombia, Europe, South Africa and the U.K. In 2021, we received the COVID-19 assurance statement from the British Safety Council for all of our delivery centers worldwide having appropriate health and safety protocols in place for the return to work of our employees. While we expect to maintain these certifications and standards, there may be changes to our delivery centers or applicable rules or standards that could affect such certifications and standards.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78" w:lineRule="exact"/>
        <w:rPr>
          <w:sz w:val="20"/>
          <w:szCs w:val="20"/>
          <w:color w:val="auto"/>
        </w:rPr>
      </w:pPr>
    </w:p>
    <w:p>
      <w:pPr>
        <w:jc w:val="both"/>
        <w:ind w:firstLine="384"/>
        <w:spacing w:after="0" w:line="273" w:lineRule="auto"/>
        <w:rPr>
          <w:sz w:val="20"/>
          <w:szCs w:val="20"/>
          <w:color w:val="auto"/>
        </w:rPr>
      </w:pPr>
      <w:r>
        <w:rPr>
          <w:rFonts w:ascii="Arial" w:cs="Arial" w:eastAsia="Arial" w:hAnsi="Arial"/>
          <w:sz w:val="17"/>
          <w:szCs w:val="17"/>
          <w:color w:val="auto"/>
        </w:rPr>
        <w:t>Our operations are subject to rules, regulations and statutes in the countries where we have operations and where we deliver services as a result of the diverse and complex nature of our service offerings. More often, however, our clients contractually require that we comply with certain rules and regulations applicable to their specific industries.</w:t>
      </w:r>
    </w:p>
    <w:p>
      <w:pPr>
        <w:spacing w:after="0" w:line="120"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color w:val="auto"/>
        </w:rPr>
        <w:t>We provide third-party administrator insurance services from India and the Philippines and are currently able to provide such services in the United States for 49 states and 48 states (and the District of Columbia), respectively by location. Additionally, our subsidiary in the Philippines is able to provide utilization review services in the United States for 44 states (and the District of Columbia). Further, through domestic subsidiaries, we are licensed or otherwise eligible to provide third-party administrator services in all states within the United States, as well as utilization review</w:t>
      </w:r>
      <w:r>
        <w:rPr>
          <w:rFonts w:ascii="Arial" w:cs="Arial" w:eastAsia="Arial" w:hAnsi="Arial"/>
          <w:sz w:val="16"/>
          <w:szCs w:val="16"/>
          <w:color w:val="1F497D"/>
        </w:rPr>
        <w:t>,</w:t>
      </w:r>
      <w:r>
        <w:rPr>
          <w:rFonts w:ascii="Arial" w:cs="Arial" w:eastAsia="Arial" w:hAnsi="Arial"/>
          <w:sz w:val="16"/>
          <w:szCs w:val="16"/>
          <w:color w:val="auto"/>
        </w:rPr>
        <w:t xml:space="preserve"> insurance adjuster, and insurance producer services in select states. We maintain licenses in various jurisdictions (or require certain categories of our professionals to be individually licensed) in service areas such as debt collection, utilization review, workers’ compensation utilization review, insurance adjuster, mortgage loan processing and underwriting, and telemarketing services. Our facilities in the Philippines, as well as one domestic subsidiary, are accredited by the Utilization Review Accreditation Commission (URAC) and National Committee for Quality Assurance (NCQA), the leading healthcare and education accreditation organizations. We continue to obtain licenses and accreditations required from time to time by our business operations.</w:t>
      </w:r>
    </w:p>
    <w:p>
      <w:pPr>
        <w:spacing w:after="0" w:line="121" w:lineRule="exact"/>
        <w:rPr>
          <w:sz w:val="20"/>
          <w:szCs w:val="20"/>
          <w:color w:val="auto"/>
        </w:rPr>
      </w:pPr>
    </w:p>
    <w:p>
      <w:pPr>
        <w:jc w:val="both"/>
        <w:ind w:firstLine="384"/>
        <w:spacing w:after="0" w:line="273" w:lineRule="auto"/>
        <w:rPr>
          <w:sz w:val="20"/>
          <w:szCs w:val="20"/>
          <w:color w:val="auto"/>
        </w:rPr>
      </w:pPr>
      <w:r>
        <w:rPr>
          <w:rFonts w:ascii="Arial" w:cs="Arial" w:eastAsia="Arial" w:hAnsi="Arial"/>
          <w:sz w:val="17"/>
          <w:szCs w:val="17"/>
          <w:color w:val="auto"/>
        </w:rPr>
        <w:t>Our operations are also subject to compliance with a variety of other laws, including U.S. federal and state regulations that apply to certain portions of our business. See Part I, Item 1A, “Risk Factors” under “Risks Related to Our Business-Failure to adhere to the regulations or accreditation or licensing standards that govern our business could have an adverse impact on our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operations,” and under “General Risk Factors-Our global operations expose us to numerous and sometimes conflicting legal and regulatory requirements, and violations of these regulations could harm our business.”</w:t>
      </w:r>
    </w:p>
    <w:p>
      <w:pPr>
        <w:spacing w:after="0" w:line="106" w:lineRule="exact"/>
        <w:rPr>
          <w:sz w:val="20"/>
          <w:szCs w:val="20"/>
          <w:color w:val="auto"/>
        </w:rPr>
      </w:pPr>
    </w:p>
    <w:p>
      <w:pPr>
        <w:jc w:val="both"/>
        <w:ind w:firstLine="384"/>
        <w:spacing w:after="0" w:line="280" w:lineRule="auto"/>
        <w:rPr>
          <w:sz w:val="20"/>
          <w:szCs w:val="20"/>
          <w:color w:val="auto"/>
        </w:rPr>
      </w:pPr>
      <w:r>
        <w:rPr>
          <w:rFonts w:ascii="Arial" w:cs="Arial" w:eastAsia="Arial" w:hAnsi="Arial"/>
          <w:sz w:val="16"/>
          <w:szCs w:val="16"/>
          <w:color w:val="auto"/>
        </w:rPr>
        <w:t>We benefit from tax relief provided by laws and regulations in India and the Philippines from time to time. Regulation of our business by the Indian government affects us in several ways. During the last several years, we either established or acquired new centers that were eligible for tax benefits under the Special Economic Zones Act, 2005 (the “SEZ Act”). Income tax exemption for new SEZ units was applicable only for units that started commercial operations on or before June 30, 2020. In 2019, the Government of India introduced a new tax regime for certain Indian companies by enacting the Taxation Laws (Amendment) Act, 2019. The new tax regime is optional and provides for a lower tax rate for Indian companies, subject to agreeing to certain conditions, which, among other things, include not taking advantage of benefits from any tax holidays associated with SEZs and certain other tax incentives. Once a company has opted in to the new tax regime, it may not in the future opt out. During 2019 and 2020, our Indian subsidiaries opted into this new tax regime and accordingly gave up the tax exemption associated with SEZs that were used prior to opting in.</w:t>
      </w:r>
    </w:p>
    <w:p>
      <w:pPr>
        <w:spacing w:after="0" w:line="119" w:lineRule="exact"/>
        <w:rPr>
          <w:sz w:val="20"/>
          <w:szCs w:val="20"/>
          <w:color w:val="auto"/>
        </w:rPr>
      </w:pPr>
    </w:p>
    <w:p>
      <w:pPr>
        <w:jc w:val="both"/>
        <w:ind w:firstLine="384"/>
        <w:spacing w:after="0" w:line="273" w:lineRule="auto"/>
        <w:rPr>
          <w:sz w:val="20"/>
          <w:szCs w:val="20"/>
          <w:color w:val="auto"/>
        </w:rPr>
      </w:pPr>
      <w:r>
        <w:rPr>
          <w:rFonts w:ascii="Arial" w:cs="Arial" w:eastAsia="Arial" w:hAnsi="Arial"/>
          <w:sz w:val="17"/>
          <w:szCs w:val="17"/>
          <w:color w:val="auto"/>
        </w:rPr>
        <w:t>See Part I, Item 1A, “Risk Factors” under “Risks Related to the International Nature of Our Business-Our financial condition could be negatively affected if foreign governments introduces new legislation, reduce or withdraw tax benefits and other incentives currently provided to companies within our industry or if we are not eligible for these benefits.”</w:t>
      </w:r>
    </w:p>
    <w:p>
      <w:pPr>
        <w:spacing w:after="0" w:line="120"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7"/>
          <w:szCs w:val="17"/>
          <w:color w:val="auto"/>
        </w:rPr>
        <w:t>We also benefitted from a corporate tax holiday in the Philippines for some of our operations centers established there over the last several years. The Company registered with the Philippines Economic Zone Authority (“PEZA”) and is therefore eligible for income tax exemption for four years. We anticipate establishing additional operations centers in PEZA or other tax advantaged locations in the future. This exemption incentive may be extended in certain instances upon fulfillment of certain conditions. Following the expiry of the tax exemption, income generated from centers in the Philippines will be taxed at the prevailing annual tax rate. Philippines Fiscal Incentives Review Board recently issued guideline that allows PEZA registered units to work-from-home (WFH) with certain maximum thresholds. We are managing our business in accordance with the guidelines, however, if the prescribed thresholds are not met, it may adversely affect our income tax rate.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8"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(the “SEC”) under the Securities Exchange Act of 1934, as amended (the “Exchange Act”). The SEC maintains a website (http://www.sec.gov) that contains reports, proxy and information statements, and other information regarding issuers that file electronically through the EDGAR System. You may access the information filed by us with the SEC by visiting its website.</w:t>
      </w:r>
    </w:p>
    <w:p>
      <w:pPr>
        <w:spacing w:after="0" w:line="124" w:lineRule="exact"/>
        <w:rPr>
          <w:sz w:val="20"/>
          <w:szCs w:val="20"/>
          <w:color w:val="auto"/>
        </w:rPr>
      </w:pPr>
    </w:p>
    <w:p>
      <w:pPr>
        <w:jc w:val="both"/>
        <w:ind w:firstLine="384"/>
        <w:spacing w:after="0" w:line="264" w:lineRule="auto"/>
        <w:rPr>
          <w:sz w:val="20"/>
          <w:szCs w:val="20"/>
          <w:color w:val="auto"/>
        </w:rPr>
      </w:pPr>
      <w:r>
        <w:rPr>
          <w:rFonts w:ascii="Arial" w:cs="Arial" w:eastAsia="Arial" w:hAnsi="Arial"/>
          <w:sz w:val="17"/>
          <w:szCs w:val="17"/>
          <w:color w:val="auto"/>
        </w:rPr>
        <w:t>We also maintain a website at http://www.exlservice.com. Information on our website does not constitute a part of, nor is it incorporated in any way, into this Form 10-K or any other report we file with or furnish to the SEC.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 Our website also includes announcements of investor conferences and events, information on our business strategies and results, corporate governance information, and other news and announcements that investors might find useful or interesting.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Summary of Material Risk Factors</w:t>
      </w:r>
    </w:p>
    <w:p>
      <w:pPr>
        <w:spacing w:after="0" w:line="172"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following is a summary of some of the risks and uncertainties that could materially adversely affect our business, financial condition and results of operations and could make an investment in our Company speculative or risky. You should be aware that these risk factors and other information may not describe every risk facing our Company. Additional risks and uncertainties not currently known to us may also materially adversely affect our business, financial condition and/or results of operations. You should read this summary together with the more detailed description of each risk factor contained below. Some of these material risks include: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Our Business</w:t>
      </w:r>
    </w:p>
    <w:p>
      <w:pPr>
        <w:spacing w:after="0" w:line="172" w:lineRule="exact"/>
        <w:rPr>
          <w:sz w:val="20"/>
          <w:szCs w:val="20"/>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been adversely affected, and could in the future be materially adversely affected, by COVID-19.</w:t>
      </w:r>
    </w:p>
    <w:p>
      <w:pPr>
        <w:spacing w:after="0" w:line="171" w:lineRule="exact"/>
        <w:rPr>
          <w:rFonts w:ascii="Arial" w:cs="Arial" w:eastAsia="Arial" w:hAnsi="Arial"/>
          <w:sz w:val="17"/>
          <w:szCs w:val="17"/>
          <w:color w:val="auto"/>
        </w:rPr>
      </w:pPr>
    </w:p>
    <w:p>
      <w:pPr>
        <w:ind w:left="560" w:hanging="240"/>
        <w:spacing w:after="0"/>
        <w:tabs>
          <w:tab w:leader="none" w:pos="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earn a substantial portion of our revenues from a limited number of clients.</w:t>
      </w:r>
    </w:p>
    <w:p>
      <w:pPr>
        <w:spacing w:after="0" w:line="171" w:lineRule="exact"/>
        <w:rPr>
          <w:rFonts w:ascii="Arial" w:cs="Arial" w:eastAsia="Arial" w:hAnsi="Arial"/>
          <w:sz w:val="17"/>
          <w:szCs w:val="17"/>
          <w:color w:val="auto"/>
        </w:rPr>
      </w:pPr>
    </w:p>
    <w:p>
      <w:pPr>
        <w:ind w:left="560" w:hanging="240"/>
        <w:spacing w:after="0"/>
        <w:tabs>
          <w:tab w:leader="none" w:pos="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client contracts contain certain termination and other provisions that could have an adverse effect on us.</w:t>
      </w:r>
    </w:p>
    <w:p>
      <w:pPr>
        <w:spacing w:after="0" w:line="171" w:lineRule="exact"/>
        <w:rPr>
          <w:rFonts w:ascii="Arial" w:cs="Arial" w:eastAsia="Arial" w:hAnsi="Arial"/>
          <w:sz w:val="17"/>
          <w:szCs w:val="17"/>
          <w:color w:val="auto"/>
        </w:rPr>
      </w:pPr>
    </w:p>
    <w:p>
      <w:pPr>
        <w:ind w:left="640" w:hanging="320"/>
        <w:spacing w:after="0" w:line="289" w:lineRule="auto"/>
        <w:tabs>
          <w:tab w:leader="none" w:pos="591"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often have a long selling and implementation cycle for our digital operations and solutions that requires significant funds, management bandwidth and resource commitments, and, once engaged, it may take several months before we start to recognize significant revenues.</w:t>
      </w:r>
    </w:p>
    <w:p>
      <w:pPr>
        <w:spacing w:after="0" w:line="106" w:lineRule="exact"/>
        <w:rPr>
          <w:rFonts w:ascii="Arial" w:cs="Arial" w:eastAsia="Arial" w:hAnsi="Arial"/>
          <w:sz w:val="17"/>
          <w:szCs w:val="17"/>
          <w:color w:val="auto"/>
        </w:rPr>
      </w:pPr>
    </w:p>
    <w:p>
      <w:pPr>
        <w:ind w:left="560" w:hanging="240"/>
        <w:spacing w:after="0"/>
        <w:tabs>
          <w:tab w:leader="none" w:pos="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failure to accurately estimate the resources and time required for our contracts may negatively affect us.</w:t>
      </w:r>
    </w:p>
    <w:p>
      <w:pPr>
        <w:spacing w:after="0" w:line="171" w:lineRule="exact"/>
        <w:rPr>
          <w:rFonts w:ascii="Arial" w:cs="Arial" w:eastAsia="Arial" w:hAnsi="Arial"/>
          <w:sz w:val="17"/>
          <w:szCs w:val="17"/>
          <w:color w:val="auto"/>
        </w:rPr>
      </w:pPr>
    </w:p>
    <w:p>
      <w:pPr>
        <w:ind w:left="640" w:hanging="320"/>
        <w:spacing w:after="0" w:line="289" w:lineRule="auto"/>
        <w:tabs>
          <w:tab w:leader="none" w:pos="599"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profitability will suffer if we are not able to price our services appropriately or manage our asset utilization levels or meet the changing demands and needs of our clients and potential clients.</w:t>
      </w:r>
    </w:p>
    <w:p>
      <w:pPr>
        <w:spacing w:after="0" w:line="184" w:lineRule="exact"/>
        <w:rPr>
          <w:rFonts w:ascii="Arial" w:cs="Arial" w:eastAsia="Arial" w:hAnsi="Arial"/>
          <w:sz w:val="17"/>
          <w:szCs w:val="17"/>
          <w:color w:val="auto"/>
        </w:rPr>
      </w:pPr>
    </w:p>
    <w:p>
      <w:pPr>
        <w:ind w:left="560" w:hanging="240"/>
        <w:spacing w:after="0"/>
        <w:tabs>
          <w:tab w:leader="none" w:pos="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 of one or more members of our senior management team could harm our business.</w:t>
      </w:r>
    </w:p>
    <w:p>
      <w:pPr>
        <w:spacing w:after="0" w:line="171" w:lineRule="exact"/>
        <w:rPr>
          <w:rFonts w:ascii="Arial" w:cs="Arial" w:eastAsia="Arial" w:hAnsi="Arial"/>
          <w:sz w:val="17"/>
          <w:szCs w:val="17"/>
          <w:color w:val="auto"/>
        </w:rPr>
      </w:pPr>
    </w:p>
    <w:p>
      <w:pPr>
        <w:ind w:left="640" w:hanging="320"/>
        <w:spacing w:after="0" w:line="289" w:lineRule="auto"/>
        <w:tabs>
          <w:tab w:leader="none" w:pos="562"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fail to attract and retain enough sufficiently trained employees to support our operations and we experience significant employee turnover rates, which may adversely affect us.</w:t>
      </w:r>
    </w:p>
    <w:p>
      <w:pPr>
        <w:spacing w:after="0" w:line="106" w:lineRule="exact"/>
        <w:rPr>
          <w:rFonts w:ascii="Arial" w:cs="Arial" w:eastAsia="Arial" w:hAnsi="Arial"/>
          <w:sz w:val="17"/>
          <w:szCs w:val="17"/>
          <w:color w:val="auto"/>
        </w:rPr>
      </w:pPr>
    </w:p>
    <w:p>
      <w:pPr>
        <w:ind w:left="560" w:hanging="240"/>
        <w:spacing w:after="0"/>
        <w:tabs>
          <w:tab w:leader="none" w:pos="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Employee wage increases may prevent us from sustaining our competitive advantage and may reduce our profit margin.</w:t>
      </w:r>
    </w:p>
    <w:p>
      <w:pPr>
        <w:spacing w:after="0" w:line="171" w:lineRule="exact"/>
        <w:rPr>
          <w:rFonts w:ascii="Arial" w:cs="Arial" w:eastAsia="Arial" w:hAnsi="Arial"/>
          <w:sz w:val="17"/>
          <w:szCs w:val="17"/>
          <w:color w:val="auto"/>
        </w:rPr>
      </w:pPr>
    </w:p>
    <w:p>
      <w:pPr>
        <w:ind w:left="560" w:hanging="240"/>
        <w:spacing w:after="0"/>
        <w:tabs>
          <w:tab w:leader="none" w:pos="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engage in strategic acquisitions or transactions, which could have a material adverse effect on us.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the International Nature of Our Business</w:t>
      </w:r>
    </w:p>
    <w:p>
      <w:pPr>
        <w:spacing w:after="0" w:line="172" w:lineRule="exact"/>
        <w:rPr>
          <w:sz w:val="20"/>
          <w:szCs w:val="20"/>
          <w:color w:val="auto"/>
        </w:rPr>
      </w:pPr>
    </w:p>
    <w:p>
      <w:pPr>
        <w:ind w:left="64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are subject to labor and employment laws across jurisdictions and if more stringent labor laws become applicable to us or if our employees unionize, our profitability may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Our Indebtedness</w:t>
      </w:r>
    </w:p>
    <w:p>
      <w:pPr>
        <w:spacing w:after="0" w:line="172" w:lineRule="exact"/>
        <w:rPr>
          <w:sz w:val="20"/>
          <w:szCs w:val="20"/>
          <w:color w:val="auto"/>
        </w:rPr>
      </w:pPr>
    </w:p>
    <w:p>
      <w:pPr>
        <w:ind w:right="4200" w:firstLine="320"/>
        <w:spacing w:after="0" w:line="450" w:lineRule="auto"/>
        <w:tabs>
          <w:tab w:leader="none" w:pos="625"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We may not be able to service our debt or obtain additional financing on competitive terms. </w:t>
      </w:r>
      <w:r>
        <w:rPr>
          <w:rFonts w:ascii="Arial" w:cs="Arial" w:eastAsia="Arial" w:hAnsi="Arial"/>
          <w:sz w:val="17"/>
          <w:szCs w:val="17"/>
          <w:u w:val="single" w:color="auto"/>
          <w:color w:val="auto"/>
        </w:rPr>
        <w:t>Risks Related to Our Common Stock</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stock price continues to be volatile.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Our Industry</w:t>
      </w:r>
    </w:p>
    <w:p>
      <w:pPr>
        <w:spacing w:after="0" w:line="172" w:lineRule="exact"/>
        <w:rPr>
          <w:sz w:val="20"/>
          <w:szCs w:val="20"/>
          <w:color w:val="auto"/>
        </w:rPr>
      </w:pPr>
    </w:p>
    <w:p>
      <w:pPr>
        <w:ind w:left="640" w:hanging="320"/>
        <w:spacing w:after="0" w:line="289"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industry may not develop in ways that we currently anticipate due to negative public reaction in the United States and elsewhere to offshore outsourcing, recently proposed legislation or otherwise.</w:t>
      </w:r>
    </w:p>
    <w:p>
      <w:pPr>
        <w:spacing w:after="0" w:line="93" w:lineRule="exact"/>
        <w:rPr>
          <w:rFonts w:ascii="Arial" w:cs="Arial" w:eastAsia="Arial" w:hAnsi="Arial"/>
          <w:sz w:val="17"/>
          <w:szCs w:val="17"/>
          <w:color w:val="auto"/>
        </w:rPr>
      </w:pPr>
    </w:p>
    <w:p>
      <w:pPr>
        <w:ind w:left="640" w:right="300" w:hanging="320"/>
        <w:spacing w:after="0" w:line="257"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Unauthorized disclosure of sensitive or confidential client and employee data, whether through breach of our computer systems or otherwise, could cause us significant reputational damage, expose us to protracted and costly litigation, and cause us to lose clients.</w:t>
      </w:r>
    </w:p>
    <w:p>
      <w:pPr>
        <w:sectPr>
          <w:pgSz w:w="11900" w:h="16838" w:orient="portrait"/>
          <w:cols w:equalWidth="0" w:num="1">
            <w:col w:w="11240"/>
          </w:cols>
          <w:pgMar w:left="320" w:top="3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16" w:name="page17"/>
    <w:bookmarkEnd w:id="1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ind w:right="8980" w:firstLine="5"/>
        <w:spacing w:after="0" w:line="515" w:lineRule="auto"/>
        <w:tabs>
          <w:tab w:leader="none" w:pos="228"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Material Risk Factors Risks Related to Our Business</w:t>
      </w:r>
    </w:p>
    <w:p>
      <w:pPr>
        <w:jc w:val="both"/>
        <w:spacing w:after="0" w:line="289" w:lineRule="auto"/>
        <w:rPr>
          <w:sz w:val="20"/>
          <w:szCs w:val="20"/>
          <w:color w:val="auto"/>
        </w:rPr>
      </w:pPr>
      <w:r>
        <w:rPr>
          <w:rFonts w:ascii="Arial" w:cs="Arial" w:eastAsia="Arial" w:hAnsi="Arial"/>
          <w:sz w:val="17"/>
          <w:szCs w:val="17"/>
          <w:b w:val="1"/>
          <w:bCs w:val="1"/>
          <w:i w:val="1"/>
          <w:iCs w:val="1"/>
          <w:color w:val="auto"/>
        </w:rPr>
        <w:t>Our business, results of operations and financial condition have been adversely affected, and could in the future be materially adversely affected, by COVID-19.</w:t>
      </w:r>
    </w:p>
    <w:p>
      <w:pPr>
        <w:spacing w:after="0" w:line="106"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The global outbreak of COVID-19 continues to rapidly evolve and has widespread and unpredictable impacts on global societies, economies, financial markets and business practices. COVID-19 has adversely affected and may in the future materially adversely affect us, our clients, employees, contractors, suppliers and business partners, all of whom have been prevented from conducting business activities as usual, including due to the many and varying health and safety measures in response to COVID-19, including travel restrictions, quarantines, curfews, shelter in place and safer-at-home orders. The continued spread of COVID-19 and the measures taken by governmental authorities disrupted the continuity of our provision of services to our clients and adversely impacted our business, results of operations and financial condition (see Part II, Item 7, “Management’s Discussion and Analysis of Financial Condition and Results of Operations” of this Annual Report on Form 10-K).</w:t>
      </w:r>
    </w:p>
    <w:p>
      <w:pPr>
        <w:spacing w:after="0" w:line="132" w:lineRule="exact"/>
        <w:rPr>
          <w:sz w:val="20"/>
          <w:szCs w:val="20"/>
          <w:color w:val="auto"/>
        </w:rPr>
      </w:pPr>
    </w:p>
    <w:p>
      <w:pPr>
        <w:jc w:val="both"/>
        <w:ind w:firstLine="393"/>
        <w:spacing w:after="0" w:line="326" w:lineRule="auto"/>
        <w:rPr>
          <w:sz w:val="20"/>
          <w:szCs w:val="20"/>
          <w:color w:val="auto"/>
        </w:rPr>
      </w:pPr>
      <w:r>
        <w:rPr>
          <w:rFonts w:ascii="Arial" w:cs="Arial" w:eastAsia="Arial" w:hAnsi="Arial"/>
          <w:sz w:val="15"/>
          <w:szCs w:val="15"/>
          <w:color w:val="auto"/>
        </w:rPr>
        <w:t>The ultimate impact of COVID-19 on our business, operations and financial results remains unknown and will depend on numerous evolving factors that we may not be able to accurately predict, including: the duration, scope and severity of the pandemic; the effect on our clients and client demand for our services and our solutions; and our ability to sell and provide our services and solutions, including as a result of travel restrictions and people working remotely.</w:t>
      </w:r>
    </w:p>
    <w:p>
      <w:pPr>
        <w:spacing w:after="0" w:line="163"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COVID-19 has also led to, and may continue to lead to, increased costs, as we incur additional costs in order to ensure the continuity of our operations and support our remote work model. We also expect that we will continue to incur additional costs to monitor and improve operational efficiency of our remote work model, implement new information technology solutions and security measures to safeguard against information security risks and protect the health and safety of our employees as they gradually return to the office.</w:t>
      </w:r>
    </w:p>
    <w:p>
      <w:pPr>
        <w:spacing w:after="0" w:line="124"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All of our business segments, across all of our geographies, have been adversely affected and may in the future be materially adversely affected by COVID-19, but the significance of the full impact of COVID-19 on our business in 2022 and beyond and the duration for which it may have an impact cannot be determined at this time. Any of these events could cause or contribute to risks and uncertainties enumerated in this Annual Report on Form 10-K or our other filings with the SEC, and could materially adversely affect our business, financial condition, results of operations and/or stock price.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earn a substantial portion of our revenues from a limited number of clients.</w:t>
      </w:r>
    </w:p>
    <w:p>
      <w:pPr>
        <w:spacing w:after="0" w:line="172"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color w:val="auto"/>
        </w:rPr>
        <w:t>We have earned and believe that we will continue to earn in the near future or foreseeable a substantial portion of our total revenues from a limited number of large clients. The loss of or financial difficulties at any of our large clients could have a material adverse effect on our business, results of operations, financial condition and cash flows. Moreover, the loss of a major customer could also impact our reputation in the market, making it more difficult to attract and retain customers more generally.</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client contracts contain certain termination and other provisions that could have an adverse effect on our business, results of operations, financial condition and cash flows.</w:t>
      </w:r>
    </w:p>
    <w:p>
      <w:pPr>
        <w:spacing w:after="0" w:line="106" w:lineRule="exact"/>
        <w:rPr>
          <w:sz w:val="20"/>
          <w:szCs w:val="20"/>
          <w:color w:val="auto"/>
        </w:rPr>
      </w:pPr>
    </w:p>
    <w:p>
      <w:pPr>
        <w:jc w:val="both"/>
        <w:ind w:firstLine="402"/>
        <w:spacing w:after="0" w:line="265" w:lineRule="auto"/>
        <w:rPr>
          <w:sz w:val="20"/>
          <w:szCs w:val="20"/>
          <w:color w:val="auto"/>
        </w:rPr>
      </w:pPr>
      <w:r>
        <w:rPr>
          <w:rFonts w:ascii="Arial" w:cs="Arial" w:eastAsia="Arial" w:hAnsi="Arial"/>
          <w:sz w:val="17"/>
          <w:szCs w:val="17"/>
          <w:color w:val="auto"/>
        </w:rPr>
        <w:t>Consistent with industry practice, 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The loss of or financial difficulties at any of our large clients would have a material adverse effect on our business, results of operations, financial condition and cash flows.</w:t>
      </w:r>
    </w:p>
    <w:p>
      <w:pPr>
        <w:spacing w:after="0" w:line="127" w:lineRule="exact"/>
        <w:rPr>
          <w:sz w:val="20"/>
          <w:szCs w:val="20"/>
          <w:color w:val="auto"/>
        </w:rPr>
      </w:pPr>
    </w:p>
    <w:p>
      <w:pPr>
        <w:jc w:val="both"/>
        <w:ind w:firstLine="402"/>
        <w:spacing w:after="0" w:line="301" w:lineRule="auto"/>
        <w:rPr>
          <w:sz w:val="20"/>
          <w:szCs w:val="20"/>
          <w:color w:val="auto"/>
        </w:rPr>
      </w:pPr>
      <w:r>
        <w:rPr>
          <w:rFonts w:ascii="Arial" w:cs="Arial" w:eastAsia="Arial" w:hAnsi="Arial"/>
          <w:sz w:val="15"/>
          <w:szCs w:val="15"/>
          <w:color w:val="auto"/>
        </w:rPr>
        <w:t>A number of our contracts allow the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financial condition and cash flows.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to our clients which in turn could have a material adverse effect on our business, results of operations, financial condition and cash flows. Some of our contracts with clients specify that if 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pacing w:after="0" w:line="120" w:lineRule="exact"/>
        <w:rPr>
          <w:sz w:val="20"/>
          <w:szCs w:val="20"/>
          <w:color w:val="auto"/>
        </w:rPr>
      </w:pPr>
    </w:p>
    <w:p>
      <w:pPr>
        <w:jc w:val="both"/>
        <w:ind w:firstLine="402"/>
        <w:spacing w:after="0" w:line="264" w:lineRule="auto"/>
        <w:rPr>
          <w:sz w:val="20"/>
          <w:szCs w:val="20"/>
          <w:color w:val="auto"/>
        </w:rPr>
      </w:pPr>
      <w:r>
        <w:rPr>
          <w:rFonts w:ascii="Arial" w:cs="Arial" w:eastAsia="Arial" w:hAnsi="Arial"/>
          <w:sz w:val="17"/>
          <w:szCs w:val="17"/>
          <w:color w:val="auto"/>
        </w:rPr>
        <w:t>Our project-based analytics and consulting services are cyclical and can be significantly affected by variations in business cycles. Changes in the deadlines or the scope of work required for compliance with the requirements of legislation applicable to our clients could curtail significantly those service offerings. The terms of the contracts for our project-based analytics and consulting services generally do not exceed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providing analytics and consulting services.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We often have a long selling cycle for our digital operations and solutions that requires significant funds and management resources and a long implementation cycle that requires significant resource commitments, and, once engaged, it may take several months before we start to recognize significant revenues.</w:t>
      </w:r>
    </w:p>
    <w:p>
      <w:pPr>
        <w:spacing w:after="0" w:line="198" w:lineRule="exact"/>
        <w:rPr>
          <w:sz w:val="20"/>
          <w:szCs w:val="20"/>
          <w:color w:val="auto"/>
        </w:rPr>
      </w:pPr>
    </w:p>
    <w:p>
      <w:pPr>
        <w:jc w:val="both"/>
        <w:ind w:firstLine="402"/>
        <w:spacing w:after="0" w:line="262" w:lineRule="auto"/>
        <w:rPr>
          <w:sz w:val="20"/>
          <w:szCs w:val="20"/>
          <w:color w:val="auto"/>
        </w:rPr>
      </w:pPr>
      <w:r>
        <w:rPr>
          <w:rFonts w:ascii="Arial" w:cs="Arial" w:eastAsia="Arial" w:hAnsi="Arial"/>
          <w:sz w:val="17"/>
          <w:szCs w:val="17"/>
          <w:color w:val="auto"/>
        </w:rPr>
        <w:t>We often have a long selling cycle for our digital operations and solutions, which requires significant investment of capital, resources and time by both our clients and us. Before committing to use our services, potential clients require us to expend substantial time and resources educating them as to the value of our services, including testing our services for a limited period of time, and assessing the feasibility of integrating our systems and processes with theirs. Our clients then evaluate our services before deciding whether to use them. Therefore, our selling cycle, which generally 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211"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w:t>
      </w:r>
    </w:p>
    <w:p>
      <w:pPr>
        <w:spacing w:after="0" w:line="202"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color w:val="auto"/>
        </w:rPr>
        <w:t>Once engaged, it takes from four to six weeks to integrate the client’s systems with ours, and from three months to six months thereafter to build our services to the client’s requirements and perform any necessary transformation initiatives. Depending on the complexity of the processes being implemented, these time periods may be significantly longer. Implementing processes can be subject to potential delays similar to certain of those affecting the selling cycle. We do not recognize significant revenues until after we have completed the implementation phase, including any delay.</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generally enter into long-term contracts with our clients for our digital operations and solutions, and our failure to accurately estimate the resources and time required for our contracts may negatively affect our revenues, cash flows and profitability.</w:t>
      </w:r>
    </w:p>
    <w:p>
      <w:pPr>
        <w:spacing w:after="0" w:line="172"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6"/>
          <w:szCs w:val="16"/>
          <w:color w:val="auto"/>
        </w:rPr>
        <w:t>The initial terms of our digital operations and solutions contracts typically range from three to five years. In many of our digital operations and solutions contracts we commit to long-term and other pricing structures (such as full-time equivalent-based pricing, fixed-price arrangements, transaction-based and outcome-based pricing) with our clients and therefore bear the risk of cost overruns, completion delays, resource requirements, wage inflation and adverse movements in exchange rates in connection with these contracts. If we fail to estimate accurately the resources and time required for a contract, potential productivity benefits over time, future wage inflation rates or currency exchange rates (or fail to accurately hedge our currency exchange rate exposure) or if we fail to complete our contractual obligations within the contracted timeframe, our revenues, cash flows and profitability may be negatively affected.</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face difficulties in delivering complex and large projects for our clients that could cause clients to discontinue their work with us, which in turn could harm our business.</w:t>
      </w:r>
    </w:p>
    <w:p>
      <w:pPr>
        <w:spacing w:after="0" w:line="172" w:lineRule="exact"/>
        <w:rPr>
          <w:sz w:val="20"/>
          <w:szCs w:val="20"/>
          <w:color w:val="auto"/>
        </w:rPr>
      </w:pPr>
    </w:p>
    <w:p>
      <w:pPr>
        <w:jc w:val="both"/>
        <w:ind w:firstLine="393"/>
        <w:spacing w:after="0" w:line="251" w:lineRule="auto"/>
        <w:rPr>
          <w:sz w:val="20"/>
          <w:szCs w:val="20"/>
          <w:color w:val="auto"/>
        </w:rPr>
      </w:pPr>
      <w:r>
        <w:rPr>
          <w:rFonts w:ascii="Arial" w:cs="Arial" w:eastAsia="Arial" w:hAnsi="Arial"/>
          <w:sz w:val="16"/>
          <w:szCs w:val="16"/>
          <w:color w:val="auto"/>
        </w:rPr>
        <w:t>We have been expanding the nature and scope of our engagements. Our ability to effectively offer a wider breadth of end-to-end business services depends on our ability to attract existing or new clients to these expanded service offerings. To obtain engagements for such complex and large projects, we also are more likely to compete with large, well-established international consulting firms, resulting in increased competition and marketing costs. Accordingly, we cannot be certain that our new service offerings will effectively meet client needs or that we will be able to attract existing and new clients to these expanded service offerings. The increased breadth of our service offerings may result in larger and more complex projects with our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4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clients. This will require us to establish closer relationships with our clients and a thorough understanding of their operations. Our ability to establish such relationships will depend on a number of factors, including the proficiency of our employees and management. Our failure to deliver services that meet the requirements specified by our clients could result in termination of client contracts, and we could be liable to our clients for significant penalties or damages. Larger projects may involve multiple engagements or stages, and there is a risk that a client may choose not to retain us for additional stages or may cancel or delay additional planned engagements. These terminations, cancellations or delays may result from factors that have little or nothing to do with the quality of our services, such as the business or financial condition of our clients or the economy generally. Such cancellations or delays make it difficult to plan for project resource requirements and inaccuracies in such resource planning and allocation may have a negative impact on our profitability and cash flows.</w:t>
      </w:r>
    </w:p>
    <w:p>
      <w:pPr>
        <w:spacing w:after="0" w:line="209" w:lineRule="exact"/>
        <w:rPr>
          <w:sz w:val="20"/>
          <w:szCs w:val="20"/>
          <w:color w:val="auto"/>
        </w:rPr>
      </w:pPr>
    </w:p>
    <w:p>
      <w:pPr>
        <w:jc w:val="both"/>
        <w:spacing w:after="0" w:line="360" w:lineRule="auto"/>
        <w:rPr>
          <w:sz w:val="20"/>
          <w:szCs w:val="20"/>
          <w:color w:val="auto"/>
        </w:rPr>
      </w:pPr>
      <w:r>
        <w:rPr>
          <w:rFonts w:ascii="Arial" w:cs="Arial" w:eastAsia="Arial" w:hAnsi="Arial"/>
          <w:sz w:val="15"/>
          <w:szCs w:val="15"/>
          <w:b w:val="1"/>
          <w:bCs w:val="1"/>
          <w:i w:val="1"/>
          <w:iCs w:val="1"/>
          <w:color w:val="auto"/>
        </w:rPr>
        <w:t>If we are unable to adjust our pricing terms or effectively manage our asset utilization levels or the mix of products and services we provide to meet the changing demands of our clients and potential clients, our business, results of operations, financial condition and cash flows may be adversely affected.</w:t>
      </w:r>
    </w:p>
    <w:p>
      <w:pPr>
        <w:spacing w:after="0" w:line="138" w:lineRule="exact"/>
        <w:rPr>
          <w:sz w:val="20"/>
          <w:szCs w:val="20"/>
          <w:color w:val="auto"/>
        </w:rPr>
      </w:pPr>
    </w:p>
    <w:p>
      <w:pPr>
        <w:jc w:val="both"/>
        <w:ind w:firstLine="402"/>
        <w:spacing w:after="0" w:line="279" w:lineRule="auto"/>
        <w:rPr>
          <w:sz w:val="20"/>
          <w:szCs w:val="20"/>
          <w:color w:val="auto"/>
        </w:rPr>
      </w:pPr>
      <w:r>
        <w:rPr>
          <w:rFonts w:ascii="Arial" w:cs="Arial" w:eastAsia="Arial" w:hAnsi="Arial"/>
          <w:sz w:val="16"/>
          <w:szCs w:val="16"/>
          <w:color w:val="auto"/>
        </w:rPr>
        <w:t>Our profitability is, in part, a function of the efficiency with which we utilize our assets, in particular our people and our operations centers, and the prices we are able to charge for our services. A significant portion of our contracts use a pricing model that provides for hourly or annual billing rates. Industry pricing models are evolving and clients increasingly request transaction-based, outcome-based or other pricing models. If we make inaccurate assumptions for contracts with such alternative pricing models, our profitability may be negatively affected. Our asset utilization levels are affected by a number of factors, including our ability to transition employees from completed projects to new assignments, attract, train and retain employees, forecast demand for our services (including potential client terminations or reductions in required resources) and maintain an appropriate headcount in each of our locations, as well as our need to dedicate resources to employee training and development, other typically non-chargeable activities and seat utilization rate of our operations centers. Therefore, if we are unable to adapt our operations to evolving pricing protocols or effectively manage our asset utilization levels, our results of operations may be adversely affected or we may not be able to offer pricing that is attractive relative to our competitors.</w:t>
      </w:r>
    </w:p>
    <w:p>
      <w:pPr>
        <w:spacing w:after="0" w:line="199" w:lineRule="exact"/>
        <w:rPr>
          <w:sz w:val="20"/>
          <w:szCs w:val="20"/>
          <w:color w:val="auto"/>
        </w:rPr>
      </w:pPr>
    </w:p>
    <w:p>
      <w:pPr>
        <w:jc w:val="both"/>
        <w:ind w:firstLine="402"/>
        <w:spacing w:after="0" w:line="262" w:lineRule="auto"/>
        <w:rPr>
          <w:sz w:val="20"/>
          <w:szCs w:val="20"/>
          <w:color w:val="auto"/>
        </w:rPr>
      </w:pPr>
      <w:r>
        <w:rPr>
          <w:rFonts w:ascii="Arial" w:cs="Arial" w:eastAsia="Arial" w:hAnsi="Arial"/>
          <w:sz w:val="17"/>
          <w:szCs w:val="17"/>
          <w:color w:val="auto"/>
        </w:rPr>
        <w:t>In addition, for the services we provide to our clients, the revenues and income from such services may decline or vary as the type and volume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including as a result of COVID-19, have in the past and may in the future demand price reductions, automate some or all of their processes or change their digital operations and solutions strategy by moving more work in-house or to other providers, any of which could reduce our profitability. Any significant reduction in or elimination of any of our clients’ use of the services we provide, or any requirement to lower our prices, would have a material adverse impact on our business.</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senior management team is critical to our continued success and the loss of one or more members of our senior management team could harm our business.</w:t>
      </w:r>
    </w:p>
    <w:p>
      <w:pPr>
        <w:spacing w:after="0" w:line="106" w:lineRule="exact"/>
        <w:rPr>
          <w:sz w:val="20"/>
          <w:szCs w:val="20"/>
          <w:color w:val="auto"/>
        </w:rPr>
      </w:pPr>
    </w:p>
    <w:p>
      <w:pPr>
        <w:jc w:val="both"/>
        <w:ind w:firstLine="402"/>
        <w:spacing w:after="0" w:line="283"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Vice Chairman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w:t>
      </w:r>
    </w:p>
    <w:p>
      <w:pPr>
        <w:spacing w:after="0" w:line="115" w:lineRule="exact"/>
        <w:rPr>
          <w:sz w:val="20"/>
          <w:szCs w:val="20"/>
          <w:color w:val="auto"/>
        </w:rPr>
      </w:pPr>
    </w:p>
    <w:p>
      <w:pPr>
        <w:jc w:val="both"/>
        <w:ind w:firstLine="402"/>
        <w:spacing w:after="0" w:line="289" w:lineRule="auto"/>
        <w:rPr>
          <w:sz w:val="20"/>
          <w:szCs w:val="20"/>
          <w:color w:val="auto"/>
        </w:rPr>
      </w:pPr>
      <w:r>
        <w:rPr>
          <w:rFonts w:ascii="Arial" w:cs="Arial" w:eastAsia="Arial" w:hAnsi="Arial"/>
          <w:sz w:val="17"/>
          <w:szCs w:val="17"/>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106"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We may fail to attract and retain enough sufficiently trained employees to support our operations, as competition for highly skilled personnel is intense and we experience significant employee turnover rates, which may result in loss of revenue and an inability to expand our business.</w:t>
      </w:r>
    </w:p>
    <w:p>
      <w:pPr>
        <w:spacing w:after="0" w:line="70" w:lineRule="exact"/>
        <w:rPr>
          <w:sz w:val="20"/>
          <w:szCs w:val="20"/>
          <w:color w:val="auto"/>
        </w:rPr>
      </w:pPr>
    </w:p>
    <w:p>
      <w:pPr>
        <w:jc w:val="both"/>
        <w:ind w:firstLine="402"/>
        <w:spacing w:after="0" w:line="251" w:lineRule="auto"/>
        <w:rPr>
          <w:sz w:val="20"/>
          <w:szCs w:val="20"/>
          <w:color w:val="auto"/>
        </w:rPr>
      </w:pPr>
      <w:r>
        <w:rPr>
          <w:rFonts w:ascii="Arial" w:cs="Arial" w:eastAsia="Arial" w:hAnsi="Arial"/>
          <w:sz w:val="16"/>
          <w:szCs w:val="16"/>
          <w:color w:val="auto"/>
        </w:rPr>
        <w:t>Our success depends to a significant extent on our ability to attract, hire, train and retain qualified employees, including our ability to attract employees with needed skills in the geographies where we operate. Our industry, including us, experiences high employee turnover. There is significant competition for professionals with skills necessary to perform the services we offer to our clients. Increased competition for these professionals could have an adverse effect on us. A significant increase in the turnover rate among our employees, particularly among our highly skilled workforce, would increase our cost of revenues and eventually impact our profit margins due to higher recruitment, training and retention costs and maintaining larger hiring,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4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training and human resources departments. These additional costs could decrease our operating efficiency, impact our productivity and profit margins, and could also lead to a decline in demand for our services due to such higher cost getting baked in our pricing of services, making us less competitive. High turnover rates generally do not impact our revenues as we factor the attrition rate into our pricing models by maintaining additional employees for each process.</w:t>
      </w:r>
    </w:p>
    <w:p>
      <w:pPr>
        <w:spacing w:after="0" w:line="98"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color w:val="auto"/>
        </w:rPr>
        <w:t>If we are unable to attract and retain highly-skilled technical personnel and do not invest in reskilling and upskilling our employees, specifically in areas like AI, ML, digital transformation and solutions, advanced analytics, cloud based solutions, bots, hyper-automation, data management professionals, robotics and process automation, and data engineering, our ability to effectively lead our current projects and develop new business could be jeopardized, and our business, results of operations and financial condition could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wage increases may prevent us from sustaining our competitive advantage and may reduce our profit margin.</w:t>
      </w:r>
    </w:p>
    <w:p>
      <w:pPr>
        <w:spacing w:after="0" w:line="172" w:lineRule="exact"/>
        <w:rPr>
          <w:sz w:val="20"/>
          <w:szCs w:val="20"/>
          <w:color w:val="auto"/>
        </w:rPr>
      </w:pPr>
    </w:p>
    <w:p>
      <w:pPr>
        <w:jc w:val="both"/>
        <w:ind w:firstLine="402"/>
        <w:spacing w:after="0" w:line="278"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For example, wage costs in India and the Philippines have historically been significantly lower than wage costs in the United States and Europe for comparable skilled professionals, and having a significant number of employees in those countries has been one of our competitive advantages. However, because of rapid economic growth in India and the Philippines, increased demand for outsourced services from such countries and increased competition for skilled employees, wages for comparably skilled employees are increasing at a faster rate than in the United States and Europe. This may reduce the competitive advantage. We may need to increase the levels of employee compensation more rapidly than in the past to remain competitive in attracting and retaining the quality and number of employees that our business requires. Wages are generally higher for employees performing analytics services than for employees performing digital operations and solutions. As the scale of our analytics services increases, wages as a percentage of revenues may increase. In addition, changes to the labor laws in the countries where we operate may also lead to a substantial increase in our wage costs. To the extent that we are not able to control or share wage increases with our clients, wage increases may reduce our margins and cash flows. We will attempt to control such costs by our efforts to add capacity in locations where we consider wage levels of skilled personnel to be satisfactory, but we may not be successful in doing so.</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inability to manage our rapid infrastructure and personnel growth effectively could have a material adverse effect on our business, results of operations, financial condition and cash flows.</w:t>
      </w:r>
    </w:p>
    <w:p>
      <w:pPr>
        <w:spacing w:after="0" w:line="93" w:lineRule="exact"/>
        <w:rPr>
          <w:sz w:val="20"/>
          <w:szCs w:val="20"/>
          <w:color w:val="auto"/>
        </w:rPr>
      </w:pPr>
    </w:p>
    <w:p>
      <w:pPr>
        <w:jc w:val="both"/>
        <w:ind w:firstLine="402"/>
        <w:spacing w:after="0" w:line="242" w:lineRule="auto"/>
        <w:rPr>
          <w:sz w:val="20"/>
          <w:szCs w:val="20"/>
          <w:color w:val="auto"/>
        </w:rPr>
      </w:pPr>
      <w:r>
        <w:rPr>
          <w:rFonts w:ascii="Arial" w:cs="Arial" w:eastAsia="Arial" w:hAnsi="Arial"/>
          <w:sz w:val="16"/>
          <w:szCs w:val="16"/>
          <w:color w:val="auto"/>
        </w:rPr>
        <w:t>Since we were founded in April 1999, we have experienced rapid growth and significantly expanded our operations, and that growth has continued in recent years as well. We have operations centers across India, the United States, the Philippines, Colombia, United Kingdom, South Africa, Bulgaria, Romania, and the Czech Republic. Further, we have acquired multiple regional offices in the United States as part of our acquisitions. Our headcount has increased significantly over the past several years. We expect to develop and improve our internal systems in the locations where we operate in order to address the anticipated continued growth of our business. We are also continuing to look for operations centers at locations outside of our current operating geographies. We believe that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due to changes to our operating model driven by delivery of a significant portion of our services from a remote work model leading to potential contraction of our operation centers. Changes in our operating model limit our ability to forecast the need to hire additional skilled employees as and when they are required to meet the ongoing needs of our clients, and we may not be able to develop and improve our internal systems. We may not be able to maintain our culture and effectively communicate our core values, policies and procedures, strategies and goals, particularly given our world-wide operations, rate of new hires, and significant percentage of our employees who have the option to work remotely or who have been required to work remotely because of the COVID-19 related restrictions. We also need to manage cultural differences among our employee populations and varying employment law regimes across jurisdictions, and that may create a risk for employment law claims. In addition, from time to time, we have made, and may continue to make, changes to our operating model, including our infrastructure facilities, how we are organized, as the needs and size of our business change, and if we do not successfully implement the changes or if the key stakeholders such as our employees, clients and regulators are not fully receptive to such changes made or proposed to be made, our business and results of operation may be negatively impacted.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engage in strategic acquisitions or transactions, which could have a material adverse effect on our business, results of operations, financial condition and cash flows.</w:t>
      </w:r>
    </w:p>
    <w:p>
      <w:pPr>
        <w:spacing w:after="0" w:line="106" w:lineRule="exact"/>
        <w:rPr>
          <w:sz w:val="20"/>
          <w:szCs w:val="20"/>
          <w:color w:val="auto"/>
        </w:rPr>
      </w:pPr>
    </w:p>
    <w:p>
      <w:pPr>
        <w:jc w:val="both"/>
        <w:ind w:firstLine="402"/>
        <w:spacing w:after="0" w:line="273" w:lineRule="auto"/>
        <w:rPr>
          <w:sz w:val="20"/>
          <w:szCs w:val="20"/>
          <w:color w:val="auto"/>
        </w:rPr>
      </w:pPr>
      <w:r>
        <w:rPr>
          <w:rFonts w:ascii="Arial" w:cs="Arial" w:eastAsia="Arial" w:hAnsi="Arial"/>
          <w:sz w:val="17"/>
          <w:szCs w:val="17"/>
          <w:color w:val="auto"/>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There can be no assurance that we will successfully identify suitable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120"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color w:val="auto"/>
        </w:rPr>
        <w:t>Acquisitions, including completed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124"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The intellectual property of an acquired business may be an important component of the value that we agree to pay for such a business. Although we conduct due diligence in connection with each of our acquisitions,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107" w:lineRule="exact"/>
        <w:rPr>
          <w:sz w:val="20"/>
          <w:szCs w:val="20"/>
          <w:color w:val="auto"/>
        </w:rPr>
      </w:pPr>
    </w:p>
    <w:p>
      <w:pPr>
        <w:jc w:val="both"/>
        <w:ind w:firstLine="402"/>
        <w:spacing w:after="0" w:line="265" w:lineRule="auto"/>
        <w:rPr>
          <w:sz w:val="20"/>
          <w:szCs w:val="20"/>
          <w:color w:val="auto"/>
        </w:rPr>
      </w:pPr>
      <w:r>
        <w:rPr>
          <w:rFonts w:ascii="Arial" w:cs="Arial" w:eastAsia="Arial" w:hAnsi="Arial"/>
          <w:sz w:val="17"/>
          <w:szCs w:val="17"/>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complete may not result in long-term benefits to us or we may not be able to further develop the acquired business in the manner we anticipated.</w:t>
      </w:r>
    </w:p>
    <w:p>
      <w:pPr>
        <w:spacing w:after="0" w:line="127"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color w:val="auto"/>
        </w:rPr>
        <w:t>Following the completion of some acquisitions, we may need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 and failure of such seller to do so could result in a material adverse effect on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realize the entire book value of goodwill and other intangible assets from acquisitions.</w:t>
      </w:r>
    </w:p>
    <w:p>
      <w:pPr>
        <w:spacing w:after="0" w:line="172" w:lineRule="exact"/>
        <w:rPr>
          <w:sz w:val="20"/>
          <w:szCs w:val="20"/>
          <w:color w:val="auto"/>
        </w:rPr>
      </w:pPr>
    </w:p>
    <w:p>
      <w:pPr>
        <w:jc w:val="both"/>
        <w:ind w:firstLine="402"/>
        <w:spacing w:after="0" w:line="262" w:lineRule="auto"/>
        <w:rPr>
          <w:sz w:val="20"/>
          <w:szCs w:val="20"/>
          <w:color w:val="auto"/>
        </w:rPr>
      </w:pPr>
      <w:r>
        <w:rPr>
          <w:rFonts w:ascii="Arial" w:cs="Arial" w:eastAsia="Arial" w:hAnsi="Arial"/>
          <w:sz w:val="17"/>
          <w:szCs w:val="17"/>
          <w:color w:val="auto"/>
        </w:rPr>
        <w:t>We periodically assess our goodwill and intangible assets to determine if they are impaired and we monitor for impairment of goodwill relating to all acquisitions. Goodwill is not amortized but is tested for impairment at least once on an annual basis in the fourth quarter of each year, based on a number of factors including operating results, business plans and future cash flows. Impairment testing of goodwill may also be performed between annual tests if an event occurs or circumstances change that would more likely than not reduce the fair value of goodwill below its carrying amount. We perform a quantitative impairment test to determine whether it is more likely than not that the fair value of a reporting unit is less than its carrying amount. In the event that the carrying amount of goodwill is impaired, any such impairment would be charged to earnings in the period of impairment. Because this involves use of critical accounting estimates, we cannot assure you that future impairment of goodwill will not have a material adverse effect on our business, financial condition or results of operations.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106" w:lineRule="exact"/>
        <w:rPr>
          <w:sz w:val="20"/>
          <w:szCs w:val="20"/>
          <w:color w:val="auto"/>
        </w:rPr>
      </w:pPr>
    </w:p>
    <w:p>
      <w:pPr>
        <w:jc w:val="both"/>
        <w:ind w:firstLine="402"/>
        <w:spacing w:after="0" w:line="279" w:lineRule="auto"/>
        <w:rPr>
          <w:sz w:val="20"/>
          <w:szCs w:val="20"/>
          <w:color w:val="auto"/>
        </w:rPr>
      </w:pPr>
      <w:r>
        <w:rPr>
          <w:rFonts w:ascii="Arial" w:cs="Arial" w:eastAsia="Arial" w:hAnsi="Arial"/>
          <w:sz w:val="16"/>
          <w:szCs w:val="16"/>
          <w:color w:val="auto"/>
        </w:rPr>
        <w:t>Our success depends in part on certain methodologies, practices, tools and technical expertise we utilize in providing our services and solutions. Our intellectual property consists of proprietary and licensed platforms, software and databases, trade secrets, methodologies and know-how, trademarks, service marks, copyrighted software, operating procedures and other materials, and patents and pending patent applications. We consider many of our business processes and implementation methodologies to be trade secrets or proprietary know-how and confidential information. We seek to protect our intellectual property through a combination patent, trademark, copyright and trade secret laws, confidentiality procedures and contractual provisions. Clients and business partners typically agree in writing to confidential treatment of our information. Our employees and independent contractors are required to sign work-for-hire and confidentiality covenants as a condition to their employment and engagement, respectively. We also have policies requiring our associates to respect the intellectual property rights of others. However, these measures may not prevent misappropriation or infringement of our intellectual property or proprietary information and a resulting loss of competitive advantage. Additionally, we may not be successful in obtaining or maintaining patents, trademarks or other intellectual property rights protections for which we have applied or may in the future apply.</w:t>
      </w:r>
    </w:p>
    <w:p>
      <w:pPr>
        <w:spacing w:after="0" w:line="117" w:lineRule="exact"/>
        <w:rPr>
          <w:sz w:val="20"/>
          <w:szCs w:val="20"/>
          <w:color w:val="auto"/>
        </w:rPr>
      </w:pPr>
    </w:p>
    <w:p>
      <w:pPr>
        <w:jc w:val="both"/>
        <w:ind w:firstLine="402"/>
        <w:spacing w:after="0" w:line="273" w:lineRule="auto"/>
        <w:rPr>
          <w:sz w:val="20"/>
          <w:szCs w:val="20"/>
          <w:color w:val="auto"/>
        </w:rPr>
      </w:pPr>
      <w:r>
        <w:rPr>
          <w:rFonts w:ascii="Arial" w:cs="Arial" w:eastAsia="Arial" w:hAnsi="Arial"/>
          <w:sz w:val="17"/>
          <w:szCs w:val="17"/>
          <w:color w:val="auto"/>
        </w:rPr>
        <w:t>We may be unable to protect our intellectual property and proprietary technology effectively, which may allow competitors to duplicate our technology and products and may adversely affect our ability to compete with them. To the extent that we do not protect our intellectual property effectively through contractual provisions, confidentiality procedures, patents,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trade secret laws or other means including those set forth above, other parties, including former employees, with knowledge of our intellectual property may leave and seek to exploit our intellectual property for their own or others’ advantage.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financial condition and cash flows.</w:t>
      </w:r>
    </w:p>
    <w:p>
      <w:pPr>
        <w:spacing w:after="0" w:line="107" w:lineRule="exact"/>
        <w:rPr>
          <w:sz w:val="20"/>
          <w:szCs w:val="20"/>
          <w:color w:val="auto"/>
        </w:rPr>
      </w:pPr>
    </w:p>
    <w:p>
      <w:pPr>
        <w:jc w:val="both"/>
        <w:ind w:firstLine="402"/>
        <w:spacing w:after="0" w:line="281" w:lineRule="auto"/>
        <w:rPr>
          <w:sz w:val="20"/>
          <w:szCs w:val="20"/>
          <w:color w:val="auto"/>
        </w:rPr>
      </w:pPr>
      <w:r>
        <w:rPr>
          <w:rFonts w:ascii="Arial" w:cs="Arial" w:eastAsia="Arial" w:hAnsi="Arial"/>
          <w:sz w:val="16"/>
          <w:szCs w:val="16"/>
          <w:color w:val="auto"/>
        </w:rPr>
        <w:t>In addition, competitors or others may allege that our systems, processes, marketing, data usage or technologies infringe on their intellectual property rights, including patents. Non-practicing entities may also bring baseless, but nonetheless costly to defend, infringement claims. We could be required to indemnify our clients if they are sued by a third party for intellectual property infringement arising from materials that we have provided to the clients in connection with our services and solutions. We may not be successful in defending against such intellectual property claims or in obtaining licenses or an agreement to resolve any intellectual property disputes. Given the complex, rapidly changing and competitive technological and business environment in which we operate, and the potential risks and uncertainties of intellectual property-related litigation, we cannot provide assurances that a future assertion of an infringement claim against us or our clients will not cause us to alter our business practices, lose significant revenues, incur significant license, royalty or</w:t>
      </w:r>
    </w:p>
    <w:p>
      <w:pPr>
        <w:jc w:val="both"/>
        <w:spacing w:after="0" w:line="289" w:lineRule="auto"/>
        <w:rPr>
          <w:sz w:val="20"/>
          <w:szCs w:val="20"/>
          <w:color w:val="auto"/>
        </w:rPr>
      </w:pPr>
      <w:r>
        <w:rPr>
          <w:rFonts w:ascii="Arial" w:cs="Arial" w:eastAsia="Arial" w:hAnsi="Arial"/>
          <w:sz w:val="17"/>
          <w:szCs w:val="17"/>
          <w:color w:val="auto"/>
        </w:rPr>
        <w:t>technology development expenses, or pay significant monetary damages or legal fees and costs. Any such claim for intellectual property infringement may have a material adverse effect on our business, results of operations, financial condition and cash flows.</w:t>
      </w:r>
    </w:p>
    <w:p>
      <w:pPr>
        <w:spacing w:after="0" w:line="106" w:lineRule="exact"/>
        <w:rPr>
          <w:sz w:val="20"/>
          <w:szCs w:val="20"/>
          <w:color w:val="auto"/>
        </w:rPr>
      </w:pPr>
    </w:p>
    <w:p>
      <w:pPr>
        <w:jc w:val="both"/>
        <w:spacing w:after="0" w:line="360" w:lineRule="auto"/>
        <w:rPr>
          <w:sz w:val="20"/>
          <w:szCs w:val="20"/>
          <w:color w:val="auto"/>
        </w:rPr>
      </w:pPr>
      <w:r>
        <w:rPr>
          <w:rFonts w:ascii="Arial" w:cs="Arial" w:eastAsia="Arial" w:hAnsi="Arial"/>
          <w:sz w:val="15"/>
          <w:szCs w:val="15"/>
          <w:b w:val="1"/>
          <w:bCs w:val="1"/>
          <w:i w:val="1"/>
          <w:iCs w:val="1"/>
          <w:color w:val="auto"/>
        </w:rPr>
        <w:t>We face competition from U.S.-based and non-U.S.-based BPM and IT companies and from our clients, who may build shared services centers to perform digital operations and solutions and analytics services themselves, either in-house, in the United States or through offshore groups or other arrangements.</w:t>
      </w:r>
    </w:p>
    <w:p>
      <w:pPr>
        <w:spacing w:after="0" w:line="60" w:lineRule="exact"/>
        <w:rPr>
          <w:sz w:val="20"/>
          <w:szCs w:val="20"/>
          <w:color w:val="auto"/>
        </w:rPr>
      </w:pPr>
    </w:p>
    <w:p>
      <w:pPr>
        <w:jc w:val="both"/>
        <w:ind w:firstLine="402"/>
        <w:spacing w:after="0" w:line="262" w:lineRule="auto"/>
        <w:rPr>
          <w:sz w:val="20"/>
          <w:szCs w:val="20"/>
          <w:color w:val="auto"/>
        </w:rPr>
      </w:pPr>
      <w:r>
        <w:rPr>
          <w:rFonts w:ascii="Arial" w:cs="Arial" w:eastAsia="Arial" w:hAnsi="Arial"/>
          <w:sz w:val="17"/>
          <w:szCs w:val="17"/>
          <w:color w:val="auto"/>
        </w:rPr>
        <w:t>The market for digital operations and solutions and analytics services is highly competitive, and we expect competition to intensify and increase from a number of sources. We believe that the principal competitive factors in our markets are breadth and depth of process expertise, knowledge of industries served, service quality, compliance rigor, global delivery capabilities, price and sales and client management capabilities. We also face competition from non-U.S.-based outsourcing and IT companies (including those in the United Kingdom and India) and U.S.-based outsourcing and IT companies. Further, a client may choose to use its own internal resources rather than engage an outside firm to perform the types of services we provide. In addition, the trend toward offshore outsourcing, international expansion by foreign and domestic competitors and continuing technological changes, such as cloud computing, will result in new and different competition for our services.</w:t>
      </w:r>
    </w:p>
    <w:p>
      <w:pPr>
        <w:spacing w:after="0" w:line="132" w:lineRule="exact"/>
        <w:rPr>
          <w:sz w:val="20"/>
          <w:szCs w:val="20"/>
          <w:color w:val="auto"/>
        </w:rPr>
      </w:pPr>
    </w:p>
    <w:p>
      <w:pPr>
        <w:jc w:val="both"/>
        <w:ind w:firstLine="402"/>
        <w:spacing w:after="0" w:line="280" w:lineRule="auto"/>
        <w:rPr>
          <w:sz w:val="20"/>
          <w:szCs w:val="20"/>
          <w:color w:val="auto"/>
        </w:rPr>
      </w:pPr>
      <w:r>
        <w:rPr>
          <w:rFonts w:ascii="Arial" w:cs="Arial" w:eastAsia="Arial" w:hAnsi="Arial"/>
          <w:sz w:val="16"/>
          <w:szCs w:val="16"/>
          <w:color w:val="auto"/>
        </w:rPr>
        <w:t>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relationships or mergers or acquisitions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gross margins, which could harm our business, results of operations, financial condition and cash flows.</w:t>
      </w:r>
    </w:p>
    <w:p>
      <w:pPr>
        <w:spacing w:after="0" w:line="119"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We expect competition to intensify in the future as more companies enter our markets. Increased competition may result in lower prices and volumes, and lower profitability. We may not be able to supply clients with services that they deem superior and at competitive prices and we may lose business to our competitors. Any inability to compete effectively would adversely affect our business, results of operations, financial condition and cash flows.</w:t>
      </w:r>
    </w:p>
    <w:p>
      <w:pPr>
        <w:spacing w:after="0" w:line="10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disrupt our clients’ operations as a result of inadequate service or other factors, including telecommunications or technology downtime or interruptions.</w:t>
      </w:r>
    </w:p>
    <w:p>
      <w:pPr>
        <w:spacing w:after="0" w:line="106" w:lineRule="exact"/>
        <w:rPr>
          <w:sz w:val="20"/>
          <w:szCs w:val="20"/>
          <w:color w:val="auto"/>
        </w:rPr>
      </w:pPr>
    </w:p>
    <w:p>
      <w:pPr>
        <w:jc w:val="both"/>
        <w:ind w:firstLine="402"/>
        <w:spacing w:after="0" w:line="283"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 Lockdowns and other measures imposed by governments around the world, as well as other resulting impacts of COVID-19, may result in our temporary inability to meet the service level and performance requirements of our clients.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402"/>
        <w:spacing w:after="0" w:line="286" w:lineRule="auto"/>
        <w:rPr>
          <w:sz w:val="20"/>
          <w:szCs w:val="20"/>
          <w:color w:val="auto"/>
        </w:rPr>
      </w:pPr>
      <w:r>
        <w:rPr>
          <w:rFonts w:ascii="Arial" w:cs="Arial" w:eastAsia="Arial" w:hAnsi="Arial"/>
          <w:sz w:val="16"/>
          <w:szCs w:val="16"/>
          <w:color w:val="auto"/>
        </w:rPr>
        <w:t>Our business is dependent on the secure and reliable operation of controls within our and our clients’ information systems and processes, whether operated or executed by our clients themselves or by us in connection with our provision of services to them. Although we believe we take adequate measures to safeguard against system-related and other fraud, there can be no assurance that we would be able to prevent fraud or even detect them on a timely basis, particularly where it relates to our clients’ information systems which are not managed by us. We could incur certain liabilities if a process we manage for a client were to result in internal control failures or processing errors, or impair our client’s ability to comply with its own internal control requirements.</w:t>
      </w:r>
    </w:p>
    <w:p>
      <w:pPr>
        <w:spacing w:after="0" w:line="110" w:lineRule="exact"/>
        <w:rPr>
          <w:sz w:val="20"/>
          <w:szCs w:val="20"/>
          <w:color w:val="auto"/>
        </w:rPr>
      </w:pPr>
    </w:p>
    <w:p>
      <w:pPr>
        <w:jc w:val="both"/>
        <w:ind w:firstLine="402"/>
        <w:spacing w:after="0" w:line="281" w:lineRule="auto"/>
        <w:rPr>
          <w:sz w:val="20"/>
          <w:szCs w:val="20"/>
          <w:color w:val="auto"/>
        </w:rPr>
      </w:pPr>
      <w:r>
        <w:rPr>
          <w:rFonts w:ascii="Arial" w:cs="Arial" w:eastAsia="Arial" w:hAnsi="Arial"/>
          <w:sz w:val="16"/>
          <w:szCs w:val="16"/>
          <w:color w:val="auto"/>
        </w:rPr>
        <w:t>Our dependence on our offshore operations centers requires us to maintain active voice and data communications among our operations centers, our international technology hubs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as well as for some of the third party technology and platforms we sometimes use to deliver our services.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cash flows and harm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contractual limitations on liability with our clients and third parties may not be enforceable.</w:t>
      </w:r>
    </w:p>
    <w:p>
      <w:pPr>
        <w:spacing w:after="0" w:line="172" w:lineRule="exact"/>
        <w:rPr>
          <w:sz w:val="20"/>
          <w:szCs w:val="20"/>
          <w:color w:val="auto"/>
        </w:rPr>
      </w:pPr>
    </w:p>
    <w:p>
      <w:pPr>
        <w:jc w:val="both"/>
        <w:ind w:firstLine="402"/>
        <w:spacing w:after="0" w:line="262" w:lineRule="auto"/>
        <w:rPr>
          <w:sz w:val="20"/>
          <w:szCs w:val="20"/>
          <w:color w:val="auto"/>
        </w:rPr>
      </w:pPr>
      <w:r>
        <w:rPr>
          <w:rFonts w:ascii="Arial" w:cs="Arial" w:eastAsia="Arial" w:hAnsi="Arial"/>
          <w:sz w:val="17"/>
          <w:szCs w:val="17"/>
          <w:color w:val="auto"/>
        </w:rPr>
        <w:t>Under most of our agreements with our clients, our liability for breach of certain of our obligations is generally limited to actual damages suffered by the client and is typically capped at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including intellectual property infringement claims, or liability for fraud or breaches of confidentiality or notification costs relating to data breaches may not be limited under those agreements or may be subject to higher limitations. Because our agreements are governed by laws of different jurisdictions, the interpretation of certain provisions, and the availability of certain defenses to us, may vary, which, in certain circumstances, may contribute to uncertainty as to the scope of our potential liability.</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adhere to the regulations or accreditation or licensing standards that govern our business could have an adverse impact on our operations.</w:t>
      </w:r>
    </w:p>
    <w:p>
      <w:pPr>
        <w:spacing w:after="0" w:line="195" w:lineRule="exact"/>
        <w:rPr>
          <w:sz w:val="20"/>
          <w:szCs w:val="20"/>
          <w:color w:val="auto"/>
        </w:rPr>
      </w:pPr>
    </w:p>
    <w:p>
      <w:pPr>
        <w:jc w:val="both"/>
        <w:ind w:firstLine="393"/>
        <w:spacing w:after="0" w:line="297" w:lineRule="auto"/>
        <w:rPr>
          <w:sz w:val="20"/>
          <w:szCs w:val="20"/>
          <w:color w:val="auto"/>
        </w:rPr>
      </w:pPr>
      <w:r>
        <w:rPr>
          <w:rFonts w:ascii="Arial" w:cs="Arial" w:eastAsia="Arial" w:hAnsi="Arial"/>
          <w:sz w:val="15"/>
          <w:szCs w:val="15"/>
          <w:color w:val="auto"/>
        </w:rPr>
        <w:t>Our clients’ business operations are often subject to regulation and accreditation and licensing standards, and our clients may require that we perform our services in a manner that will enable them to comply with applicable regulations or accreditations or licensing standards. Our clients are located around the world, and the laws and regulations that apply include, among others, United States federal laws such as the Gramm-Leach-Bliley Act and the Health Insurance Portability and Accountability Act, the Health Information Technology for Economic and Clinical Health Act, state laws on third party administration services, utilization review services, telemarketing services or state laws on debt collection in the United States and the Financial Services Act in the United Kingdom as well as similar consumer protection laws in other countries in which our clients’ customers are based. Failure to perform our services in a manner that complies with any such requirements could result in breaches of contracts with our clients. In addition, we are required under various laws to obtain and maintain accreditations, permits and/or licenses for the conduct of our business in all jurisdictions in which we have operations and, in some cases, we are additionally required to maintain accreditations, permits and/or licenses where our clients receive our services, including the United States and Europe. If we do not maintain our accreditations, licenses or other qualifications to provide our services or if we do not adapt to changes in legislation or regulation, we may have to cease operations in the relevant jurisdictions and may not be able to provide services to existing clients or be able to attract new clients. In addition, we may be required to expend significant resources in order to comply with laws and regulations in the jurisdictions mentioned above. Any failure to abide by regulations relating either to our business or our clients’ businesses may also, in some limited circumstances, result in civil fines and criminal penalties for us. Any such ceasing of operations or civil or criminal actions may have a material adverse effect on our business, results of operations, financial condition and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International Nature of Our Business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subject to labor and employment laws across jurisdictions and if more stringent labor laws become applicable to us or if our employees unionize, our profitability may be adversely affected.</w:t>
      </w:r>
    </w:p>
    <w:p>
      <w:pPr>
        <w:spacing w:after="0" w:line="106"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color w:val="auto"/>
        </w:rPr>
        <w:t>We are subject to labor and employment laws across the jurisdictions in which we operate, and may from time to time be subject to litigation or administrative actions resulting from claims against us by current or former employees, individually or as part of a class action, including for claims of wrongful termination, discrimination (including on grounds of nationality, ethnicity, race, faith, gender, marital status, age or disability), misclassification, redundancy payments described above, or other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violations of labor laws, or other alleged conduct. If we are found liable for any such claim, such liabilities could have a material adverse effect on our business, reputation, results of operations, financial condition and cash flows. Additionally, some of the geographies where we operate have stringent employee-friendly labor legislation, including legislation that sets forth detailed procedures for dispute resolution, employee separation, provision of benefits or facilities to employees at employer’s costs as well as imposing financial obligations and other compliance on employers upon retrenchment. Though we are exempt from some of these labor laws at present under applicable exceptions in relevant jurisdictions,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for business or operational reasons, and our compensation expenses may increase significantly. Regulations in other countries in which we operate also regulate our relations with our employees.</w:t>
      </w:r>
    </w:p>
    <w:p>
      <w:pPr>
        <w:spacing w:after="0" w:line="119" w:lineRule="exact"/>
        <w:rPr>
          <w:sz w:val="20"/>
          <w:szCs w:val="20"/>
          <w:color w:val="auto"/>
        </w:rPr>
      </w:pPr>
    </w:p>
    <w:p>
      <w:pPr>
        <w:jc w:val="both"/>
        <w:ind w:firstLine="402"/>
        <w:spacing w:after="0" w:line="273" w:lineRule="auto"/>
        <w:rPr>
          <w:sz w:val="20"/>
          <w:szCs w:val="20"/>
          <w:color w:val="auto"/>
        </w:rPr>
      </w:pPr>
      <w:r>
        <w:rPr>
          <w:rFonts w:ascii="Arial" w:cs="Arial" w:eastAsia="Arial" w:hAnsi="Arial"/>
          <w:sz w:val="17"/>
          <w:szCs w:val="17"/>
          <w:color w:val="auto"/>
        </w:rPr>
        <w:t>In addition, our employees may in the future form unions. If employees at any of our operations centers become eligible for union membership, we may be required to raise wage levels or grant other benefits that could lead to an increase in our compensation expenses, or productivity at relevant operations centers may be adversely affected, resulting, in each case to possible adverse impacts on our profitability and cash flows.</w:t>
      </w:r>
    </w:p>
    <w:p>
      <w:pPr>
        <w:spacing w:after="0" w:line="120"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color w:val="auto"/>
        </w:rPr>
        <w:t>During the quarter ended March 31, 2019, the Supreme Court of India clarified that certain allowances paid by an employer to an employee should be included in the definition of “basic wage” for the purposes of defined social security contribution plans. It still remains unclear whether the interpretation set out in the pronouncement has retrospective application. If applied retrospectively, the interpretation may result in a significant increase in contributions payable by the Company for past periods for certain of its India-based employees and could have a material adverse effect on our results of operations, financial condition and cash flows. Further, in September 2020, the Indian Parliament passed various consolidating labor codes, including the Code on Social Security, 2020 (the “Indian Social Security Code”) which aims to rationalize labor laws. The Indian Social Security 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amongst others and could have a material adverse effect on our results of operations, financial condition and cash flows.</w:t>
      </w:r>
    </w:p>
    <w:p>
      <w:pPr>
        <w:spacing w:after="0" w:line="121"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Government of India in the past few years has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cash flows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transfer pricing arrangements we have among our subsidiaries are determined to be inappropriate, our tax liability may increase.</w:t>
      </w:r>
    </w:p>
    <w:p>
      <w:pPr>
        <w:spacing w:after="0" w:line="172" w:lineRule="exact"/>
        <w:rPr>
          <w:sz w:val="20"/>
          <w:szCs w:val="20"/>
          <w:color w:val="auto"/>
        </w:rPr>
      </w:pPr>
    </w:p>
    <w:p>
      <w:pPr>
        <w:jc w:val="both"/>
        <w:ind w:firstLine="402"/>
        <w:spacing w:after="0" w:line="280" w:lineRule="auto"/>
        <w:rPr>
          <w:sz w:val="20"/>
          <w:szCs w:val="20"/>
          <w:color w:val="auto"/>
        </w:rPr>
      </w:pPr>
      <w:r>
        <w:rPr>
          <w:rFonts w:ascii="Arial" w:cs="Arial" w:eastAsia="Arial" w:hAnsi="Arial"/>
          <w:sz w:val="16"/>
          <w:szCs w:val="16"/>
          <w:color w:val="auto"/>
        </w:rPr>
        <w:t>U.S. and Indian transfer pricing regulations, as well as regulations applicable in other countries in which we operate,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which would cause our tax expense to increase, possibly materially, thereby reducing our profitability and cash flows. The Company is currently involved in disputes with the Indian tax authorities over the application of some of its transfer pricing policies for past years. See Note 21 - Income Taxes and Note 25 - Commitments and Contingencies to our consolidated financial statements for details.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106"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7"/>
          <w:szCs w:val="17"/>
          <w:color w:val="auto"/>
        </w:rPr>
        <w:t>We have offices and operations in various countries around the world and provide services to customers globally. We continually evaluate additional locations outside our current operating geographies in which to invest in operations centers, in order to maintain an appropriate cost structure for our clients’ needs. In recent years we have opened new operations centers in countries outside of the United States. We cannot predict the extent of government support, availability of qualified workers, or monetary and economic conditions in other countries. Additionally, we may expand into less developed countries that have less political, social or economic stability and less developed infrastructure and legal systems.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We may also face difficulties integrating new facilities in different countries into our existing operations. As we expand our business into new countries, we may encounter regulatory, personnel, technological and other difficulties that increase our expenses or delay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start up our operations or become profitable in such countries. This may affect our relationships with our clients.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 and cash flows.</w:t>
      </w:r>
    </w:p>
    <w:p>
      <w:pPr>
        <w:spacing w:after="0" w:line="120"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i w:val="1"/>
          <w:iCs w:val="1"/>
          <w:color w:val="auto"/>
        </w:rPr>
        <w:t>Our financial condition could be negatively affected if foreign governments introduces new legislation, reduce or withdraw tax benefits and other incentives currently provided to companies within our industry or if we are not eligible for these benefits.</w:t>
      </w:r>
    </w:p>
    <w:p>
      <w:pPr>
        <w:spacing w:after="0" w:line="106"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124" w:lineRule="exact"/>
        <w:rPr>
          <w:sz w:val="20"/>
          <w:szCs w:val="20"/>
          <w:color w:val="auto"/>
        </w:rPr>
      </w:pPr>
    </w:p>
    <w:p>
      <w:pPr>
        <w:jc w:val="both"/>
        <w:ind w:firstLine="402"/>
        <w:spacing w:after="0" w:line="262" w:lineRule="auto"/>
        <w:rPr>
          <w:sz w:val="20"/>
          <w:szCs w:val="20"/>
          <w:color w:val="auto"/>
        </w:rPr>
      </w:pPr>
      <w:r>
        <w:rPr>
          <w:rFonts w:ascii="Arial" w:cs="Arial" w:eastAsia="Arial" w:hAnsi="Arial"/>
          <w:sz w:val="16"/>
          <w:szCs w:val="16"/>
          <w:color w:val="auto"/>
        </w:rPr>
        <w:t>Certain operations centers in India, which were established in Special Economic Zones (“SEZs”), are eligible for a 100% income tax exemption for the first five years of operations and a 50% exemption for a period of five years thereafter. In 2019, the government of India introduced a new tax regime for certain Indian companies by enacting the Taxation Laws (Amendment) Act, 2019. The new tax regime is optional and provides for a lower tax rate for Indian companies, subject to agreeing to certain conditions, which, among other things, include not taking advantage of benefits from any tax holidays associated with SEZs and certain other tax incentives. Once a company has opted in to the new tax regime, it may not in the future opt out. During 2019 and 2020, our Indian subsidiaries opted into this new tax regime and accordingly gave-up the tax exemption associated with SEZs that were used prior to opting in. This decision is based on a number of current assumptions and financial projections. If such assumptions and financial projections are not correct, our election to opt in to the new tax regime may materially increase our effective income tax rate and decrease our earnings per share. Similarly, if alternative minimum taxes are imposed by certain jurisdictions on otherwise exempt income, this may result in increases to our tax expense in future years.</w:t>
      </w:r>
    </w:p>
    <w:p>
      <w:pPr>
        <w:spacing w:after="0" w:line="107" w:lineRule="exact"/>
        <w:rPr>
          <w:sz w:val="20"/>
          <w:szCs w:val="20"/>
          <w:color w:val="auto"/>
        </w:rPr>
      </w:pPr>
    </w:p>
    <w:p>
      <w:pPr>
        <w:jc w:val="both"/>
        <w:ind w:firstLine="402"/>
        <w:spacing w:after="0" w:line="233" w:lineRule="auto"/>
        <w:rPr>
          <w:sz w:val="20"/>
          <w:szCs w:val="20"/>
          <w:color w:val="auto"/>
        </w:rPr>
      </w:pPr>
      <w:r>
        <w:rPr>
          <w:rFonts w:ascii="Arial" w:cs="Arial" w:eastAsia="Arial" w:hAnsi="Arial"/>
          <w:sz w:val="17"/>
          <w:szCs w:val="17"/>
          <w:color w:val="auto"/>
        </w:rPr>
        <w:t>We also benefit from a corporate tax holiday in the Philippines for our operations centers established there over the last several years. The tax holiday already expired for few of our centers and will expire in the future for the other centers, which may lead to an increase in our overall tax rate. We anticipate establishing additional operations centers in PEZA or other tax advantaged locations in the future. Following the expiry of the tax exemption, income generated from centers in the Philippines will be taxed at the prevailing annual tax rate. Guidelines issued by Philippines Fiscal Incentives Review Board allows PEZA registered units to work remotely with certain thresholds. We are managing our business in accordance with the guidelines, however, if the prescribed thresholds are not met, it may adversely affect our income tax rate.</w:t>
      </w:r>
    </w:p>
    <w:p>
      <w:pPr>
        <w:spacing w:after="0" w:line="199" w:lineRule="exact"/>
        <w:rPr>
          <w:sz w:val="20"/>
          <w:szCs w:val="20"/>
          <w:color w:val="auto"/>
        </w:rPr>
      </w:pPr>
    </w:p>
    <w:p>
      <w:pPr>
        <w:jc w:val="both"/>
        <w:ind w:firstLine="402"/>
        <w:spacing w:after="0" w:line="244" w:lineRule="auto"/>
        <w:rPr>
          <w:sz w:val="20"/>
          <w:szCs w:val="20"/>
          <w:color w:val="auto"/>
        </w:rPr>
      </w:pPr>
      <w:r>
        <w:rPr>
          <w:rFonts w:ascii="Arial" w:cs="Arial" w:eastAsia="Arial" w:hAnsi="Arial"/>
          <w:sz w:val="16"/>
          <w:szCs w:val="16"/>
          <w:color w:val="auto"/>
        </w:rPr>
        <w:t>Governments in countries in which we operate or provide services could enact new tax legislation, including the Made in America Tax Plan in the United States, announced in April 2021, and the Finance Act 2021 in the United Kingdom, enacted in June 2021, which could have a material adverse effect on our business, results of operations, financial condition and cash flows. In addition, our ability to repatriate surplus earnings from our operations centers in a tax-efficient manner is dependent upon interpretations of local laws, possible changes in such laws and the renegotiation of existing double tax avoidance treaties.</w:t>
      </w:r>
    </w:p>
    <w:p>
      <w:pPr>
        <w:jc w:val="both"/>
        <w:ind w:firstLine="402"/>
        <w:spacing w:after="0" w:line="247" w:lineRule="auto"/>
        <w:rPr>
          <w:sz w:val="20"/>
          <w:szCs w:val="20"/>
          <w:color w:val="auto"/>
        </w:rPr>
      </w:pPr>
      <w:r>
        <w:rPr>
          <w:rFonts w:ascii="Arial" w:cs="Arial" w:eastAsia="Arial" w:hAnsi="Arial"/>
          <w:sz w:val="16"/>
          <w:szCs w:val="16"/>
          <w:color w:val="auto"/>
        </w:rPr>
        <w:t>The Company’s legal entity rationalization project is an ongoing endeavor to simplify our global legal entity structure, remove redundancies and reduce compliance risks and costs. Furthermore, we also strive to optimize the tax and financial efficiencies of the group structure. As a result, we may carry out certain re-organizations under the tax laws of various jurisdictions in which we operate and take certain positions to qualify for tax neutrality for such internal re-organization. However, we cannot assure you that any of these projects will be fully implemented or implemented in a manner satisfactory to the Company, or, if it is implemented, that there will not be any adverse actions brought by the tax authorities of certain jurisdictions if this re-organization is implemented.</w:t>
      </w:r>
    </w:p>
    <w:p>
      <w:pPr>
        <w:spacing w:after="0" w:line="128" w:lineRule="exact"/>
        <w:rPr>
          <w:sz w:val="20"/>
          <w:szCs w:val="20"/>
          <w:color w:val="auto"/>
        </w:rPr>
      </w:pPr>
    </w:p>
    <w:p>
      <w:pPr>
        <w:jc w:val="both"/>
        <w:ind w:firstLine="402"/>
        <w:spacing w:after="0" w:line="289" w:lineRule="auto"/>
        <w:rPr>
          <w:sz w:val="20"/>
          <w:szCs w:val="20"/>
          <w:color w:val="auto"/>
        </w:rPr>
      </w:pPr>
      <w:r>
        <w:rPr>
          <w:rFonts w:ascii="Arial" w:cs="Arial" w:eastAsia="Arial" w:hAnsi="Arial"/>
          <w:sz w:val="17"/>
          <w:szCs w:val="17"/>
          <w:color w:val="auto"/>
        </w:rPr>
        <w:t>As a result of the foregoing, our overall effective tax rate may increase in future years and such increase may be material and may have impact on our business, results of operations, financial condition and cash flows.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earnings may be adversely affected if we repatriate funds held by our foreign subsidiaries.</w:t>
      </w:r>
    </w:p>
    <w:p>
      <w:pPr>
        <w:spacing w:after="0" w:line="172" w:lineRule="exact"/>
        <w:rPr>
          <w:sz w:val="20"/>
          <w:szCs w:val="20"/>
          <w:color w:val="auto"/>
        </w:rPr>
      </w:pPr>
    </w:p>
    <w:p>
      <w:pPr>
        <w:jc w:val="both"/>
        <w:ind w:firstLine="402"/>
        <w:spacing w:after="0" w:line="264" w:lineRule="auto"/>
        <w:rPr>
          <w:sz w:val="20"/>
          <w:szCs w:val="20"/>
          <w:color w:val="auto"/>
        </w:rPr>
      </w:pPr>
      <w:r>
        <w:rPr>
          <w:rFonts w:ascii="Arial" w:cs="Arial" w:eastAsia="Arial" w:hAnsi="Arial"/>
          <w:sz w:val="17"/>
          <w:szCs w:val="17"/>
          <w:color w:val="auto"/>
        </w:rPr>
        <w:t>We earn a significant amount of our earnings outside of the United States. Not all of the undistributed earnings may be available for repatriation due to foreign legal restrictions that require minimum reserves to be maintained in those countries, which would limit our ability to use these earnings across our global operations in the United States or other geographies, where needed. We periodically evaluate opportunities to repatriate funds held by our foreign subsidiaries to fund our operations, and as and when we decide to repatriate such earnings, we may have to accrue further taxes associated with such earnings in accordance with local tax laws, rules and regulations in the relevant jurisdictions. All of these risks and uncertainties could have a material adverse effect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Currency exchange rate fluctuations in the various currencies in which we do business, especially the Indian rupee and Philippine peso, U.K pound sterling versus the U.S. dollar, could have a material adverse effect on our results of operations.</w:t>
      </w:r>
    </w:p>
    <w:p>
      <w:pPr>
        <w:spacing w:after="0" w:line="106" w:lineRule="exact"/>
        <w:rPr>
          <w:sz w:val="20"/>
          <w:szCs w:val="20"/>
          <w:color w:val="auto"/>
        </w:rPr>
      </w:pPr>
    </w:p>
    <w:p>
      <w:pPr>
        <w:jc w:val="both"/>
        <w:ind w:firstLine="402"/>
        <w:spacing w:after="0" w:line="301" w:lineRule="auto"/>
        <w:rPr>
          <w:sz w:val="20"/>
          <w:szCs w:val="20"/>
          <w:color w:val="auto"/>
        </w:rPr>
      </w:pPr>
      <w:r>
        <w:rPr>
          <w:rFonts w:ascii="Arial" w:cs="Arial" w:eastAsia="Arial" w:hAnsi="Arial"/>
          <w:sz w:val="15"/>
          <w:szCs w:val="15"/>
          <w:color w:val="auto"/>
        </w:rPr>
        <w:t>Although we report our operating results in U.S. dollars, a portion of our revenues and expenses are denominated in currencies other than the U.S. dollar. Fluctuations in foreign currency exchange rates can have a number of adverse effects on us. Because our consolidated financial statements are presented in U.S. dollars, we must translate revenues, expenses and income, as well as assets and liabilities, into U.S. dollars at exchange rates in effect during or at the end of each reporting period. The exchange rates among the Indian rupee, Philippine peso and other currencies in which we incur costs or receive revenues and the U.S. dollar have changed substantially in recent years and may fluctuate substantially in the future. See Part II, Item 7A, “Quantitative and Qualitative Disclosures About Market Risk.” Additionally, because a majority of our employees are based in India and the Philippines and paid in Indian rupees or Philippine peso while our revenues are primarily reported in U.S. dollars and U.K. pounds sterling, our employee costs as a percentage of revenues may increase or decrease significantly if the exchange rates among the Indian rupee, Philippine peso and the U.S. dollar fluctuate significantly.</w:t>
      </w:r>
    </w:p>
    <w:p>
      <w:pPr>
        <w:spacing w:after="0" w:line="105" w:lineRule="exact"/>
        <w:rPr>
          <w:sz w:val="20"/>
          <w:szCs w:val="20"/>
          <w:color w:val="auto"/>
        </w:rPr>
      </w:pPr>
    </w:p>
    <w:p>
      <w:pPr>
        <w:jc w:val="both"/>
        <w:ind w:firstLine="402"/>
        <w:spacing w:after="0" w:line="262" w:lineRule="auto"/>
        <w:rPr>
          <w:sz w:val="20"/>
          <w:szCs w:val="20"/>
          <w:color w:val="auto"/>
        </w:rPr>
      </w:pPr>
      <w:r>
        <w:rPr>
          <w:rFonts w:ascii="Arial" w:cs="Arial" w:eastAsia="Arial" w:hAnsi="Arial"/>
          <w:sz w:val="17"/>
          <w:szCs w:val="17"/>
          <w:color w:val="auto"/>
        </w:rPr>
        <w:t>Our results of operations could be adversely affected over time by certain movements in exchange rates, particularly if the Indian rupee or other currencies in which we incur expenses or receive revenues, change substantially against the U.S. dollar. Although we take steps to hedge a substantial portion of our Indian rupee/U.S. dollar, U.K pounds sterling/U.S. dollar and Philippine peso/U.S. dollar foreign currency exposures, there is no assurance that our hedging strategy will be successful or that the hedging markets will have 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 well as the convertibility of currencies in India. This could limit our ability to use cash generated in one country in another country and could limit our ability to hedge our exposures.</w:t>
      </w:r>
    </w:p>
    <w:p>
      <w:pPr>
        <w:spacing w:after="0" w:line="132"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color w:val="auto"/>
        </w:rPr>
        <w:t>In June 2016, the United Kingdom held a referendum in which British citizens approved an exit from the European Union ("EU"), commonly referred to as “Brexit.” Following protracted negotiations, the United Kingdom left the EU on January 31, 2020 and entered into a trade and cooperation agreement with the EU that provides for zero tariffs and zero quotas on all goods that comply with the appropriate rules of origin. The EU-U.K. trade and cooperation agreement was signed on December 30, 2020 and went into force on May 1, 2021.</w:t>
      </w:r>
    </w:p>
    <w:p>
      <w:pPr>
        <w:spacing w:after="0" w:line="124"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color w:val="auto"/>
        </w:rPr>
        <w:t>As a result of the referendum and the recent exit of the United Kingdom from the EU, the global markets and currencies have been and may in the future be adversely impacted, including experiencing a decline in the value of the U.K. pound sterling as compared to the U.S. dollar and causing adverse impacts to our U.K. operations and those of our clients. We are not able to predict the extent of those impacts. As a result, it is possible that events in the U.K. related to Brexit may adversely affect our financial results, operations and cash flows.</w:t>
      </w:r>
    </w:p>
    <w:p>
      <w:pPr>
        <w:spacing w:after="0" w:line="124" w:lineRule="exact"/>
        <w:rPr>
          <w:sz w:val="20"/>
          <w:szCs w:val="20"/>
          <w:color w:val="auto"/>
        </w:rPr>
      </w:pPr>
    </w:p>
    <w:p>
      <w:pPr>
        <w:jc w:val="both"/>
        <w:spacing w:after="0" w:line="360" w:lineRule="auto"/>
        <w:rPr>
          <w:sz w:val="20"/>
          <w:szCs w:val="20"/>
          <w:color w:val="auto"/>
        </w:rPr>
      </w:pPr>
      <w:r>
        <w:rPr>
          <w:rFonts w:ascii="Arial" w:cs="Arial" w:eastAsia="Arial" w:hAnsi="Arial"/>
          <w:sz w:val="15"/>
          <w:szCs w:val="15"/>
          <w:b w:val="1"/>
          <w:bCs w:val="1"/>
          <w:i w:val="1"/>
          <w:iCs w:val="1"/>
          <w:color w:val="auto"/>
        </w:rPr>
        <w:t>Restrictions on visas and work permits may affect our ability to compete for and provide services to clients in the United States and other jurisdictions, which could make it more difficult to staff engagements and could increase our costs, which could have an adverse effect on our net income.</w:t>
      </w:r>
    </w:p>
    <w:p>
      <w:pPr>
        <w:spacing w:after="0" w:line="60" w:lineRule="exact"/>
        <w:rPr>
          <w:sz w:val="20"/>
          <w:szCs w:val="20"/>
          <w:color w:val="auto"/>
        </w:rPr>
      </w:pPr>
    </w:p>
    <w:p>
      <w:pPr>
        <w:jc w:val="both"/>
        <w:ind w:firstLine="402"/>
        <w:spacing w:after="0" w:line="289" w:lineRule="auto"/>
        <w:rPr>
          <w:sz w:val="20"/>
          <w:szCs w:val="20"/>
          <w:color w:val="auto"/>
        </w:rPr>
      </w:pPr>
      <w:r>
        <w:rPr>
          <w:rFonts w:ascii="Arial" w:cs="Arial" w:eastAsia="Arial" w:hAnsi="Arial"/>
          <w:sz w:val="17"/>
          <w:szCs w:val="17"/>
          <w:color w:val="auto"/>
        </w:rPr>
        <w:t>Immigration and work permit laws and regulations in the countries in which we have customers are subject to legislative and administrative changes as well as changes in the application of standards and enforcement.</w:t>
      </w:r>
    </w:p>
    <w:p>
      <w:pPr>
        <w:spacing w:after="0" w:line="106" w:lineRule="exact"/>
        <w:rPr>
          <w:sz w:val="20"/>
          <w:szCs w:val="20"/>
          <w:color w:val="auto"/>
        </w:rPr>
      </w:pPr>
    </w:p>
    <w:p>
      <w:pPr>
        <w:jc w:val="both"/>
        <w:ind w:firstLine="402"/>
        <w:spacing w:after="0" w:line="260" w:lineRule="auto"/>
        <w:rPr>
          <w:sz w:val="20"/>
          <w:szCs w:val="20"/>
          <w:color w:val="auto"/>
        </w:rPr>
      </w:pPr>
      <w:r>
        <w:rPr>
          <w:rFonts w:ascii="Arial" w:cs="Arial" w:eastAsia="Arial" w:hAnsi="Arial"/>
          <w:sz w:val="17"/>
          <w:szCs w:val="17"/>
          <w:color w:val="auto"/>
        </w:rPr>
        <w:t>The ability of some of our executives and employees based in India and other foreign locations to work with and meet clients in the United States and other jurisdictions depends on their ability to obtain the necessary visas and work permits. In recent years, immigration authorities, in the United States as well as other jurisdictions in which our clients are based, have increased the level of scrutiny in granting such visas and work permits.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visas or work permits for our employees. The ability to move our employees around the world as necessary to meet client demands is important to our business. If we are unable to efficiently deploy talent because of increased regulation of immigration or work visas, including limitations placed on the number of visas granted, limitations on the type of work performed or location in which the work can be performed, and new or higher minimum salary requirements, it could be more difficult to staff our employees on client engagements and could increase our costs and have an adverse effect on our net income and cash flows. Further, if COVID-19 persists for an extended period, then obtaining visas for our personnel may become difficult and several governments may not grant new visas.</w:t>
      </w:r>
    </w:p>
    <w:p>
      <w:pPr>
        <w:spacing w:after="0" w:line="13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Investors may have difficulty effecting service of process or enforcing judgments obtained in the United States against our subsidiaries in India or our executive officers.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402"/>
        <w:spacing w:after="0" w:line="314" w:lineRule="auto"/>
        <w:rPr>
          <w:sz w:val="20"/>
          <w:szCs w:val="20"/>
          <w:color w:val="auto"/>
        </w:rPr>
      </w:pPr>
      <w:r>
        <w:rPr>
          <w:rFonts w:ascii="Arial" w:cs="Arial" w:eastAsia="Arial" w:hAnsi="Arial"/>
          <w:sz w:val="15"/>
          <w:szCs w:val="15"/>
          <w:color w:val="auto"/>
        </w:rPr>
        <w:t>Our primary operating subsidiaries are organized outside the United States and some of our executive officers may reside outside of the United States. A substantial portion of our assets are located in India and the Philippines. As a result, you may be unable to effect service of process upon our affiliates who reside in India and the Philippines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94" w:lineRule="exact"/>
        <w:rPr>
          <w:sz w:val="20"/>
          <w:szCs w:val="20"/>
          <w:color w:val="auto"/>
        </w:rPr>
      </w:pPr>
    </w:p>
    <w:p>
      <w:pPr>
        <w:jc w:val="both"/>
        <w:ind w:firstLine="402"/>
        <w:spacing w:after="0" w:line="262" w:lineRule="auto"/>
        <w:rPr>
          <w:sz w:val="20"/>
          <w:szCs w:val="20"/>
          <w:color w:val="auto"/>
        </w:rPr>
      </w:pPr>
      <w:r>
        <w:rPr>
          <w:rFonts w:ascii="Arial" w:cs="Arial" w:eastAsia="Arial" w:hAnsi="Arial"/>
          <w:sz w:val="17"/>
          <w:szCs w:val="17"/>
          <w:color w:val="auto"/>
        </w:rPr>
        <w:t>Sections 44A and Section 13 of the Indian Civil Procedure Code, 1908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132" w:lineRule="exact"/>
        <w:rPr>
          <w:sz w:val="20"/>
          <w:szCs w:val="20"/>
          <w:color w:val="auto"/>
        </w:rPr>
      </w:pPr>
    </w:p>
    <w:p>
      <w:pPr>
        <w:jc w:val="both"/>
        <w:ind w:firstLine="402"/>
        <w:spacing w:after="0" w:line="265" w:lineRule="auto"/>
        <w:rPr>
          <w:sz w:val="20"/>
          <w:szCs w:val="20"/>
          <w:color w:val="auto"/>
        </w:rPr>
      </w:pPr>
      <w:r>
        <w:rPr>
          <w:rFonts w:ascii="Arial" w:cs="Arial" w:eastAsia="Arial" w:hAnsi="Arial"/>
          <w:sz w:val="17"/>
          <w:szCs w:val="17"/>
          <w:color w:val="auto"/>
        </w:rPr>
        <w:t>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service our debt or obtain additional financing on competitive terms.</w:t>
      </w:r>
    </w:p>
    <w:p>
      <w:pPr>
        <w:spacing w:after="0" w:line="172" w:lineRule="exact"/>
        <w:rPr>
          <w:sz w:val="20"/>
          <w:szCs w:val="20"/>
          <w:color w:val="auto"/>
        </w:rPr>
      </w:pPr>
    </w:p>
    <w:p>
      <w:pPr>
        <w:jc w:val="both"/>
        <w:ind w:firstLine="402"/>
        <w:spacing w:after="0" w:line="264" w:lineRule="auto"/>
        <w:rPr>
          <w:sz w:val="20"/>
          <w:szCs w:val="20"/>
          <w:color w:val="auto"/>
        </w:rPr>
      </w:pPr>
      <w:r>
        <w:rPr>
          <w:rFonts w:ascii="Arial" w:cs="Arial" w:eastAsia="Arial" w:hAnsi="Arial"/>
          <w:sz w:val="17"/>
          <w:szCs w:val="17"/>
          <w:color w:val="auto"/>
        </w:rPr>
        <w:t>We are party to a credit agreement for our bank debt facility that contains covenants, requiring, among other things, maintenance of certain financial ratios, indebtedness and, under certain conditions, restricting our ability to pay dividends, repurchase common shares and make other restricted payments as defined in the credit agreement. The credit agreement provides for a $300 million revolving credit facility including a letter of credit sub-facility. Our credit facility has a maturity date of November 21, 2022 and is voluntarily payable from time to time without premium or penalty. See Part II, Item 7, “Management’s Discussion and Analysis of Financial Condition and Results of Operations” under “Liquidity and Capital Resources-Financing Arrangements (Debt Facility and Notes).”</w:t>
      </w:r>
    </w:p>
    <w:p>
      <w:pPr>
        <w:spacing w:after="0" w:line="12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Our cash flow from operations provides the primary source of funds for our debt service payments. If our cash flow from operations declines, we may not be able to service or refinance our current debt which could adversely affect our business and financial condition. In addition, we have limited ability to increase our borrowings under our existing credit agreement.</w:t>
      </w:r>
    </w:p>
    <w:p>
      <w:pPr>
        <w:spacing w:after="0" w:line="120" w:lineRule="exact"/>
        <w:rPr>
          <w:sz w:val="20"/>
          <w:szCs w:val="20"/>
          <w:color w:val="auto"/>
        </w:rPr>
      </w:pPr>
    </w:p>
    <w:p>
      <w:pPr>
        <w:jc w:val="both"/>
        <w:ind w:firstLine="393"/>
        <w:spacing w:after="0" w:line="322" w:lineRule="auto"/>
        <w:rPr>
          <w:sz w:val="20"/>
          <w:szCs w:val="20"/>
          <w:color w:val="auto"/>
        </w:rPr>
      </w:pPr>
      <w:r>
        <w:rPr>
          <w:rFonts w:ascii="Arial" w:cs="Arial" w:eastAsia="Arial" w:hAnsi="Arial"/>
          <w:sz w:val="16"/>
          <w:szCs w:val="16"/>
          <w:color w:val="auto"/>
        </w:rPr>
        <w:t>We may in the future require additional financing to fund one or more acquisitions and may not be able to obtain such additional financing on competitive terms or at all, which could restrict our ability to complete such transactions, or could impose financial or operational restrictions on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continues to be volatile.</w:t>
      </w:r>
    </w:p>
    <w:p>
      <w:pPr>
        <w:spacing w:after="0" w:line="172" w:lineRule="exact"/>
        <w:rPr>
          <w:sz w:val="20"/>
          <w:szCs w:val="20"/>
          <w:color w:val="auto"/>
        </w:rPr>
      </w:pPr>
    </w:p>
    <w:p>
      <w:pPr>
        <w:jc w:val="both"/>
        <w:ind w:firstLine="393"/>
        <w:spacing w:after="0" w:line="301" w:lineRule="auto"/>
        <w:rPr>
          <w:sz w:val="20"/>
          <w:szCs w:val="20"/>
          <w:color w:val="auto"/>
        </w:rPr>
      </w:pPr>
      <w:r>
        <w:rPr>
          <w:rFonts w:ascii="Arial" w:cs="Arial" w:eastAsia="Arial" w:hAnsi="Arial"/>
          <w:sz w:val="15"/>
          <w:szCs w:val="15"/>
          <w:color w:val="auto"/>
        </w:rPr>
        <w:t>Our stock has at times experienced substantial price volatility as a result of, among other reasons, variations between our actual and anticipated financial results, announcements by us and our competitors, terrorist attacks, natural disasters, epidemics or pandemics, or other such events impacting countries where we or our clients have operations, loss of one or more significant clients, announcements of technological developments, projections or speculation about our business or that of our competitors by the media or investment analysts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Where the global stock markets have experienced, and may continue to experience, significant decline from COVID-19, could result in a material adverse effect on our stock price. Furthermore, we believe our stock price should reflect future growth and profitability expectations and, if we fail to meet these expectations, this may have a materially adverse effect on the trading price of our common stock.</w:t>
      </w:r>
    </w:p>
    <w:p>
      <w:pPr>
        <w:spacing w:after="0" w:line="10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Delaware law and our amended and restated certificate of incorporation and by-laws contain certain anti-takeover provisions that could delay or discourage business combinations and takeover attempts that stockholders may consider favorable.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402"/>
        <w:spacing w:after="0" w:line="278" w:lineRule="auto"/>
        <w:rPr>
          <w:sz w:val="20"/>
          <w:szCs w:val="20"/>
          <w:color w:val="auto"/>
        </w:rPr>
      </w:pPr>
      <w:r>
        <w:rPr>
          <w:rFonts w:ascii="Arial" w:cs="Arial" w:eastAsia="Arial" w:hAnsi="Arial"/>
          <w:sz w:val="16"/>
          <w:szCs w:val="16"/>
          <w:color w:val="auto"/>
        </w:rPr>
        <w:t>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provisions permitting the board of directors to fill vacancies created by its expansion, provisions permitting the removal of directors only for cause and with the vote of holders of two thirds of our common stock, provisions requiring the vote of holders of two thirds of our common stock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in the foreseeable future, and, because we are also a holding company, we may be unable to pay dividends.</w:t>
      </w:r>
    </w:p>
    <w:p>
      <w:pPr>
        <w:spacing w:after="0" w:line="183" w:lineRule="exact"/>
        <w:rPr>
          <w:sz w:val="20"/>
          <w:szCs w:val="20"/>
          <w:color w:val="auto"/>
        </w:rPr>
      </w:pPr>
    </w:p>
    <w:p>
      <w:pPr>
        <w:jc w:val="both"/>
        <w:ind w:firstLine="402"/>
        <w:spacing w:after="0" w:line="264" w:lineRule="auto"/>
        <w:rPr>
          <w:sz w:val="20"/>
          <w:szCs w:val="20"/>
          <w:color w:val="auto"/>
        </w:rPr>
      </w:pPr>
      <w:r>
        <w:rPr>
          <w:rFonts w:ascii="Arial" w:cs="Arial" w:eastAsia="Arial" w:hAnsi="Arial"/>
          <w:sz w:val="17"/>
          <w:szCs w:val="17"/>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Industry</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industry may not develop in ways that we currently anticipate due to negative public reaction in the United States and elsewhere to offshore outsourcing, recently proposed legislation or otherwise.</w:t>
      </w:r>
    </w:p>
    <w:p>
      <w:pPr>
        <w:spacing w:after="0" w:line="106" w:lineRule="exact"/>
        <w:rPr>
          <w:sz w:val="20"/>
          <w:szCs w:val="20"/>
          <w:color w:val="auto"/>
        </w:rPr>
      </w:pPr>
    </w:p>
    <w:p>
      <w:pPr>
        <w:jc w:val="both"/>
        <w:ind w:firstLine="402"/>
        <w:spacing w:after="0" w:line="262" w:lineRule="auto"/>
        <w:rPr>
          <w:sz w:val="20"/>
          <w:szCs w:val="20"/>
          <w:color w:val="auto"/>
        </w:rPr>
      </w:pPr>
      <w:r>
        <w:rPr>
          <w:rFonts w:ascii="Arial" w:cs="Arial" w:eastAsia="Arial" w:hAnsi="Arial"/>
          <w:sz w:val="17"/>
          <w:szCs w:val="17"/>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United States and elsewhere, and many organizations and public figures have publicly expressed concern about a perceived association between offshore outsourcing providers and the loss of jobs in the United States and elsewhere.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and elsewhere.</w:t>
      </w:r>
    </w:p>
    <w:p>
      <w:pPr>
        <w:spacing w:after="0" w:line="129" w:lineRule="exact"/>
        <w:rPr>
          <w:sz w:val="20"/>
          <w:szCs w:val="20"/>
          <w:color w:val="auto"/>
        </w:rPr>
      </w:pPr>
    </w:p>
    <w:p>
      <w:pPr>
        <w:jc w:val="both"/>
        <w:ind w:firstLine="402"/>
        <w:spacing w:after="0" w:line="277"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with facilities outside the United States. For example, legislation has been proposed that would require offshore providers to identify where they are located and that would require notice to individuals whose personal information is disclosed to non-U.S. companies. In addition, bills have been proposed that would provide tax and other economic incentives for companies that create employment in the United States by reducing their offshore outsourcing, including the Made in America legislation described above. See Part I, Item 1A, “Risk Factors” under “Risks Related to the International Nature of Our Business-Our financial condition could be negatively affected if foreign governments introduces new legislation, reduce or withdraw tax benefits and other incentives currently provided to companies within our industry or if we are not eligible for these benefits.” Other bills have proposed requiring call centers to disclose their geographic locations, requiring notice to individuals whose personal information is disclosed to non-U.S. affiliates or subcontractors, requiring disclosures of companies’ foreign outsourcing practices or restricting U.S. private sector companies that have federal government contracts, federal grants or guaranteed loan programs from outsourcing their services to offshore service providers. In March 2021, Congressional Democrats introduced the “No Tax Breaks for Outsourcing Act” and “Stop Tax Haven Abuse Act,” both of which seek to increase U.S. taxes related to the non-U.S. activities of U.S. headquartered companies. If enacted, these proposed changes could have an impact on our results of operations and cash flows. Because most of our clients are located in the United States, any expansion of existing laws or the enactment of new legislation restricting offshore outsourcing could adversely impact our ability to do business with U.S. clients through our non-U.S. affiliates and have a material and adverse effect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402"/>
        <w:spacing w:after="0" w:line="261" w:lineRule="auto"/>
        <w:rPr>
          <w:sz w:val="20"/>
          <w:szCs w:val="20"/>
          <w:color w:val="auto"/>
        </w:rPr>
      </w:pPr>
      <w:r>
        <w:rPr>
          <w:rFonts w:ascii="Arial" w:cs="Arial" w:eastAsia="Arial" w:hAnsi="Arial"/>
          <w:sz w:val="17"/>
          <w:szCs w:val="17"/>
          <w:color w:val="auto"/>
        </w:rPr>
        <w:t>In other countries, such as the United Kingdom, there has also been some negative publicity and concern expressed regarding the possible effect of job losses caused by outsourcing. Legislation enacted in the United Kingdom as well as other European jurisdictions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who outsource business to us from those jurisdictions. We are generally indemnified in our existing contracts with clients in those jurisdictions to the extent we incur losses or additional costs due to the application of this legislation to us, and we intend to obtain indemnification in future contracts with clients. However, if we are unable to obtain indemnification in future contracts with clients or if the existing indemnification is not enforceable or available, we may be liable under those agreements we enter into with clients in the United Kingdom and other European jurisdictions.</w:t>
      </w:r>
    </w:p>
    <w:p>
      <w:pPr>
        <w:spacing w:after="0" w:line="130" w:lineRule="exact"/>
        <w:rPr>
          <w:sz w:val="20"/>
          <w:szCs w:val="20"/>
          <w:color w:val="auto"/>
        </w:rPr>
      </w:pPr>
    </w:p>
    <w:p>
      <w:pPr>
        <w:jc w:val="both"/>
        <w:ind w:firstLine="402"/>
        <w:spacing w:after="0" w:line="273" w:lineRule="auto"/>
        <w:rPr>
          <w:sz w:val="20"/>
          <w:szCs w:val="20"/>
          <w:color w:val="auto"/>
        </w:rPr>
      </w:pPr>
      <w:r>
        <w:rPr>
          <w:rFonts w:ascii="Arial" w:cs="Arial" w:eastAsia="Arial" w:hAnsi="Arial"/>
          <w:sz w:val="17"/>
          <w:szCs w:val="17"/>
          <w:color w:val="auto"/>
        </w:rPr>
        <w:t>Additionally, we cannot accurately predict the impact that COVID-19 might have on our clients’ outsourcing needs and efforts, as some of our clients might decide to refrain from offshore outsourcing due to the pressures they face from increased unemployment in the regions in which they operate as a result of COVID-19.</w:t>
      </w:r>
    </w:p>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Unauthorized disclosure of sensitive or confidential client and employee data, whether through breach of our computer systems or otherwise, could cause us significant reputational damage, expose us to protracted and costly litigation, and cause us to lose clients.</w:t>
      </w:r>
    </w:p>
    <w:p>
      <w:pPr>
        <w:spacing w:after="0" w:line="93" w:lineRule="exact"/>
        <w:rPr>
          <w:sz w:val="20"/>
          <w:szCs w:val="20"/>
          <w:color w:val="auto"/>
        </w:rPr>
      </w:pPr>
    </w:p>
    <w:p>
      <w:pPr>
        <w:jc w:val="both"/>
        <w:ind w:firstLine="402"/>
        <w:spacing w:after="0" w:line="241" w:lineRule="auto"/>
        <w:rPr>
          <w:sz w:val="20"/>
          <w:szCs w:val="20"/>
          <w:color w:val="auto"/>
        </w:rPr>
      </w:pPr>
      <w:r>
        <w:rPr>
          <w:rFonts w:ascii="Arial" w:cs="Arial" w:eastAsia="Arial" w:hAnsi="Arial"/>
          <w:sz w:val="16"/>
          <w:szCs w:val="16"/>
          <w:color w:val="auto"/>
        </w:rPr>
        <w:t>We are typically required to process, and sometimes collect and/or store sensitive data, including data regulated by the U.S. Health Insurance Portability and Accountability Act of 1996, as amended, of our clients’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In the United States, several states have enacted or are considering enacting privacy regulations. In California, the California Consumer Privacy Act (the “CCPA”) went into effect in January 2020. The CCPA imposes privacy and data security obligations on companies collecting, accessing or processing the personal information of California residents and provides California consumers with certain rights as data subjects. The CCPA was substantially amended through the passage of the California Privacy Rights Act (the “CPRA”) which takes effect on January 1, 2023. The CPRA expands the definition of personal information to include certain categories of sensitive data, or “sensitive personal information,” which is subject to heightened protection. The CPRA also expanded the scope of coverage to include requirements with respect to employee data and created a new state agency vested with authority to implement and enforce the CCPA and the CPRA. In 2021, Virginia and Colorado enacted comprehensive privacy laws through the passage of the Virginia Consumer Data Protection Act (“VCDPA”) and Colorado Privacy Act (“CPA”), respectively, which embody similar privacy principles underlying the CCPA and CPRA with some notable differences in how such principles are transcribed into law. The VCDPA takes effect on January 1, 2023, and the CPA takes effect on July 1, 2023. In the EU, the General Data Protection Regulation (the “GDPR”) imposes privacy and data security compliance obligations and significant penalties for noncompliance. The GDPR presents numerous privacy-related changes for companies operating in the EU, including rights guaranteed to data subjects, requirements for data portability for EU consumers, data breach notification requirements and significant fines for noncompliance. In GDPR enforcement matters, companies have faced fines for violations of certain provisions. Additionally, in India, the Personal Data Protection Bill, 2019 continues to make progress through the Indian Parliament. If enacted in its current form it would impose stringent obligations on the handling of personal data, including certain localization requirements for sensitive data. Other countries have enacted or are considering enacting data localization laws that require certain data to stay within their borders. We may also face audits or investigations by one or more domestic or foreign government agencies or our clients pursuant to our contractual obligations relating to our compliance with these regulations. Complying with changing regulatory requirements requires us to incur substantial costs, exposes us to potential regulatory action or litigation, and may require changes to our business practices in certain jurisdictions. As a result, we are subject to various data protection and privacy laws in the countries in which we operate, and the failure to comply could result in significant fines and penalties. In addition, many of our agreements with our clients do not include any limitation on our liability to them with respect to breaches of our obligation to keep the information we receive from them confidential.</w:t>
      </w:r>
    </w:p>
    <w:p>
      <w:pPr>
        <w:spacing w:after="0" w:line="143" w:lineRule="exact"/>
        <w:rPr>
          <w:sz w:val="20"/>
          <w:szCs w:val="20"/>
          <w:color w:val="auto"/>
        </w:rPr>
      </w:pPr>
    </w:p>
    <w:p>
      <w:pPr>
        <w:jc w:val="both"/>
        <w:ind w:firstLine="402"/>
        <w:spacing w:after="0" w:line="262" w:lineRule="auto"/>
        <w:rPr>
          <w:sz w:val="20"/>
          <w:szCs w:val="20"/>
          <w:color w:val="auto"/>
        </w:rPr>
      </w:pPr>
      <w:r>
        <w:rPr>
          <w:rFonts w:ascii="Arial" w:cs="Arial" w:eastAsia="Arial" w:hAnsi="Arial"/>
          <w:sz w:val="17"/>
          <w:szCs w:val="17"/>
          <w:color w:val="auto"/>
        </w:rPr>
        <w:t>Although we devote substantial resources to protect our information assets and our clients' confidential information, any network infrastructure is to some extent vulnerable due to rapidly evolving cyber-attacks, employee error, malfeasance, or a combination of the foregoing. Additionally, outside parties may attempt to fraudulently induce employees, users, or customers to disclose sensitive information in order to gain access to our data or our users’ or customers’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(or a breach of a customer’s security that can be attributed to our fault or is perceived to be our fault), the market perception of the effectiveness of our security measures could be harmed and we could lose users and customers. Security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breaches expose us to a risk of loss of this information, litigation, remediation costs, increased costs for security measures, loss of revenue, damage to our reputation, and potential liability.</w:t>
      </w:r>
    </w:p>
    <w:p>
      <w:pPr>
        <w:spacing w:after="0" w:line="106" w:lineRule="exact"/>
        <w:rPr>
          <w:sz w:val="20"/>
          <w:szCs w:val="20"/>
          <w:color w:val="auto"/>
        </w:rPr>
      </w:pPr>
    </w:p>
    <w:p>
      <w:pPr>
        <w:jc w:val="both"/>
        <w:ind w:firstLine="402"/>
        <w:spacing w:after="0" w:line="264" w:lineRule="auto"/>
        <w:rPr>
          <w:sz w:val="20"/>
          <w:szCs w:val="20"/>
          <w:color w:val="auto"/>
        </w:rPr>
      </w:pPr>
      <w:r>
        <w:rPr>
          <w:rFonts w:ascii="Arial" w:cs="Arial" w:eastAsia="Arial" w:hAnsi="Arial"/>
          <w:sz w:val="17"/>
          <w:szCs w:val="17"/>
          <w:color w:val="auto"/>
        </w:rPr>
        <w:t>Unauthorized access to or disclosure of sensitive or confidential client or employee data by any person, including any of our employees, whether through breach our perimeter or internal network security, data centers, computing infrastructure, computer systems, or systems failure, employee negligence, fraud or misappropriation, or otherwise, could result in negative publicity, subject us to significant liability and lawsuits from our employees, clients or their customers for breaching contractual confidentiality provisions or privacy laws, or investigations and penalties from regulators or criminal prosecution, damage to our reputation and cause us to lose clients. Under some of our client contracts, we have agreed to pay for the costs of remediation or notice to end users or credit monitoring, as well as other costs, in the event of a breach.</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industry is subject to rapid technological change, and we may not be successful in addressing these changes.</w:t>
      </w:r>
    </w:p>
    <w:p>
      <w:pPr>
        <w:spacing w:after="0" w:line="172"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Our industry is characterized by rapid technological change, evolving industry standards, changing client preferences and new product introductions. The success of our business depends, in part, upon our ability to develop services that keep pace with changes in the industry.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technology and industry developments or if we do not make the right strategic investments to respond to these developments and successfully drive innovation, our services and solutions, our results of operations, and our ability to develop and maintain a competitive advantage and continue to grow could be negatively affected.</w:t>
      </w:r>
    </w:p>
    <w:p>
      <w:pPr>
        <w:spacing w:after="0" w:line="101" w:lineRule="exact"/>
        <w:rPr>
          <w:sz w:val="20"/>
          <w:szCs w:val="20"/>
          <w:color w:val="auto"/>
        </w:rPr>
      </w:pPr>
    </w:p>
    <w:p>
      <w:pPr>
        <w:jc w:val="both"/>
        <w:ind w:firstLine="393"/>
        <w:spacing w:after="0" w:line="237" w:lineRule="auto"/>
        <w:rPr>
          <w:sz w:val="20"/>
          <w:szCs w:val="20"/>
          <w:color w:val="auto"/>
        </w:rPr>
      </w:pPr>
      <w:r>
        <w:rPr>
          <w:rFonts w:ascii="Arial" w:cs="Arial" w:eastAsia="Arial" w:hAnsi="Arial"/>
          <w:sz w:val="17"/>
          <w:szCs w:val="17"/>
          <w:color w:val="auto"/>
        </w:rPr>
        <w:t>Our growing use of AI (including ML) in our offerings presents additional risks. AI algorithms may be flawed and datasets may be insufficient or contain biased information. Inappropriate or controversial data practices by us or others could impair the acceptance of AI solutions or subject us to lawsuits and regulatory investigations. These deficiencies could undermine the decisions, predictions or analysis AI applications produce, or lead to unintentional bias and discrimination, subjecting us to competitive harm, legal liability, and brand or reputational harm.</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General Risk Factors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results of operations could be adversely affected by economic and political conditions globally and the effects of these conditions on our clients’ businesses and levels of business activity.</w:t>
      </w:r>
    </w:p>
    <w:p>
      <w:pPr>
        <w:spacing w:after="0" w:line="106" w:lineRule="exact"/>
        <w:rPr>
          <w:sz w:val="20"/>
          <w:szCs w:val="20"/>
          <w:color w:val="auto"/>
        </w:rPr>
      </w:pPr>
    </w:p>
    <w:p>
      <w:pPr>
        <w:jc w:val="both"/>
        <w:ind w:firstLine="393"/>
        <w:spacing w:after="0" w:line="297" w:lineRule="auto"/>
        <w:rPr>
          <w:sz w:val="20"/>
          <w:szCs w:val="20"/>
          <w:color w:val="auto"/>
        </w:rPr>
      </w:pPr>
      <w:r>
        <w:rPr>
          <w:rFonts w:ascii="Arial" w:cs="Arial" w:eastAsia="Arial" w:hAnsi="Arial"/>
          <w:sz w:val="15"/>
          <w:szCs w:val="15"/>
          <w:color w:val="auto"/>
        </w:rPr>
        <w:t>Global economic and political conditions affect our clients’ businesses and the markets they serve, which are increasingly becoming more interdependent. The domestic and international capital and credit markets have been experiencing volatility and disruption for the past several years, resulting in uncertainty in the financial markets in general, which includes companies in the banking, financial services, healthcare and insurance industries to which we provide services, and which industries were further disrupted by COVID-19. Although there has been recent improvement in general economic conditions in these industries, there can be no assurance that the economic environment will continue to improve. Our business largely depends on continued demand for our services from clients and potential clients in these industries. If there is a significant consolidation in these industries or a decrease in growth due to any adverse development or consolidation in other industry verticals on which we focus, such events could materially reduce the demand for our services and negatively affect our revenue and profitability. In addition, we currently earn, and are likely to continue to earn, a significant portion of our revenues from clients located in the United States. Weakness in the U.S. labor market could also adversely affect the demand for our services. Other developments in response to economic events, such as restructurings or reorganizations, particularly involving our clients, could also cause the demand for our services to decline. Many of our operating subsidiaries are incorporated in India and the Philippines, and a substantial portion of our assets and our employees are located in such locations. Although we intend to continue to develop and expand our offshore facilities in such locations, our ability to recruit, train and retain qualified employees, develop and operate our operations centers, and attract and retain clients could be adversely affected due to economic and political uncertainties in such locations.</w:t>
      </w:r>
    </w:p>
    <w:p>
      <w:pPr>
        <w:spacing w:after="0" w:line="110"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Market disruptions may limit our ability to access financing or increase our cost of financing to meet liquidity needs, and affect the ability of our clients to use credit to purchase our services or to make timely payments to us.</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are unable to collect our receivables from, or bill our unbilled services to, our clients, our results of operations and cash flows could be adversely affected.</w:t>
      </w:r>
    </w:p>
    <w:p>
      <w:pPr>
        <w:spacing w:after="0" w:line="106"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Our business depends on our ability to successfully obtain payment from our clients for work performed. We evaluate the financial condition of our clients and usually bill and collect on relatively short cycles. We maintain allowances against receivables and unbilled services. Actual losses on client balances could differ from those that we currently anticipate and, as a result, we might need to adjust our allowances. We might not accurately assess the creditworthiness of our clients.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Macroeconomic conditions, such as any domestic or global credit crisis and disruption of the global financial system, including on account of COVID-19, have resulted and may continue to result in financial difficulties for our clients, such as limited access to the credit markets, limited government stimulus support, insolvency or bankruptcy, and, as a result, have caused and may continue to cause, clients to delay payments to us, request modifications to their payment arrangements that could increase our receivables balance, or default on their payment obligations to us. Timely collection of client balances also depends on our ability to complete our contractual commitments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business could be negatively affected if we incur legal liability, including with respect to our contractual obligations, in connection with providing our solutions and services.</w:t>
      </w:r>
    </w:p>
    <w:p>
      <w:pPr>
        <w:spacing w:after="0" w:line="106"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color w:val="auto"/>
        </w:rPr>
        <w:t>If we fail to meet our contractual obligations or otherwise breach obligations to our clients or vendors, we could be subject to legal liability. We may enter into non-standard agreements because we perceive an important economic opportunity by doing so or because our personnel did not adequately adhere to our guidelines. In addition, with respect to our client contracts, the contracting practices of our competitors may cause contract terms and conditions that are unfavorable to us to become standard in the marketplace. If we cannot or do not perform our obligations with clients or vendors, we could face legal liability and our contracts might not always protect us adequately through limitations on the scope and/or amount of our potential liability. If we cannot, or do not, meet our contractual obligations to provide solutions and services to clients, and if our exposure is not adequately limited through the enforceable terms of our agreements, we might face significant legal liability and our business could be adversely affected. Similarly, if we cannot, or do not, meet our contractual obligations with vendors, such as licensors, the vendors may have the right to terminate the contract, in which case we may not be able to provide client solutions and services dependent on the products or services provided to us by such contracts.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make estimates and assumptions in connection with the preparation of our consolidated financial statements, and any changes to those estimates and assumptions could adversely affect our financial results.</w:t>
      </w:r>
    </w:p>
    <w:p>
      <w:pPr>
        <w:spacing w:after="0" w:line="106" w:lineRule="exact"/>
        <w:rPr>
          <w:sz w:val="20"/>
          <w:szCs w:val="20"/>
          <w:color w:val="auto"/>
        </w:rPr>
      </w:pPr>
    </w:p>
    <w:p>
      <w:pPr>
        <w:jc w:val="both"/>
        <w:ind w:firstLine="393"/>
        <w:spacing w:after="0" w:line="260" w:lineRule="auto"/>
        <w:rPr>
          <w:sz w:val="20"/>
          <w:szCs w:val="20"/>
          <w:color w:val="auto"/>
        </w:rPr>
      </w:pPr>
      <w:r>
        <w:rPr>
          <w:rFonts w:ascii="Arial" w:cs="Arial" w:eastAsia="Arial" w:hAnsi="Arial"/>
          <w:sz w:val="17"/>
          <w:szCs w:val="17"/>
          <w:color w:val="auto"/>
        </w:rPr>
        <w:t>Our financial statements have been prepared in accordance with U.S. generally accepted accounting principles (U.S. GAAP). The application of U.S. GAAP requires us to make estimates and assumptions about certain items and future events that affect our reported financial condition, and our accompanying disclosure. Our most critical accounting estimates are described in Part II, Item 7, “Management’s Discussion and Analysis of Financial Condition and Results of Operations” under “Critical Accounting Policies and Estimates.” We base our estimates on historical experience, contractual commitments and on various other assumptions that we believe to be reasonable under the circumstances and at the time they are made. These estimates and assumptions involve the use of judgment and are subject to significant uncertainties, some of which are beyond our control. COVID-19 has impacted our business and the extent to which COVID-19 may continue to impact our business depends on numerous dynamic factors, which we still cannot reliably predict. As a result, many of our estimates and assumptions require increased judgment and carry a higher degree of variability and volatility. As events continue to evolve with respect to COVID-19, our estimates may materially change in future periods. If our estimates, or the assumptions underlying such estimates, are not correct, actual results may differ materially from our estimates, and we may need to, among other things, adjust revenues or accrue additional charges that could adversely affect our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credit risk and fluctuations in the market values of our investment and derivatives portfolios.</w:t>
      </w:r>
    </w:p>
    <w:p>
      <w:pPr>
        <w:spacing w:after="0" w:line="172"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7"/>
          <w:szCs w:val="17"/>
          <w:color w:val="auto"/>
        </w:rPr>
        <w:t>Any deterioration of the credit and capital markets in the United States, Asia or other regions of the world could result in volatility of our investment earnings and impairments to our investment portfolio, which could negatively impact our financial condition and reported income. Changes in economic conditions could adversely affect the ability of counterparties, including counterparties to our foreign exchange forward contracts, to meet their obligations to us, which could materially affect our positions and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fully insured for all losses we may incur.</w:t>
      </w:r>
    </w:p>
    <w:p>
      <w:pPr>
        <w:spacing w:after="0" w:line="17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We could be sued directly for claims that could be significant, such as claims related to breaches of privacy or network security, infringement of intellectual property rights, violation of wage and hour laws, or systemic discrimination, and our liability under our contracts may not fully limit or insulate us from those liabilities. Although we have general liability insurance coverage, including coverage for errors or omissions, cyber security incidents,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U.S., and our indemnification obligations to our clients based on employment law. The successful assertion of one or more large claims against us that are excluded from our insurance coverage or exceed available insurance coverage, or changes in our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insurance policies (including premium increases, the imposition of large deductible or co-insurance requirements, or our insurers’ disclaimer of coverage as to future claims), could have a material adverse effect on our business, results of operations, financial condition and cash flows.</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New and changing laws, corporate governance and public disclosure requirements add uncertainty to our compliance policies and increase our costs of compliance.</w:t>
      </w:r>
    </w:p>
    <w:p>
      <w:pPr>
        <w:spacing w:after="0" w:line="106"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Changing laws, regulations and standards relating to accounting, corporate governance and public disclosure, including the Sarbanes-Oxley Act of 2002, the Dodd-Frank Wall Street Reform and Consumer Protection Act (“Dodd Frank”), other SEC regulations, rules and regulations of the Consumer Financial Protection Bureau, Public Company Accounting Oversight Board, and the NASDAQ Global Select Market, and generally accepted accounting principles issued by FASB can create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115" w:lineRule="exact"/>
        <w:rPr>
          <w:sz w:val="20"/>
          <w:szCs w:val="20"/>
          <w:color w:val="auto"/>
        </w:rPr>
      </w:pPr>
    </w:p>
    <w:p>
      <w:pPr>
        <w:jc w:val="both"/>
        <w:ind w:firstLine="402"/>
        <w:spacing w:after="0" w:line="303" w:lineRule="auto"/>
        <w:rPr>
          <w:sz w:val="20"/>
          <w:szCs w:val="20"/>
          <w:color w:val="auto"/>
        </w:rPr>
      </w:pPr>
      <w:r>
        <w:rPr>
          <w:rFonts w:ascii="Arial" w:cs="Arial" w:eastAsia="Arial" w:hAnsi="Arial"/>
          <w:sz w:val="15"/>
          <w:szCs w:val="15"/>
          <w:color w:val="auto"/>
        </w:rPr>
        <w:t>Effective internal controls are necessary for us to provide reliable and accurate financial statements and to effectively prevent fraud. We devote significant financial and managerial resources and time to comply with the internal control over financial reporting requirements of the Sarbanes Oxley Act of 2002 and continue to enhance our controls. Internal control over financial reporting has inherent limitations, including human error, sample-based testing, the possibility that controls could be circumvented or become inadequate because of changed conditions, and fraud. Because of these inherent limitations, internal control over financial reporting might not prevent or detect all misstatements or fraud. While we do not anticipate any material weaknesses, we cannot be certain that we will be able to prevent future significant deficiencies or material weaknesses. Inadequate internal controls could result in adverse consequences to us, including, but not limited to, a loss of investor confidence in the reliability of our financial statements, which could cause the market price of our stock to decline.</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committed to maintaining high standards of corporate governance and public disclosure, and our efforts to comply with evolving laws, regulations and standards in this regard have resulted in, and are likely to continue to result in, increased general and administrative expenses and a diversion of management time and attention from revenue-generating activities to compliance activities. In addition, the laws, regulations and standards regarding corporate governance may make it more difficult for us to obtain director and officer liability insurance. Further, our board members, chief executive officer and chief financial officer could face an increased risk of personal liability in connection with their performance of duties. As a result, we may face difficulties attracting and retaining qualified board members and executive officers, which could harm our business. If we fail to comply with new or changed laws, regulations or standards of corporate governance, our business and reputation may be harmed.</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global operations expose us to numerous and sometimes conflicting legal and regulatory requirements, and violations of these regulations could harm our business.</w:t>
      </w:r>
    </w:p>
    <w:p>
      <w:pPr>
        <w:spacing w:after="0" w:line="106" w:lineRule="exact"/>
        <w:rPr>
          <w:sz w:val="20"/>
          <w:szCs w:val="20"/>
          <w:color w:val="auto"/>
        </w:rPr>
      </w:pPr>
    </w:p>
    <w:p>
      <w:pPr>
        <w:jc w:val="both"/>
        <w:ind w:firstLine="402"/>
        <w:spacing w:after="0" w:line="279" w:lineRule="auto"/>
        <w:rPr>
          <w:sz w:val="20"/>
          <w:szCs w:val="20"/>
          <w:color w:val="auto"/>
        </w:rPr>
      </w:pPr>
      <w:r>
        <w:rPr>
          <w:rFonts w:ascii="Arial" w:cs="Arial" w:eastAsia="Arial" w:hAnsi="Arial"/>
          <w:sz w:val="16"/>
          <w:szCs w:val="16"/>
          <w:color w:val="auto"/>
        </w:rPr>
        <w:t>We provide services to clients throughout the world, therefore we are subject to numerous, and sometimes conflicting, legal rules on matters as diverse as import/export controls, content requirements, trade restrictions, tariffs, taxation, sanctions, government affairs, internal and disclosure control obligations, securities regulation, including anti-competition, anti-money-laundering, data privacy and protection, government compliance, wage-and-hour standards, employment and labor relations and human rights. The global nature of our operations increases the difficulty of compliance. Compliance with diverse legal requirements is costly, time-consuming and requires significant resources. Violations of any of these laws or regulations in the conduct of our business could result in fines, criminal sanctions against us or our officers, prohibitions on doing business, damage to our reputation and other unintended consequences such as liability for monetary damages, fines and/or criminal prosecution, unfavorable publicity,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 Our failure to comply with applicable legal and regulatory requirements could have a material adverse effect on our business, results of operations, financial condition and cash flows.</w:t>
      </w:r>
    </w:p>
    <w:p>
      <w:pPr>
        <w:spacing w:after="0" w:line="117"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Governmental bodies, investors, clients and businesses are increasingly focused on environmental, social, and governance (“ESG”) issues, which has resulted and may in the future continue to result in the adoption of new laws and regulations and changing buying practices. If we fail to keep pace with ESG trends and developments or fail to meet the expectations of our clients and investors, our reputation and business could be adversely impacted.</w:t>
      </w:r>
    </w:p>
    <w:p>
      <w:pPr>
        <w:spacing w:after="0" w:line="101" w:lineRule="exact"/>
        <w:rPr>
          <w:sz w:val="20"/>
          <w:szCs w:val="20"/>
          <w:color w:val="auto"/>
        </w:rPr>
      </w:pPr>
    </w:p>
    <w:p>
      <w:pPr>
        <w:jc w:val="both"/>
        <w:ind w:firstLine="402"/>
        <w:spacing w:after="0" w:line="273" w:lineRule="auto"/>
        <w:rPr>
          <w:sz w:val="20"/>
          <w:szCs w:val="20"/>
          <w:color w:val="auto"/>
        </w:rPr>
      </w:pPr>
      <w:r>
        <w:rPr>
          <w:rFonts w:ascii="Arial" w:cs="Arial" w:eastAsia="Arial" w:hAnsi="Arial"/>
          <w:sz w:val="17"/>
          <w:szCs w:val="17"/>
          <w:color w:val="auto"/>
        </w:rPr>
        <w:t>In addition, it may be difficult to enforce our intellectual property rights both within and outside of the United States. India is a member of the Berne Convention, an international intellectual property treaty, and has agreed to recognize protections on intellectual property rights conferred under the laws of other foreign countries, including the laws of the United States. There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can be no assurance, however, that the laws, rules, regulations and treaties in effect in the United States, India and the other jurisdictions in which we operate and the contractual and other protective measures we take, are adequate to protect us from misappropriation or unauthorized use of our intellectual property, or that such laws will not change.</w:t>
      </w:r>
    </w:p>
    <w:p>
      <w:pPr>
        <w:spacing w:after="0" w:line="120" w:lineRule="exact"/>
        <w:rPr>
          <w:sz w:val="20"/>
          <w:szCs w:val="20"/>
          <w:color w:val="auto"/>
        </w:rPr>
      </w:pPr>
    </w:p>
    <w:p>
      <w:pPr>
        <w:jc w:val="both"/>
        <w:ind w:firstLine="402"/>
        <w:spacing w:after="0" w:line="279" w:lineRule="auto"/>
        <w:rPr>
          <w:sz w:val="20"/>
          <w:szCs w:val="20"/>
          <w:color w:val="auto"/>
        </w:rPr>
      </w:pPr>
      <w:r>
        <w:rPr>
          <w:rFonts w:ascii="Arial" w:cs="Arial" w:eastAsia="Arial" w:hAnsi="Arial"/>
          <w:sz w:val="16"/>
          <w:szCs w:val="16"/>
          <w:color w:val="auto"/>
        </w:rPr>
        <w:t>Among other anti-corruption laws and regulations, including the U.K. Bribery Act, we are subject to the United States Foreign Corrupt Practices Act, or FCPA, which prohibits improper payments or offers of improper payments to foreign officials to obtain business or any other benefit. The FCPA also requires covered companies to make and keep books and records that accurately and fairly reflect the transactions of the company and to devise and maintain an adequate system of internal accounting controls. In many parts of the world, including countries in which we operate, practices in the local business community might not conform to international business standards and could violate these anti-corruption laws or regulations. Although we have policies and procedures in place that are designed to promote legal and regulatory compliance, including with respect to the FCPA, our employees, subcontractors and agents could take actions that violate these policies or procedures or applicable anti-corruption laws or regulations. Furthermore, the U.S. government may seek to hold us liable for successor liability FCPA violations committed by companies in which we invest or that we acquire. Violations of these laws or regulations could subject us to criminal or civil enforcement actions, including fines and suspension or disqualification from government contracting or contracting with private entities in certain highly regulated industries, any of which could have a material adverse effect on our business.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We are vulnerable to natural disasters, technical disruptions and man-made events that could severely disrupt the normal operation of our business and if our risk management, business continuity and disaster recovery plans are nor effective, it may adversely affect our business, results of operations, financial condition and cash flows.</w:t>
      </w:r>
    </w:p>
    <w:p>
      <w:pPr>
        <w:spacing w:after="0" w:line="120"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6"/>
          <w:szCs w:val="16"/>
          <w:color w:val="auto"/>
        </w:rPr>
        <w:t>Our operations centers and our data and voice communications, particularly in India and the Philippines, may be damaged or disrupted as a result of natural disasters such as earthquakes, floods, volcano eruptions, heavy rains, epidemics or pandemics, tsunamis and cyclones, technical disruptions such as electricity or infrastructure breakdowns, including damage to telecommunications cables, computer glitches and electronic viruses or man-made events such as political unrest, terrorist attacks, other acts of violence or war, protests, riots and labor unrest. Such events may lead to the disruption of information systems and telecommunication services for sustained periods. They also may make it difficult or impossible for employees to reach our business locations. Our risk management, business continuity and disaster recovery plans may not be effective at preventing or mitigating the effects of such disruptions, particularly in the case of a catastrophic events.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delivery centers. We may also be liable to our clients for disruption in service resulting from such damage or destruction. While we currently have commercial liability insurance, our insurance coverage may not be sufficient. Furthermore, we may be unable to secure such insurance coverage at premiums acceptable to us in the future or at all. Prolonged disruption of our services would also entitle our clients to terminate their contracts with us. Any of the above factors may adversely affect our business, results of operations, financial condition and cash flows.</w:t>
      </w:r>
    </w:p>
    <w:p>
      <w:pPr>
        <w:spacing w:after="0" w:line="34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65" w:lineRule="exact"/>
        <w:rPr>
          <w:sz w:val="20"/>
          <w:szCs w:val="20"/>
          <w:color w:val="auto"/>
        </w:rPr>
      </w:pPr>
    </w:p>
    <w:p>
      <w:pPr>
        <w:jc w:val="both"/>
        <w:ind w:firstLine="433"/>
        <w:spacing w:after="0" w:line="234" w:lineRule="auto"/>
        <w:rPr>
          <w:sz w:val="20"/>
          <w:szCs w:val="20"/>
          <w:color w:val="auto"/>
        </w:rPr>
      </w:pPr>
      <w:r>
        <w:rPr>
          <w:rFonts w:ascii="Arial" w:cs="Arial" w:eastAsia="Arial" w:hAnsi="Arial"/>
          <w:sz w:val="17"/>
          <w:szCs w:val="17"/>
          <w:color w:val="auto"/>
        </w:rPr>
        <w:t>Our corporate headquarters are located in New York, New York. We have multiple operations centers spread across India, the Philippines, the United Kingdom, Colombia, Bulgaria, the Czech Republic, Romania and South Africa with an aggregate area of approximately 2,014,000 square feet and a current installed capacity of approximately 30,400 workstations, including workstations for training and our employees in enabling functions. We also have multiple operations centers and regional offices in the United States. We continue to optimize our existing network of operations centers to service our client, drive efficiencies and adapting the remote working operating model.</w:t>
      </w:r>
    </w:p>
    <w:p>
      <w:pPr>
        <w:spacing w:after="0" w:line="135"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Our corporate headquarters and all of our operations centers are leased under long-term leases with varying expiration dates, except for an operations center in Pune, India with an area of 86,361 sq. ft. and containing approximately 1,670 agent workstations, which we own. Substantially all of our owned and leased property is used to service all of our reporting segments. We believe that our current facilities are adequate to support our existing operations. We also believe that we will be able to obtain suitable additional facilities on commercially reasonable terms on an “as needed basis.”</w:t>
      </w:r>
    </w:p>
    <w:p>
      <w:pPr>
        <w:spacing w:after="0" w:line="33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5"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25 -</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Commitments and Contingencies to our consolidated financial statements contained herein for details regarding our tax proceedings.</w:t>
      </w:r>
    </w:p>
    <w:p>
      <w:pPr>
        <w:spacing w:after="0" w:line="26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357" w:right="1440"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29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common stock trades on the Nasdaq Global Select Market under the symbol “EXLS.”</w:t>
      </w:r>
    </w:p>
    <w:p>
      <w:pPr>
        <w:spacing w:after="0" w:line="172"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As of February 22, 2022, there were 11 holders of record of our outstanding common stock. A substantially greater number of holders of our common stock are “street name” or beneficial holders, whose shares of record are held by banks, brokers, and other financial institutions.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78"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On December 16, 2019, the Company’s Board of Directors authorized a $200 million common stock repurchase program beginning January 1, 2020 through December 31, 2022 (the “2019 Repurchase Program”).</w:t>
      </w:r>
    </w:p>
    <w:p>
      <w:pPr>
        <w:spacing w:after="0" w:line="93"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On October 5, 2021, the Company’s Board of Directors authorized a $300 million common stock repurchase program beginning January 1, 2022 (the “2022 Repurchase Program”), and terminated the 2019 Repurchase Program on December 31, 2021.</w:t>
      </w:r>
    </w:p>
    <w:p>
      <w:pPr>
        <w:spacing w:after="0" w:line="185" w:lineRule="exact"/>
        <w:rPr>
          <w:sz w:val="20"/>
          <w:szCs w:val="20"/>
          <w:color w:val="auto"/>
        </w:rPr>
      </w:pPr>
    </w:p>
    <w:p>
      <w:pPr>
        <w:jc w:val="both"/>
        <w:ind w:firstLine="433"/>
        <w:spacing w:after="0" w:line="237" w:lineRule="auto"/>
        <w:rPr>
          <w:sz w:val="20"/>
          <w:szCs w:val="20"/>
          <w:color w:val="auto"/>
        </w:rPr>
      </w:pPr>
      <w:r>
        <w:rPr>
          <w:rFonts w:ascii="Arial" w:cs="Arial" w:eastAsia="Arial" w:hAnsi="Arial"/>
          <w:sz w:val="17"/>
          <w:szCs w:val="17"/>
          <w:color w:val="auto"/>
        </w:rPr>
        <w:t>Under the 2022 Repurchase Program and 2019 Repurchase Program, shares may be purchased by the Company from time to time from the open market and through private transactions, or otherwise, as determined by the Company’s management as market conditions warrant. The Company has structured open market purchases under the Repurchase Programs to comply with Rule 10b-18 under the Exchange Act. Repurchases may be discontinued at any time by management.</w:t>
      </w:r>
    </w:p>
    <w:p>
      <w:pPr>
        <w:spacing w:after="0" w:line="133"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Repurchased shares under the Repurchase Programs are recorded as treasury shares and are held until our Board of Directors designates that these shares be retired or used for other purposes.</w:t>
      </w:r>
    </w:p>
    <w:p>
      <w:pPr>
        <w:spacing w:after="0" w:line="93"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The following table provides information regarding the purchase of equity securities by the Company under the 2019 Repurchase Program during the three months ended December 31, 2021:</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2"/>
              </w:rPr>
              <w:t>Total Number of Shares</w:t>
            </w:r>
          </w:p>
        </w:tc>
        <w:tc>
          <w:tcPr>
            <w:tcW w:w="120" w:type="dxa"/>
            <w:vAlign w:val="bottom"/>
          </w:tcPr>
          <w:p>
            <w:pPr>
              <w:spacing w:after="0"/>
              <w:rPr>
                <w:sz w:val="16"/>
                <w:szCs w:val="16"/>
                <w:color w:val="auto"/>
              </w:rPr>
            </w:pPr>
          </w:p>
        </w:tc>
        <w:tc>
          <w:tcPr>
            <w:tcW w:w="1760" w:type="dxa"/>
            <w:vAlign w:val="bottom"/>
          </w:tcPr>
          <w:p>
            <w:pPr>
              <w:jc w:val="center"/>
              <w:ind w:right="36"/>
              <w:spacing w:after="0"/>
              <w:rPr>
                <w:sz w:val="20"/>
                <w:szCs w:val="20"/>
                <w:color w:val="auto"/>
              </w:rPr>
            </w:pPr>
            <w:r>
              <w:rPr>
                <w:rFonts w:ascii="Arial" w:cs="Arial" w:eastAsia="Arial" w:hAnsi="Arial"/>
                <w:sz w:val="17"/>
                <w:szCs w:val="17"/>
                <w:b w:val="1"/>
                <w:bCs w:val="1"/>
                <w:color w:val="auto"/>
                <w:w w:val="96"/>
              </w:rPr>
              <w:t>Approximate Dollar</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20"/>
              <w:spacing w:after="0" w:line="171" w:lineRule="exact"/>
              <w:rPr>
                <w:sz w:val="20"/>
                <w:szCs w:val="20"/>
                <w:color w:val="auto"/>
              </w:rPr>
            </w:pPr>
            <w:r>
              <w:rPr>
                <w:rFonts w:ascii="Arial" w:cs="Arial" w:eastAsia="Arial" w:hAnsi="Arial"/>
                <w:sz w:val="17"/>
                <w:szCs w:val="17"/>
                <w:b w:val="1"/>
                <w:bCs w:val="1"/>
                <w:color w:val="auto"/>
                <w:w w:val="92"/>
              </w:rPr>
              <w:t>Purchased as Part of</w:t>
            </w:r>
          </w:p>
        </w:tc>
        <w:tc>
          <w:tcPr>
            <w:tcW w:w="120" w:type="dxa"/>
            <w:vAlign w:val="bottom"/>
          </w:tcPr>
          <w:p>
            <w:pPr>
              <w:spacing w:after="0"/>
              <w:rPr>
                <w:sz w:val="14"/>
                <w:szCs w:val="14"/>
                <w:color w:val="auto"/>
              </w:rPr>
            </w:pPr>
          </w:p>
        </w:tc>
        <w:tc>
          <w:tcPr>
            <w:tcW w:w="1760" w:type="dxa"/>
            <w:vAlign w:val="bottom"/>
          </w:tcPr>
          <w:p>
            <w:pPr>
              <w:jc w:val="center"/>
              <w:ind w:right="36"/>
              <w:spacing w:after="0" w:line="171" w:lineRule="exact"/>
              <w:rPr>
                <w:sz w:val="20"/>
                <w:szCs w:val="20"/>
                <w:color w:val="auto"/>
              </w:rPr>
            </w:pPr>
            <w:r>
              <w:rPr>
                <w:rFonts w:ascii="Arial" w:cs="Arial" w:eastAsia="Arial" w:hAnsi="Arial"/>
                <w:sz w:val="17"/>
                <w:szCs w:val="17"/>
                <w:b w:val="1"/>
                <w:bCs w:val="1"/>
                <w:color w:val="auto"/>
                <w:w w:val="92"/>
              </w:rPr>
              <w:t>Value of Shares That</w:t>
            </w:r>
          </w:p>
        </w:tc>
        <w:tc>
          <w:tcPr>
            <w:tcW w:w="0" w:type="dxa"/>
            <w:vAlign w:val="bottom"/>
          </w:tcPr>
          <w:p>
            <w:pPr>
              <w:spacing w:after="0"/>
              <w:rPr>
                <w:sz w:val="1"/>
                <w:szCs w:val="1"/>
                <w:color w:val="auto"/>
              </w:rPr>
            </w:pPr>
          </w:p>
        </w:tc>
      </w:tr>
      <w:tr>
        <w:trPr>
          <w:trHeight w:val="170"/>
        </w:trPr>
        <w:tc>
          <w:tcPr>
            <w:tcW w:w="3220" w:type="dxa"/>
            <w:vAlign w:val="bottom"/>
          </w:tcPr>
          <w:p>
            <w:pPr>
              <w:spacing w:after="0"/>
              <w:rPr>
                <w:sz w:val="14"/>
                <w:szCs w:val="14"/>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95"/>
              </w:rPr>
              <w:t>Total Number of</w:t>
            </w:r>
          </w:p>
        </w:tc>
        <w:tc>
          <w:tcPr>
            <w:tcW w:w="220" w:type="dxa"/>
            <w:vAlign w:val="bottom"/>
          </w:tcPr>
          <w:p>
            <w:pPr>
              <w:spacing w:after="0"/>
              <w:rPr>
                <w:sz w:val="14"/>
                <w:szCs w:val="14"/>
                <w:color w:val="auto"/>
              </w:rPr>
            </w:pPr>
          </w:p>
        </w:tc>
        <w:tc>
          <w:tcPr>
            <w:tcW w:w="166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Average Price</w:t>
            </w:r>
          </w:p>
        </w:tc>
        <w:tc>
          <w:tcPr>
            <w:tcW w:w="2120" w:type="dxa"/>
            <w:vAlign w:val="bottom"/>
            <w:gridSpan w:val="2"/>
          </w:tcPr>
          <w:p>
            <w:pPr>
              <w:jc w:val="center"/>
              <w:ind w:right="120"/>
              <w:spacing w:after="0" w:line="171" w:lineRule="exact"/>
              <w:rPr>
                <w:sz w:val="20"/>
                <w:szCs w:val="20"/>
                <w:color w:val="auto"/>
              </w:rPr>
            </w:pPr>
            <w:r>
              <w:rPr>
                <w:rFonts w:ascii="Arial" w:cs="Arial" w:eastAsia="Arial" w:hAnsi="Arial"/>
                <w:sz w:val="17"/>
                <w:szCs w:val="17"/>
                <w:b w:val="1"/>
                <w:bCs w:val="1"/>
                <w:color w:val="auto"/>
                <w:w w:val="91"/>
              </w:rPr>
              <w:t>Publicly</w:t>
            </w:r>
          </w:p>
        </w:tc>
        <w:tc>
          <w:tcPr>
            <w:tcW w:w="1880" w:type="dxa"/>
            <w:vAlign w:val="bottom"/>
            <w:gridSpan w:val="2"/>
          </w:tcPr>
          <w:p>
            <w:pPr>
              <w:jc w:val="center"/>
              <w:spacing w:after="0" w:line="171" w:lineRule="exact"/>
              <w:rPr>
                <w:sz w:val="20"/>
                <w:szCs w:val="20"/>
                <w:color w:val="auto"/>
              </w:rPr>
            </w:pPr>
            <w:r>
              <w:rPr>
                <w:rFonts w:ascii="Arial" w:cs="Arial" w:eastAsia="Arial" w:hAnsi="Arial"/>
                <w:sz w:val="17"/>
                <w:szCs w:val="17"/>
                <w:b w:val="1"/>
                <w:bCs w:val="1"/>
                <w:color w:val="auto"/>
                <w:w w:val="92"/>
              </w:rPr>
              <w:t>May Yet Be Purchased</w:t>
            </w:r>
          </w:p>
        </w:tc>
        <w:tc>
          <w:tcPr>
            <w:tcW w:w="0" w:type="dxa"/>
            <w:vAlign w:val="bottom"/>
          </w:tcPr>
          <w:p>
            <w:pPr>
              <w:spacing w:after="0"/>
              <w:rPr>
                <w:sz w:val="1"/>
                <w:szCs w:val="1"/>
                <w:color w:val="auto"/>
              </w:rPr>
            </w:pPr>
          </w:p>
        </w:tc>
      </w:tr>
      <w:tr>
        <w:trPr>
          <w:trHeight w:val="170"/>
        </w:trPr>
        <w:tc>
          <w:tcPr>
            <w:tcW w:w="3220" w:type="dxa"/>
            <w:vAlign w:val="bottom"/>
            <w:vMerge w:val="restart"/>
          </w:tcPr>
          <w:p>
            <w:pPr>
              <w:spacing w:after="0"/>
              <w:rPr>
                <w:sz w:val="20"/>
                <w:szCs w:val="20"/>
                <w:color w:val="auto"/>
              </w:rPr>
            </w:pPr>
            <w:r>
              <w:rPr>
                <w:rFonts w:ascii="Arial" w:cs="Arial" w:eastAsia="Arial" w:hAnsi="Arial"/>
                <w:sz w:val="17"/>
                <w:szCs w:val="17"/>
                <w:b w:val="1"/>
                <w:bCs w:val="1"/>
                <w:color w:val="auto"/>
              </w:rPr>
              <w:t>Period</w:t>
            </w:r>
          </w:p>
        </w:tc>
        <w:tc>
          <w:tcPr>
            <w:tcW w:w="1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120" w:type="dxa"/>
            <w:vAlign w:val="bottom"/>
            <w:gridSpan w:val="2"/>
          </w:tcPr>
          <w:p>
            <w:pPr>
              <w:jc w:val="center"/>
              <w:ind w:right="120"/>
              <w:spacing w:after="0" w:line="171" w:lineRule="exact"/>
              <w:rPr>
                <w:sz w:val="20"/>
                <w:szCs w:val="20"/>
                <w:color w:val="auto"/>
              </w:rPr>
            </w:pPr>
            <w:r>
              <w:rPr>
                <w:rFonts w:ascii="Arial" w:cs="Arial" w:eastAsia="Arial" w:hAnsi="Arial"/>
                <w:sz w:val="17"/>
                <w:szCs w:val="17"/>
                <w:b w:val="1"/>
                <w:bCs w:val="1"/>
                <w:color w:val="auto"/>
                <w:w w:val="91"/>
              </w:rPr>
              <w:t>Announced Plans or</w:t>
            </w:r>
          </w:p>
        </w:tc>
        <w:tc>
          <w:tcPr>
            <w:tcW w:w="120" w:type="dxa"/>
            <w:vAlign w:val="bottom"/>
          </w:tcPr>
          <w:p>
            <w:pPr>
              <w:spacing w:after="0"/>
              <w:rPr>
                <w:sz w:val="14"/>
                <w:szCs w:val="14"/>
                <w:color w:val="auto"/>
              </w:rPr>
            </w:pPr>
          </w:p>
        </w:tc>
        <w:tc>
          <w:tcPr>
            <w:tcW w:w="1760" w:type="dxa"/>
            <w:vAlign w:val="bottom"/>
          </w:tcPr>
          <w:p>
            <w:pPr>
              <w:jc w:val="center"/>
              <w:ind w:right="36"/>
              <w:spacing w:after="0" w:line="171" w:lineRule="exact"/>
              <w:rPr>
                <w:sz w:val="20"/>
                <w:szCs w:val="20"/>
                <w:color w:val="auto"/>
              </w:rPr>
            </w:pPr>
            <w:r>
              <w:rPr>
                <w:rFonts w:ascii="Arial" w:cs="Arial" w:eastAsia="Arial" w:hAnsi="Arial"/>
                <w:sz w:val="17"/>
                <w:szCs w:val="17"/>
                <w:b w:val="1"/>
                <w:bCs w:val="1"/>
                <w:color w:val="auto"/>
                <w:w w:val="92"/>
              </w:rPr>
              <w:t>Under the Plans or</w:t>
            </w:r>
          </w:p>
        </w:tc>
        <w:tc>
          <w:tcPr>
            <w:tcW w:w="0" w:type="dxa"/>
            <w:vAlign w:val="bottom"/>
          </w:tcPr>
          <w:p>
            <w:pPr>
              <w:spacing w:after="0"/>
              <w:rPr>
                <w:sz w:val="1"/>
                <w:szCs w:val="1"/>
                <w:color w:val="auto"/>
              </w:rPr>
            </w:pPr>
          </w:p>
        </w:tc>
      </w:tr>
      <w:tr>
        <w:trPr>
          <w:trHeight w:val="223"/>
        </w:trPr>
        <w:tc>
          <w:tcPr>
            <w:tcW w:w="3220" w:type="dxa"/>
            <w:vAlign w:val="bottom"/>
            <w:vMerge w:val="continue"/>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Shares Purchased</w:t>
            </w:r>
          </w:p>
        </w:tc>
        <w:tc>
          <w:tcPr>
            <w:tcW w:w="220" w:type="dxa"/>
            <w:vAlign w:val="bottom"/>
          </w:tcPr>
          <w:p>
            <w:pPr>
              <w:spacing w:after="0"/>
              <w:rPr>
                <w:sz w:val="19"/>
                <w:szCs w:val="19"/>
                <w:color w:val="auto"/>
              </w:rPr>
            </w:pPr>
          </w:p>
        </w:tc>
        <w:tc>
          <w:tcPr>
            <w:tcW w:w="1660" w:type="dxa"/>
            <w:vAlign w:val="bottom"/>
            <w:gridSpan w:val="2"/>
          </w:tcPr>
          <w:p>
            <w:pPr>
              <w:ind w:left="120"/>
              <w:spacing w:after="0"/>
              <w:rPr>
                <w:sz w:val="20"/>
                <w:szCs w:val="20"/>
                <w:color w:val="auto"/>
              </w:rPr>
            </w:pPr>
            <w:r>
              <w:rPr>
                <w:rFonts w:ascii="Arial" w:cs="Arial" w:eastAsia="Arial" w:hAnsi="Arial"/>
                <w:sz w:val="17"/>
                <w:szCs w:val="17"/>
                <w:b w:val="1"/>
                <w:bCs w:val="1"/>
                <w:color w:val="auto"/>
              </w:rPr>
              <w:t>Paid per share</w:t>
            </w:r>
          </w:p>
        </w:tc>
        <w:tc>
          <w:tcPr>
            <w:tcW w:w="21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Programs</w:t>
            </w:r>
          </w:p>
        </w:tc>
        <w:tc>
          <w:tcPr>
            <w:tcW w:w="120" w:type="dxa"/>
            <w:vAlign w:val="bottom"/>
          </w:tcPr>
          <w:p>
            <w:pPr>
              <w:spacing w:after="0"/>
              <w:rPr>
                <w:sz w:val="19"/>
                <w:szCs w:val="19"/>
                <w:color w:val="auto"/>
              </w:rPr>
            </w:pPr>
          </w:p>
        </w:tc>
        <w:tc>
          <w:tcPr>
            <w:tcW w:w="1760" w:type="dxa"/>
            <w:vAlign w:val="bottom"/>
          </w:tcPr>
          <w:p>
            <w:pPr>
              <w:jc w:val="center"/>
              <w:ind w:right="56"/>
              <w:spacing w:after="0"/>
              <w:rPr>
                <w:sz w:val="20"/>
                <w:szCs w:val="20"/>
                <w:color w:val="auto"/>
              </w:rPr>
            </w:pPr>
            <w:r>
              <w:rPr>
                <w:rFonts w:ascii="Arial" w:cs="Arial" w:eastAsia="Arial" w:hAnsi="Arial"/>
                <w:sz w:val="17"/>
                <w:szCs w:val="17"/>
                <w:b w:val="1"/>
                <w:bCs w:val="1"/>
                <w:color w:val="auto"/>
                <w:w w:val="93"/>
              </w:rPr>
              <w:t>Programs</w:t>
            </w:r>
          </w:p>
        </w:tc>
        <w:tc>
          <w:tcPr>
            <w:tcW w:w="0" w:type="dxa"/>
            <w:vAlign w:val="bottom"/>
          </w:tcPr>
          <w:p>
            <w:pPr>
              <w:spacing w:after="0"/>
              <w:rPr>
                <w:sz w:val="1"/>
                <w:szCs w:val="1"/>
                <w:color w:val="auto"/>
              </w:rPr>
            </w:pPr>
          </w:p>
        </w:tc>
      </w:tr>
      <w:tr>
        <w:trPr>
          <w:trHeight w:val="150"/>
        </w:trPr>
        <w:tc>
          <w:tcPr>
            <w:tcW w:w="322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7"/>
                <w:szCs w:val="17"/>
                <w:color w:val="auto"/>
              </w:rPr>
              <w:t>October 1, 2021 through October 31,</w:t>
            </w: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74,902</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124.35</w:t>
            </w:r>
          </w:p>
        </w:tc>
        <w:tc>
          <w:tcPr>
            <w:tcW w:w="1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70,316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29,826,254</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spacing w:after="0" w:line="223" w:lineRule="exact"/>
              <w:rPr>
                <w:sz w:val="20"/>
                <w:szCs w:val="20"/>
                <w:color w:val="auto"/>
              </w:rPr>
            </w:pPr>
            <w:r>
              <w:rPr>
                <w:rFonts w:ascii="Arial" w:cs="Arial" w:eastAsia="Arial" w:hAnsi="Arial"/>
                <w:sz w:val="17"/>
                <w:szCs w:val="17"/>
                <w:color w:val="auto"/>
              </w:rPr>
              <w:t>2021</w:t>
            </w:r>
            <w:r>
              <w:rPr>
                <w:rFonts w:ascii="Arial" w:cs="Arial" w:eastAsia="Arial" w:hAnsi="Arial"/>
                <w:sz w:val="22"/>
                <w:szCs w:val="22"/>
                <w:color w:val="auto"/>
                <w:vertAlign w:val="superscript"/>
              </w:rPr>
              <w:t>(1)</w:t>
            </w: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220" w:type="dxa"/>
            <w:vAlign w:val="bottom"/>
          </w:tcPr>
          <w:p>
            <w:pPr>
              <w:spacing w:after="0" w:line="171" w:lineRule="exact"/>
              <w:rPr>
                <w:sz w:val="20"/>
                <w:szCs w:val="20"/>
                <w:color w:val="auto"/>
              </w:rPr>
            </w:pPr>
            <w:r>
              <w:rPr>
                <w:rFonts w:ascii="Arial" w:cs="Arial" w:eastAsia="Arial" w:hAnsi="Arial"/>
                <w:sz w:val="17"/>
                <w:szCs w:val="17"/>
                <w:color w:val="auto"/>
              </w:rPr>
              <w:t>November 1, 2021 through November 30,</w:t>
            </w: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97,398</w:t>
            </w:r>
          </w:p>
        </w:tc>
        <w:tc>
          <w:tcPr>
            <w:tcW w:w="100" w:type="dxa"/>
            <w:vAlign w:val="bottom"/>
          </w:tcPr>
          <w:p>
            <w:pPr>
              <w:spacing w:after="0"/>
              <w:rPr>
                <w:sz w:val="14"/>
                <w:szCs w:val="14"/>
                <w:color w:val="auto"/>
              </w:rPr>
            </w:pPr>
          </w:p>
        </w:tc>
        <w:tc>
          <w:tcPr>
            <w:tcW w:w="220" w:type="dxa"/>
            <w:vAlign w:val="bottom"/>
            <w:vMerge w:val="restart"/>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vMerge w:val="restart"/>
          </w:tcPr>
          <w:p>
            <w:pPr>
              <w:jc w:val="right"/>
              <w:spacing w:after="0"/>
              <w:rPr>
                <w:sz w:val="20"/>
                <w:szCs w:val="20"/>
                <w:color w:val="auto"/>
              </w:rPr>
            </w:pPr>
            <w:r>
              <w:rPr>
                <w:rFonts w:ascii="Arial" w:cs="Arial" w:eastAsia="Arial" w:hAnsi="Arial"/>
                <w:sz w:val="17"/>
                <w:szCs w:val="17"/>
                <w:color w:val="auto"/>
              </w:rPr>
              <w:t>134.09</w:t>
            </w:r>
          </w:p>
        </w:tc>
        <w:tc>
          <w:tcPr>
            <w:tcW w:w="100" w:type="dxa"/>
            <w:vAlign w:val="bottom"/>
          </w:tcPr>
          <w:p>
            <w:pPr>
              <w:spacing w:after="0"/>
              <w:rPr>
                <w:sz w:val="14"/>
                <w:szCs w:val="14"/>
                <w:color w:val="auto"/>
              </w:rPr>
            </w:pPr>
          </w:p>
        </w:tc>
        <w:tc>
          <w:tcPr>
            <w:tcW w:w="2020" w:type="dxa"/>
            <w:vAlign w:val="bottom"/>
            <w:vMerge w:val="restart"/>
          </w:tcPr>
          <w:p>
            <w:pPr>
              <w:jc w:val="right"/>
              <w:spacing w:after="0"/>
              <w:rPr>
                <w:sz w:val="20"/>
                <w:szCs w:val="20"/>
                <w:color w:val="auto"/>
              </w:rPr>
            </w:pPr>
            <w:r>
              <w:rPr>
                <w:rFonts w:ascii="Arial" w:cs="Arial" w:eastAsia="Arial" w:hAnsi="Arial"/>
                <w:sz w:val="17"/>
                <w:szCs w:val="17"/>
                <w:color w:val="auto"/>
              </w:rPr>
              <w:t>96,747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vMerge w:val="restart"/>
          </w:tcPr>
          <w:p>
            <w:pPr>
              <w:jc w:val="right"/>
              <w:spacing w:after="0"/>
              <w:rPr>
                <w:sz w:val="20"/>
                <w:szCs w:val="20"/>
                <w:color w:val="auto"/>
              </w:rPr>
            </w:pPr>
            <w:r>
              <w:rPr>
                <w:rFonts w:ascii="Arial" w:cs="Arial" w:eastAsia="Arial" w:hAnsi="Arial"/>
                <w:sz w:val="17"/>
                <w:szCs w:val="17"/>
                <w:color w:val="auto"/>
              </w:rPr>
              <w:t>16,855,427</w:t>
            </w:r>
          </w:p>
        </w:tc>
        <w:tc>
          <w:tcPr>
            <w:tcW w:w="0" w:type="dxa"/>
            <w:vAlign w:val="bottom"/>
          </w:tcPr>
          <w:p>
            <w:pPr>
              <w:spacing w:after="0"/>
              <w:rPr>
                <w:sz w:val="1"/>
                <w:szCs w:val="1"/>
                <w:color w:val="auto"/>
              </w:rPr>
            </w:pPr>
          </w:p>
        </w:tc>
      </w:tr>
      <w:tr>
        <w:trPr>
          <w:trHeight w:val="223"/>
        </w:trPr>
        <w:tc>
          <w:tcPr>
            <w:tcW w:w="3220" w:type="dxa"/>
            <w:vAlign w:val="bottom"/>
          </w:tcPr>
          <w:p>
            <w:pPr>
              <w:spacing w:after="0" w:line="223" w:lineRule="exact"/>
              <w:rPr>
                <w:sz w:val="20"/>
                <w:szCs w:val="20"/>
                <w:color w:val="auto"/>
              </w:rPr>
            </w:pPr>
            <w:r>
              <w:rPr>
                <w:rFonts w:ascii="Arial" w:cs="Arial" w:eastAsia="Arial" w:hAnsi="Arial"/>
                <w:sz w:val="17"/>
                <w:szCs w:val="17"/>
                <w:color w:val="auto"/>
              </w:rPr>
              <w:t xml:space="preserve">2021 </w:t>
            </w:r>
            <w:r>
              <w:rPr>
                <w:rFonts w:ascii="Arial" w:cs="Arial" w:eastAsia="Arial" w:hAnsi="Arial"/>
                <w:sz w:val="22"/>
                <w:szCs w:val="22"/>
                <w:color w:val="auto"/>
                <w:vertAlign w:val="superscript"/>
              </w:rPr>
              <w:t>(1)</w:t>
            </w: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22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December 1, 2021 through December 31,</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76,228</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135.94</w:t>
            </w:r>
          </w:p>
        </w:tc>
        <w:tc>
          <w:tcPr>
            <w:tcW w:w="100" w:type="dxa"/>
            <w:vAlign w:val="bottom"/>
            <w:shd w:val="clear" w:color="auto" w:fill="CCEEFF"/>
          </w:tcPr>
          <w:p>
            <w:pPr>
              <w:spacing w:after="0"/>
              <w:rPr>
                <w:sz w:val="14"/>
                <w:szCs w:val="14"/>
                <w:color w:val="auto"/>
              </w:rPr>
            </w:pP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75,606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34"/>
                <w:szCs w:val="34"/>
                <w:color w:val="auto"/>
                <w:vertAlign w:val="subscript"/>
              </w:rPr>
              <w:t>Nil</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spacing w:after="0" w:line="223" w:lineRule="exact"/>
              <w:rPr>
                <w:sz w:val="20"/>
                <w:szCs w:val="20"/>
                <w:color w:val="auto"/>
              </w:rPr>
            </w:pPr>
            <w:r>
              <w:rPr>
                <w:rFonts w:ascii="Arial" w:cs="Arial" w:eastAsia="Arial" w:hAnsi="Arial"/>
                <w:sz w:val="17"/>
                <w:szCs w:val="17"/>
                <w:color w:val="auto"/>
              </w:rPr>
              <w:t xml:space="preserve">2021 </w:t>
            </w:r>
            <w:r>
              <w:rPr>
                <w:rFonts w:ascii="Arial" w:cs="Arial" w:eastAsia="Arial" w:hAnsi="Arial"/>
                <w:sz w:val="22"/>
                <w:szCs w:val="22"/>
                <w:color w:val="auto"/>
                <w:vertAlign w:val="superscript"/>
              </w:rPr>
              <w:t>(1)</w:t>
            </w: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7"/>
                <w:szCs w:val="17"/>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248,528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131.72</w:t>
            </w:r>
          </w:p>
        </w:tc>
        <w:tc>
          <w:tcPr>
            <w:tcW w:w="100" w:type="dxa"/>
            <w:vAlign w:val="bottom"/>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242,669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left="320"/>
        <w:spacing w:after="0" w:line="274" w:lineRule="auto"/>
        <w:rPr>
          <w:sz w:val="20"/>
          <w:szCs w:val="20"/>
          <w:color w:val="auto"/>
        </w:rPr>
      </w:pPr>
      <w:r>
        <w:rPr>
          <w:rFonts w:ascii="Arial" w:cs="Arial" w:eastAsia="Arial" w:hAnsi="Arial"/>
          <w:sz w:val="14"/>
          <w:szCs w:val="14"/>
          <w:i w:val="1"/>
          <w:iCs w:val="1"/>
          <w:color w:val="auto"/>
        </w:rPr>
        <w:t>(1</w:t>
      </w:r>
      <w:r>
        <w:rPr>
          <w:rFonts w:ascii="Arial" w:cs="Arial" w:eastAsia="Arial" w:hAnsi="Arial"/>
          <w:sz w:val="15"/>
          <w:szCs w:val="15"/>
          <w:i w:val="1"/>
          <w:iCs w:val="1"/>
          <w:color w:val="auto"/>
        </w:rPr>
        <w:t>) Includes 5,859 shares of the Company’s common stock acquired by the Company at the price of $125.78 in connection with satisfaction of tax withholding obligations on</w:t>
      </w:r>
      <w:r>
        <w:rPr>
          <w:rFonts w:ascii="Arial" w:cs="Arial" w:eastAsia="Arial" w:hAnsi="Arial"/>
          <w:sz w:val="14"/>
          <w:szCs w:val="14"/>
          <w:i w:val="1"/>
          <w:iCs w:val="1"/>
          <w:color w:val="auto"/>
        </w:rPr>
        <w:t xml:space="preserve"> </w:t>
      </w:r>
      <w:r>
        <w:rPr>
          <w:rFonts w:ascii="Arial" w:cs="Arial" w:eastAsia="Arial" w:hAnsi="Arial"/>
          <w:sz w:val="15"/>
          <w:szCs w:val="15"/>
          <w:i w:val="1"/>
          <w:iCs w:val="1"/>
          <w:color w:val="auto"/>
        </w:rPr>
        <w:t>vested restricted stock. Price paid per share for the restricted stock was the closing price of common stock on the trading day prior to the vesting date of the restricted stock units.</w:t>
      </w:r>
    </w:p>
    <w:p>
      <w:pPr>
        <w:spacing w:after="0" w:line="117" w:lineRule="exact"/>
        <w:rPr>
          <w:sz w:val="20"/>
          <w:szCs w:val="20"/>
          <w:color w:val="auto"/>
        </w:rPr>
      </w:pPr>
    </w:p>
    <w:p>
      <w:pPr>
        <w:jc w:val="both"/>
        <w:ind w:left="320"/>
        <w:spacing w:after="0" w:line="294" w:lineRule="auto"/>
        <w:rPr>
          <w:sz w:val="20"/>
          <w:szCs w:val="20"/>
          <w:color w:val="auto"/>
        </w:rPr>
      </w:pPr>
      <w:r>
        <w:rPr>
          <w:rFonts w:ascii="Arial" w:cs="Arial" w:eastAsia="Arial" w:hAnsi="Arial"/>
          <w:sz w:val="14"/>
          <w:szCs w:val="14"/>
          <w:i w:val="1"/>
          <w:iCs w:val="1"/>
          <w:color w:val="auto"/>
        </w:rPr>
        <w:t>(2</w:t>
      </w:r>
      <w:r>
        <w:rPr>
          <w:rFonts w:ascii="Arial" w:cs="Arial" w:eastAsia="Arial" w:hAnsi="Arial"/>
          <w:sz w:val="15"/>
          <w:szCs w:val="15"/>
          <w:i w:val="1"/>
          <w:iCs w:val="1"/>
          <w:color w:val="auto"/>
        </w:rPr>
        <w:t>)</w:t>
      </w:r>
      <w:r>
        <w:rPr>
          <w:rFonts w:ascii="Arial" w:cs="Arial" w:eastAsia="Arial" w:hAnsi="Arial"/>
          <w:sz w:val="14"/>
          <w:szCs w:val="14"/>
          <w:i w:val="1"/>
          <w:iCs w:val="1"/>
          <w:color w:val="auto"/>
        </w:rPr>
        <w:t xml:space="preserve"> T</w:t>
      </w:r>
      <w:r>
        <w:rPr>
          <w:rFonts w:ascii="Arial" w:cs="Arial" w:eastAsia="Arial" w:hAnsi="Arial"/>
          <w:sz w:val="15"/>
          <w:szCs w:val="15"/>
          <w:i w:val="1"/>
          <w:iCs w:val="1"/>
          <w:color w:val="auto"/>
        </w:rPr>
        <w:t>he Company terminated the 2019 Repurchase Program on December 31, 2021, accordingly the remaining dollar value of stock that may be repurchased under this</w:t>
      </w:r>
      <w:r>
        <w:rPr>
          <w:rFonts w:ascii="Arial" w:cs="Arial" w:eastAsia="Arial" w:hAnsi="Arial"/>
          <w:sz w:val="14"/>
          <w:szCs w:val="14"/>
          <w:i w:val="1"/>
          <w:iCs w:val="1"/>
          <w:color w:val="auto"/>
        </w:rPr>
        <w:t xml:space="preserve"> </w:t>
      </w:r>
      <w:r>
        <w:rPr>
          <w:rFonts w:ascii="Arial" w:cs="Arial" w:eastAsia="Arial" w:hAnsi="Arial"/>
          <w:sz w:val="15"/>
          <w:szCs w:val="15"/>
          <w:i w:val="1"/>
          <w:iCs w:val="1"/>
          <w:color w:val="auto"/>
        </w:rPr>
        <w:t>program is shown as nil.</w:t>
      </w:r>
    </w:p>
    <w:p>
      <w:pPr>
        <w:spacing w:after="0" w:line="100"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During the year ended December 31, 2021, the Company purchased 1,087,325 shares of its common stock under the 2019 Repurchase Program, for an aggregate purchase price of $115.6 million including commissions, representing an average purchase price per share of $106.32.</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433"/>
        <w:spacing w:after="0" w:line="298" w:lineRule="auto"/>
        <w:rPr>
          <w:sz w:val="20"/>
          <w:szCs w:val="20"/>
          <w:color w:val="auto"/>
        </w:rPr>
      </w:pPr>
      <w:r>
        <w:rPr>
          <w:rFonts w:ascii="Arial" w:cs="Arial" w:eastAsia="Arial" w:hAnsi="Arial"/>
          <w:sz w:val="16"/>
          <w:szCs w:val="16"/>
          <w:color w:val="auto"/>
        </w:rPr>
        <w:t>During the year ended December 31, 2021, the Company purchased 31,309 shares from employees in connection with withholding tax payments related to the vesting of restricted stock units for a total consideration of $2.8 million. The weighted average purchase price of $87.90 was the closing price of the Company’s shares of common stock on the Nasdaq Global Select Market on the trading day prior to the vesting date of the shares of restricted stock.</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78"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The following table provides information as of December 31, 2021 with respect to the shares of our common stock that may be issued under our existing equity compensation plans. For a description of our equity compensation plans, see Note 22 - Stock Based Compensation to our consolidated financial statements.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2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Number of Securities</w:t>
            </w:r>
          </w:p>
        </w:tc>
        <w:tc>
          <w:tcPr>
            <w:tcW w:w="140" w:type="dxa"/>
            <w:vAlign w:val="bottom"/>
          </w:tcPr>
          <w:p>
            <w:pPr>
              <w:spacing w:after="0"/>
              <w:rPr>
                <w:sz w:val="16"/>
                <w:szCs w:val="16"/>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Weighted</w:t>
            </w:r>
          </w:p>
        </w:tc>
        <w:tc>
          <w:tcPr>
            <w:tcW w:w="2900" w:type="dxa"/>
            <w:vAlign w:val="bottom"/>
          </w:tcPr>
          <w:p>
            <w:pPr>
              <w:jc w:val="center"/>
              <w:spacing w:after="0"/>
              <w:rPr>
                <w:sz w:val="20"/>
                <w:szCs w:val="20"/>
                <w:color w:val="auto"/>
              </w:rPr>
            </w:pPr>
            <w:r>
              <w:rPr>
                <w:rFonts w:ascii="Arial" w:cs="Arial" w:eastAsia="Arial" w:hAnsi="Arial"/>
                <w:sz w:val="17"/>
                <w:szCs w:val="17"/>
                <w:b w:val="1"/>
                <w:bCs w:val="1"/>
                <w:color w:val="auto"/>
                <w:w w:val="92"/>
              </w:rPr>
              <w:t>Number of Securities</w:t>
            </w: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222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89"/>
              </w:rPr>
              <w:t>to be Issued Upon</w:t>
            </w:r>
          </w:p>
        </w:tc>
        <w:tc>
          <w:tcPr>
            <w:tcW w:w="140" w:type="dxa"/>
            <w:vAlign w:val="bottom"/>
          </w:tcPr>
          <w:p>
            <w:pPr>
              <w:spacing w:after="0"/>
              <w:rPr>
                <w:sz w:val="14"/>
                <w:szCs w:val="14"/>
                <w:color w:val="auto"/>
              </w:rPr>
            </w:pPr>
          </w:p>
        </w:tc>
        <w:tc>
          <w:tcPr>
            <w:tcW w:w="2040" w:type="dxa"/>
            <w:vAlign w:val="bottom"/>
            <w:gridSpan w:val="2"/>
          </w:tcPr>
          <w:p>
            <w:pPr>
              <w:jc w:val="center"/>
              <w:ind w:right="280"/>
              <w:spacing w:after="0" w:line="171" w:lineRule="exact"/>
              <w:rPr>
                <w:sz w:val="20"/>
                <w:szCs w:val="20"/>
                <w:color w:val="auto"/>
              </w:rPr>
            </w:pPr>
            <w:r>
              <w:rPr>
                <w:rFonts w:ascii="Arial" w:cs="Arial" w:eastAsia="Arial" w:hAnsi="Arial"/>
                <w:sz w:val="17"/>
                <w:szCs w:val="17"/>
                <w:b w:val="1"/>
                <w:bCs w:val="1"/>
                <w:color w:val="auto"/>
                <w:w w:val="90"/>
              </w:rPr>
              <w:t>Average Exercise</w:t>
            </w:r>
          </w:p>
        </w:tc>
        <w:tc>
          <w:tcPr>
            <w:tcW w:w="2900" w:type="dxa"/>
            <w:vAlign w:val="bottom"/>
          </w:tcPr>
          <w:p>
            <w:pPr>
              <w:jc w:val="center"/>
              <w:spacing w:after="0" w:line="171" w:lineRule="exact"/>
              <w:rPr>
                <w:sz w:val="20"/>
                <w:szCs w:val="20"/>
                <w:color w:val="auto"/>
              </w:rPr>
            </w:pPr>
            <w:r>
              <w:rPr>
                <w:rFonts w:ascii="Arial" w:cs="Arial" w:eastAsia="Arial" w:hAnsi="Arial"/>
                <w:sz w:val="17"/>
                <w:szCs w:val="17"/>
                <w:b w:val="1"/>
                <w:bCs w:val="1"/>
                <w:color w:val="auto"/>
                <w:w w:val="94"/>
              </w:rPr>
              <w:t>Remaining Available for Future</w:t>
            </w: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222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89"/>
              </w:rPr>
              <w:t>Exercise/Vesting of</w:t>
            </w:r>
          </w:p>
        </w:tc>
        <w:tc>
          <w:tcPr>
            <w:tcW w:w="140" w:type="dxa"/>
            <w:vAlign w:val="bottom"/>
          </w:tcPr>
          <w:p>
            <w:pPr>
              <w:spacing w:after="0"/>
              <w:rPr>
                <w:sz w:val="14"/>
                <w:szCs w:val="14"/>
                <w:color w:val="auto"/>
              </w:rPr>
            </w:pPr>
          </w:p>
        </w:tc>
        <w:tc>
          <w:tcPr>
            <w:tcW w:w="20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2"/>
              </w:rPr>
              <w:t>Price of</w:t>
            </w:r>
          </w:p>
        </w:tc>
        <w:tc>
          <w:tcPr>
            <w:tcW w:w="2900" w:type="dxa"/>
            <w:vAlign w:val="bottom"/>
          </w:tcPr>
          <w:p>
            <w:pPr>
              <w:jc w:val="center"/>
              <w:spacing w:after="0" w:line="171" w:lineRule="exact"/>
              <w:rPr>
                <w:sz w:val="20"/>
                <w:szCs w:val="20"/>
                <w:color w:val="auto"/>
              </w:rPr>
            </w:pPr>
            <w:r>
              <w:rPr>
                <w:rFonts w:ascii="Arial" w:cs="Arial" w:eastAsia="Arial" w:hAnsi="Arial"/>
                <w:sz w:val="17"/>
                <w:szCs w:val="17"/>
                <w:b w:val="1"/>
                <w:bCs w:val="1"/>
                <w:color w:val="auto"/>
                <w:w w:val="92"/>
              </w:rPr>
              <w:t>Issuance Under Equity</w:t>
            </w: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222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91"/>
              </w:rPr>
              <w:t>Outstanding</w:t>
            </w:r>
          </w:p>
        </w:tc>
        <w:tc>
          <w:tcPr>
            <w:tcW w:w="140" w:type="dxa"/>
            <w:vAlign w:val="bottom"/>
          </w:tcPr>
          <w:p>
            <w:pPr>
              <w:spacing w:after="0"/>
              <w:rPr>
                <w:sz w:val="14"/>
                <w:szCs w:val="14"/>
                <w:color w:val="auto"/>
              </w:rPr>
            </w:pPr>
          </w:p>
        </w:tc>
        <w:tc>
          <w:tcPr>
            <w:tcW w:w="204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3"/>
              </w:rPr>
              <w:t>Outstanding</w:t>
            </w:r>
          </w:p>
        </w:tc>
        <w:tc>
          <w:tcPr>
            <w:tcW w:w="2900" w:type="dxa"/>
            <w:vAlign w:val="bottom"/>
          </w:tcPr>
          <w:p>
            <w:pPr>
              <w:jc w:val="center"/>
              <w:spacing w:after="0" w:line="171" w:lineRule="exact"/>
              <w:rPr>
                <w:sz w:val="20"/>
                <w:szCs w:val="20"/>
                <w:color w:val="auto"/>
              </w:rPr>
            </w:pPr>
            <w:r>
              <w:rPr>
                <w:rFonts w:ascii="Arial" w:cs="Arial" w:eastAsia="Arial" w:hAnsi="Arial"/>
                <w:sz w:val="17"/>
                <w:szCs w:val="17"/>
                <w:b w:val="1"/>
                <w:bCs w:val="1"/>
                <w:color w:val="auto"/>
                <w:w w:val="91"/>
              </w:rPr>
              <w:t>Compensation Plans (Excluding</w:t>
            </w:r>
          </w:p>
        </w:tc>
        <w:tc>
          <w:tcPr>
            <w:tcW w:w="0" w:type="dxa"/>
            <w:vAlign w:val="bottom"/>
          </w:tcPr>
          <w:p>
            <w:pPr>
              <w:spacing w:after="0"/>
              <w:rPr>
                <w:sz w:val="1"/>
                <w:szCs w:val="1"/>
                <w:color w:val="auto"/>
              </w:rPr>
            </w:pPr>
          </w:p>
        </w:tc>
      </w:tr>
      <w:tr>
        <w:trPr>
          <w:trHeight w:val="170"/>
        </w:trPr>
        <w:tc>
          <w:tcPr>
            <w:tcW w:w="3900" w:type="dxa"/>
            <w:vAlign w:val="bottom"/>
          </w:tcPr>
          <w:p>
            <w:pPr>
              <w:spacing w:after="0"/>
              <w:rPr>
                <w:sz w:val="14"/>
                <w:szCs w:val="14"/>
                <w:color w:val="auto"/>
              </w:rPr>
            </w:pPr>
          </w:p>
        </w:tc>
        <w:tc>
          <w:tcPr>
            <w:tcW w:w="222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94"/>
              </w:rPr>
              <w:t>Options, Warrants and</w:t>
            </w:r>
          </w:p>
        </w:tc>
        <w:tc>
          <w:tcPr>
            <w:tcW w:w="140" w:type="dxa"/>
            <w:vAlign w:val="bottom"/>
          </w:tcPr>
          <w:p>
            <w:pPr>
              <w:spacing w:after="0"/>
              <w:rPr>
                <w:sz w:val="14"/>
                <w:szCs w:val="14"/>
                <w:color w:val="auto"/>
              </w:rPr>
            </w:pPr>
          </w:p>
        </w:tc>
        <w:tc>
          <w:tcPr>
            <w:tcW w:w="2040" w:type="dxa"/>
            <w:vAlign w:val="bottom"/>
            <w:gridSpan w:val="2"/>
          </w:tcPr>
          <w:p>
            <w:pPr>
              <w:jc w:val="center"/>
              <w:ind w:right="280"/>
              <w:spacing w:after="0" w:line="171" w:lineRule="exact"/>
              <w:rPr>
                <w:sz w:val="20"/>
                <w:szCs w:val="20"/>
                <w:color w:val="auto"/>
              </w:rPr>
            </w:pPr>
            <w:r>
              <w:rPr>
                <w:rFonts w:ascii="Arial" w:cs="Arial" w:eastAsia="Arial" w:hAnsi="Arial"/>
                <w:sz w:val="17"/>
                <w:szCs w:val="17"/>
                <w:b w:val="1"/>
                <w:bCs w:val="1"/>
                <w:color w:val="auto"/>
                <w:w w:val="94"/>
              </w:rPr>
              <w:t>Options, Warrants and</w:t>
            </w:r>
          </w:p>
        </w:tc>
        <w:tc>
          <w:tcPr>
            <w:tcW w:w="2900" w:type="dxa"/>
            <w:vAlign w:val="bottom"/>
          </w:tcPr>
          <w:p>
            <w:pPr>
              <w:jc w:val="center"/>
              <w:spacing w:after="0" w:line="171" w:lineRule="exact"/>
              <w:rPr>
                <w:sz w:val="20"/>
                <w:szCs w:val="20"/>
                <w:color w:val="auto"/>
              </w:rPr>
            </w:pPr>
            <w:r>
              <w:rPr>
                <w:rFonts w:ascii="Arial" w:cs="Arial" w:eastAsia="Arial" w:hAnsi="Arial"/>
                <w:sz w:val="17"/>
                <w:szCs w:val="17"/>
                <w:b w:val="1"/>
                <w:bCs w:val="1"/>
                <w:color w:val="auto"/>
                <w:w w:val="88"/>
              </w:rPr>
              <w:t>Securities</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22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Rights*</w:t>
            </w:r>
          </w:p>
        </w:tc>
        <w:tc>
          <w:tcPr>
            <w:tcW w:w="140" w:type="dxa"/>
            <w:vAlign w:val="bottom"/>
          </w:tcPr>
          <w:p>
            <w:pPr>
              <w:spacing w:after="0"/>
              <w:rPr>
                <w:sz w:val="19"/>
                <w:szCs w:val="19"/>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Rights</w:t>
            </w:r>
          </w:p>
        </w:tc>
        <w:tc>
          <w:tcPr>
            <w:tcW w:w="2900" w:type="dxa"/>
            <w:vAlign w:val="bottom"/>
          </w:tcPr>
          <w:p>
            <w:pPr>
              <w:jc w:val="center"/>
              <w:spacing w:after="0"/>
              <w:rPr>
                <w:sz w:val="20"/>
                <w:szCs w:val="20"/>
                <w:color w:val="auto"/>
              </w:rPr>
            </w:pPr>
            <w:r>
              <w:rPr>
                <w:rFonts w:ascii="Arial" w:cs="Arial" w:eastAsia="Arial" w:hAnsi="Arial"/>
                <w:sz w:val="17"/>
                <w:szCs w:val="17"/>
                <w:b w:val="1"/>
                <w:bCs w:val="1"/>
                <w:color w:val="auto"/>
                <w:w w:val="93"/>
              </w:rPr>
              <w:t>Reflected in Column 1)</w:t>
            </w:r>
          </w:p>
        </w:tc>
        <w:tc>
          <w:tcPr>
            <w:tcW w:w="0" w:type="dxa"/>
            <w:vAlign w:val="bottom"/>
          </w:tcPr>
          <w:p>
            <w:pPr>
              <w:spacing w:after="0"/>
              <w:rPr>
                <w:sz w:val="1"/>
                <w:szCs w:val="1"/>
                <w:color w:val="auto"/>
              </w:rPr>
            </w:pPr>
          </w:p>
        </w:tc>
      </w:tr>
      <w:tr>
        <w:trPr>
          <w:trHeight w:val="151"/>
        </w:trPr>
        <w:tc>
          <w:tcPr>
            <w:tcW w:w="3900" w:type="dxa"/>
            <w:vAlign w:val="bottom"/>
            <w:tcBorders>
              <w:top w:val="single" w:sz="8" w:color="CCEEFF"/>
            </w:tcBorders>
            <w:shd w:val="clear" w:color="auto" w:fill="CCEEFF"/>
          </w:tcPr>
          <w:p>
            <w:pPr>
              <w:ind w:left="20"/>
              <w:spacing w:after="0" w:line="151" w:lineRule="exact"/>
              <w:rPr>
                <w:sz w:val="20"/>
                <w:szCs w:val="20"/>
                <w:color w:val="auto"/>
              </w:rPr>
            </w:pPr>
            <w:r>
              <w:rPr>
                <w:rFonts w:ascii="Arial" w:cs="Arial" w:eastAsia="Arial" w:hAnsi="Arial"/>
                <w:sz w:val="17"/>
                <w:szCs w:val="17"/>
                <w:color w:val="auto"/>
              </w:rPr>
              <w:t>Equity compensation plans approved by security</w:t>
            </w:r>
          </w:p>
        </w:tc>
        <w:tc>
          <w:tcPr>
            <w:tcW w:w="2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1,378,667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160" w:type="dxa"/>
            <w:vAlign w:val="bottom"/>
            <w:tcBorders>
              <w:top w:val="single" w:sz="8" w:color="CCEEFF"/>
            </w:tcBorders>
            <w:shd w:val="clear" w:color="auto" w:fill="CCEEFF"/>
          </w:tcPr>
          <w:p>
            <w:pPr>
              <w:spacing w:after="0"/>
              <w:rPr>
                <w:sz w:val="13"/>
                <w:szCs w:val="13"/>
                <w:color w:val="auto"/>
              </w:rPr>
            </w:pPr>
          </w:p>
        </w:tc>
        <w:tc>
          <w:tcPr>
            <w:tcW w:w="2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1,777,687</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holders</w:t>
            </w:r>
          </w:p>
        </w:tc>
        <w:tc>
          <w:tcPr>
            <w:tcW w:w="2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20"/>
              <w:spacing w:after="0" w:line="172" w:lineRule="exact"/>
              <w:rPr>
                <w:sz w:val="20"/>
                <w:szCs w:val="20"/>
                <w:color w:val="auto"/>
              </w:rPr>
            </w:pPr>
            <w:r>
              <w:rPr>
                <w:rFonts w:ascii="Arial" w:cs="Arial" w:eastAsia="Arial" w:hAnsi="Arial"/>
                <w:sz w:val="17"/>
                <w:szCs w:val="17"/>
                <w:color w:val="auto"/>
                <w:w w:val="98"/>
              </w:rPr>
              <w:t>Equity compensation plans not approved by security</w:t>
            </w:r>
          </w:p>
        </w:tc>
        <w:tc>
          <w:tcPr>
            <w:tcW w:w="22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204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29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900" w:type="dxa"/>
            <w:vAlign w:val="bottom"/>
          </w:tcPr>
          <w:p>
            <w:pPr>
              <w:ind w:left="20"/>
              <w:spacing w:after="0"/>
              <w:rPr>
                <w:sz w:val="20"/>
                <w:szCs w:val="20"/>
                <w:color w:val="auto"/>
              </w:rPr>
            </w:pPr>
            <w:r>
              <w:rPr>
                <w:rFonts w:ascii="Arial" w:cs="Arial" w:eastAsia="Arial" w:hAnsi="Arial"/>
                <w:sz w:val="17"/>
                <w:szCs w:val="17"/>
                <w:color w:val="auto"/>
              </w:rPr>
              <w:t>holders</w:t>
            </w:r>
          </w:p>
        </w:tc>
        <w:tc>
          <w:tcPr>
            <w:tcW w:w="2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2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1,378,667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1,777,687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400" w:hanging="395"/>
        <w:spacing w:after="0" w:line="260" w:lineRule="auto"/>
        <w:tabs>
          <w:tab w:leader="none" w:pos="40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This includes outstanding options and unvested Restricted Stock Units, which include Time-Based Restricted Stock Units and Performance-Based Restricted Stock Units. See Note 22 - Stock Based Compensation to our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78"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color w:val="auto"/>
        </w:rPr>
        <w:t>The following graph compares the cumulative total stockholder return on our common stock with the cumulative total return of the Nasdaq 100 Index (capitalization weighted) and our peer group of companies for the period beginning December 31, 2016.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returns assume that $100 was invested on December 31, 2016 and that all dividends were reinvested. The stock performance shown on the graph below is not indicative of future price performance.</w:t>
      </w:r>
    </w:p>
    <w:p>
      <w:pPr>
        <w:spacing w:after="0" w:line="12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5329555" cy="3888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29555" cy="388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[Reserved]</w:t>
      </w:r>
    </w:p>
    <w:p>
      <w:pPr>
        <w:sectPr>
          <w:pgSz w:w="11900" w:h="16838" w:orient="portrait"/>
          <w:cols w:equalWidth="0" w:num="1">
            <w:col w:w="11240"/>
          </w:cols>
          <w:pgMar w:left="320" w:top="3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37" w:name="page38"/>
    <w:bookmarkEnd w:id="3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8"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You should read the following discussion in connection with our consolidated financial statements and the related notes included elsewhere in this Annual Report on Form 10-K. Some of the statements in the following discussion are forward looking statements.</w:t>
      </w:r>
    </w:p>
    <w:p>
      <w:pPr>
        <w:spacing w:after="0" w:line="106"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We have described in this Annual Report on Form 10-K, the impact of the global Coronavirus Disease 2019 pandemic (“COVID-19”) on our financial results for the year ended December 31, 2021. See "Cautionary Note Regarding Forward-Looking Statements" below and in Part I, Item 1A, “Risk Factors” included elsewhere in this Annual Report on Form 10-K for further information regarding risks and uncertainties relating to COVID-19.</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78"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color w:val="auto"/>
        </w:rPr>
        <w:t>This Annual Report on Form 10-K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Many of the following risks, uncertainties and other factors identified below have been, and will be, amplified by COVID-19. These factors include but are not limited to:</w:t>
      </w:r>
    </w:p>
    <w:p>
      <w:pPr>
        <w:spacing w:after="0" w:line="117" w:lineRule="exact"/>
        <w:rPr>
          <w:sz w:val="20"/>
          <w:szCs w:val="20"/>
          <w:color w:val="auto"/>
        </w:rPr>
      </w:pPr>
    </w:p>
    <w:p>
      <w:pPr>
        <w:ind w:left="640" w:right="680" w:hanging="320"/>
        <w:spacing w:after="0" w:line="289"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impact of COVID-19 and related response measures on our business, results of operations and financial condition, including the impact of governmental lockdowns and other restrictions on our operations and processes and those of our clients and suppliers;</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dependence on a limited number of clients in a limited number of industries and our ability to withstand the loss of a significant client;</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negative public reaction in the U.S. or elsewhere to offshore outsourcing;</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fluctuations in our earnings;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attract and retain clients including in a timely manner;</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successfully consummate or integrate strategic acquisitions;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accurately estimate and/or manage the costs;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restrictions on immigration;</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hire and retain enough sufficiently trained employees to support our operations;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grow our business or effectively manage growth and international operations;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changes in the senior management team;</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increasing competition in our industry;</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telecommunications or technology disruptions or breaches, natural or other disasters, or medical epidemics or pandemics;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realize the entire book value of goodwill and other intangible assets from acquisitions;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make accurate estimates and assumptions in connection with the preparation of our consolidated financial statements;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failure to protect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regulatory, legislative and judicial developments, including changes to or the withdrawal of governmental fiscal incentives;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tax laws or decisions regarding repatriation of funds held abroad;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ability to service debt or obtain additional financing on favorable terms;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credit risk fluctuations in the market values of our investment and derivatives portfolios;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legal liability arising out of customer contracts;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technological innovation;</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meet our environmental, social and governance-related goals and targets;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effects of political and economic conditions globally, particularly in the geographies where we operate;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operational and information security failures arising as a result of remote work solutions adopted due to COVID-19;</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cyber security incidents, data breaches, or other unauthorized disclosure of sensitive or confidential client and employee data;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 outcome of our disputes with the tax authorities, in the geographies where we operate.</w:t>
      </w:r>
    </w:p>
    <w:p>
      <w:pPr>
        <w:spacing w:after="0" w:line="172"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In particular, you should consider the numerous risks outlined in Part I, Item 1A, “Risk Factors” in this Annual Report on Form 10-K. These and other risks could cause actual results to differ materially from those implied by forward-looking statements in this Annual Report on Form 10-K.</w:t>
      </w:r>
    </w:p>
    <w:p>
      <w:pPr>
        <w:spacing w:after="0" w:line="106"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The forward-looking statements made by us in this Annual Report on Form 10-K, or elsewhere, speak only as of the date on which they were made. New risks and uncertainties come up from time to time, and it is impossible for us to predict those events or how they may affect us. We have no obligation to update any forward-looking statements in this Annual Report on Form 10-K after the date of this Annual Report on Form 10-K, except as required by federal securities laws.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Executive Overview</w:t>
      </w:r>
    </w:p>
    <w:p>
      <w:pPr>
        <w:spacing w:after="0" w:line="178" w:lineRule="exact"/>
        <w:rPr>
          <w:sz w:val="20"/>
          <w:szCs w:val="20"/>
          <w:color w:val="auto"/>
        </w:rPr>
      </w:pPr>
    </w:p>
    <w:p>
      <w:pPr>
        <w:jc w:val="both"/>
        <w:ind w:firstLine="433"/>
        <w:spacing w:after="0" w:line="326" w:lineRule="auto"/>
        <w:rPr>
          <w:sz w:val="20"/>
          <w:szCs w:val="20"/>
          <w:color w:val="auto"/>
        </w:rPr>
      </w:pPr>
      <w:r>
        <w:rPr>
          <w:rFonts w:ascii="Arial" w:cs="Arial" w:eastAsia="Arial" w:hAnsi="Arial"/>
          <w:sz w:val="15"/>
          <w:szCs w:val="15"/>
          <w:color w:val="auto"/>
        </w:rPr>
        <w:t>We are a leading data analytics and digital operations and solutions company that partners with clients to improve business outcomes and unlock growth. By bringing together deep domain expertise with robust data, powerful analytics, cloud, AI and ML, we create agile, scalable solutions and execute complex operations for the world’s leading corporations in industries including insurance, healthcare, banking and financial services, media, and retail, among others.</w:t>
      </w:r>
    </w:p>
    <w:p>
      <w:pPr>
        <w:spacing w:after="0" w:line="84"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We deliver data analytics and digital operations and solutions to our clients, driving enterprise-scale business transformation initiatives that leverage our deep expertise in advanced analytics, AI, ML and cloud. We manage and report financial information through our four strategic business units: Insurance, Healthcare, Analytics and Emerging Business, which reflects how management reviews financial information and makes operating decisions, and is in line with certain operational and structural changes we made effective January 1, 2020 to more closely integrate our businesses and to simplify our organizational structure.</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reportable segments are as follows:</w:t>
      </w:r>
    </w:p>
    <w:p>
      <w:pPr>
        <w:spacing w:after="0" w:line="172" w:lineRule="exact"/>
        <w:rPr>
          <w:sz w:val="20"/>
          <w:szCs w:val="20"/>
          <w:color w:val="auto"/>
        </w:rPr>
      </w:pPr>
    </w:p>
    <w:p>
      <w:pPr>
        <w:ind w:left="700" w:hanging="302"/>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Insurance,</w:t>
      </w:r>
    </w:p>
    <w:p>
      <w:pPr>
        <w:spacing w:after="0" w:line="171" w:lineRule="exact"/>
        <w:rPr>
          <w:rFonts w:ascii="Arial" w:cs="Arial" w:eastAsia="Arial" w:hAnsi="Arial"/>
          <w:sz w:val="17"/>
          <w:szCs w:val="17"/>
          <w:color w:val="auto"/>
        </w:rPr>
      </w:pPr>
    </w:p>
    <w:p>
      <w:pPr>
        <w:ind w:left="700" w:hanging="302"/>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Healthcare,</w:t>
      </w:r>
    </w:p>
    <w:p>
      <w:pPr>
        <w:spacing w:after="0" w:line="171" w:lineRule="exact"/>
        <w:rPr>
          <w:rFonts w:ascii="Arial" w:cs="Arial" w:eastAsia="Arial" w:hAnsi="Arial"/>
          <w:sz w:val="17"/>
          <w:szCs w:val="17"/>
          <w:color w:val="auto"/>
        </w:rPr>
      </w:pPr>
    </w:p>
    <w:p>
      <w:pPr>
        <w:ind w:left="700" w:hanging="302"/>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Analytics, and</w:t>
      </w:r>
    </w:p>
    <w:p>
      <w:pPr>
        <w:spacing w:after="0" w:line="171" w:lineRule="exact"/>
        <w:rPr>
          <w:rFonts w:ascii="Arial" w:cs="Arial" w:eastAsia="Arial" w:hAnsi="Arial"/>
          <w:sz w:val="17"/>
          <w:szCs w:val="17"/>
          <w:color w:val="auto"/>
        </w:rPr>
      </w:pPr>
    </w:p>
    <w:p>
      <w:pPr>
        <w:ind w:left="700" w:hanging="302"/>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Emerging Business</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Our global delivery network, which includes highly trained industry and process specialists across the United States, Latin America, South Africa, Europe and Asia (primarily India and the Philippines), is a key asset. We have operations centers in India, the United States, the United Kingdom, the Philippines, Bulgaria, Colombia, South Africa, Romania and the Czech Republic.</w:t>
      </w:r>
    </w:p>
    <w:p>
      <w:pPr>
        <w:spacing w:after="0" w:line="120"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On December 16, 2021, we completed the acquisition of Clairvoyant, a global data, AI, ML, and cloud services firm that helps organizations in their business transformation by maximizing the value of data through actionable insights. It provides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data engineering, analytics, AI, ML, product engineering, and cloud-based solutions. The acquisition strengthens our Analytics capabilities by adding additional expertise in data engineering and cloud enablement, further supporting our clients in the insurance, healthcare, banking and financial services, and retail industries.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Continued Impact of COVID-19 on Our Business</w:t>
      </w:r>
    </w:p>
    <w:p>
      <w:pPr>
        <w:spacing w:after="0" w:line="165" w:lineRule="exact"/>
        <w:rPr>
          <w:sz w:val="20"/>
          <w:szCs w:val="20"/>
          <w:color w:val="auto"/>
        </w:rPr>
      </w:pPr>
    </w:p>
    <w:p>
      <w:pPr>
        <w:jc w:val="both"/>
        <w:ind w:firstLine="384"/>
        <w:spacing w:after="0" w:line="237" w:lineRule="auto"/>
        <w:rPr>
          <w:sz w:val="20"/>
          <w:szCs w:val="20"/>
          <w:color w:val="auto"/>
        </w:rPr>
      </w:pPr>
      <w:r>
        <w:rPr>
          <w:rFonts w:ascii="Arial" w:cs="Arial" w:eastAsia="Arial" w:hAnsi="Arial"/>
          <w:sz w:val="17"/>
          <w:szCs w:val="17"/>
          <w:color w:val="auto"/>
        </w:rPr>
        <w:t>Over the course of 2020, and continuing into 2021, our clients, contractors, suppliers, and other partners adapted in order to conduct business activities in a COVID-19 environment. As the global economy continued to adapt to the impact of COVID-19, our clients are focused on receiving personalized customer experiences, optimizing costs and supporting resilient operating models. We remain committed to helping our clients adapt and thrive through the ongoing uncertainties caused by COVID-19 and, going forward, to the shifting business environment.</w:t>
      </w:r>
    </w:p>
    <w:p>
      <w:pPr>
        <w:spacing w:after="0" w:line="120" w:lineRule="exact"/>
        <w:rPr>
          <w:sz w:val="20"/>
          <w:szCs w:val="20"/>
          <w:color w:val="auto"/>
        </w:rPr>
      </w:pPr>
    </w:p>
    <w:p>
      <w:pPr>
        <w:jc w:val="both"/>
        <w:ind w:firstLine="384"/>
        <w:spacing w:after="0" w:line="241" w:lineRule="auto"/>
        <w:rPr>
          <w:sz w:val="20"/>
          <w:szCs w:val="20"/>
          <w:color w:val="auto"/>
        </w:rPr>
      </w:pPr>
      <w:r>
        <w:rPr>
          <w:rFonts w:ascii="Arial" w:cs="Arial" w:eastAsia="Arial" w:hAnsi="Arial"/>
          <w:sz w:val="17"/>
          <w:szCs w:val="17"/>
          <w:color w:val="auto"/>
        </w:rPr>
        <w:t>Our remote working delivery capability steadily improved throughout 2021. We estimate that we are able to deliver a significant portion of our clients’ current requirements in a remote work model given the current lockdown restrictions in the locations in which we operate and certain clients not authorizing us to perform the remaining process work remotely due to its sensitive nature.</w:t>
      </w:r>
    </w:p>
    <w:p>
      <w:pPr>
        <w:spacing w:after="0" w:line="211" w:lineRule="exact"/>
        <w:rPr>
          <w:sz w:val="20"/>
          <w:szCs w:val="20"/>
          <w:color w:val="auto"/>
        </w:rPr>
      </w:pPr>
    </w:p>
    <w:p>
      <w:pPr>
        <w:jc w:val="both"/>
        <w:ind w:firstLine="384"/>
        <w:spacing w:after="0" w:line="262" w:lineRule="auto"/>
        <w:rPr>
          <w:sz w:val="20"/>
          <w:szCs w:val="20"/>
          <w:color w:val="auto"/>
        </w:rPr>
      </w:pPr>
      <w:r>
        <w:rPr>
          <w:rFonts w:ascii="Arial" w:cs="Arial" w:eastAsia="Arial" w:hAnsi="Arial"/>
          <w:sz w:val="17"/>
          <w:szCs w:val="17"/>
          <w:color w:val="auto"/>
        </w:rPr>
        <w:t>We continue to incur additional costs in order to ensure the continuity of our operations and support our remote work model. Such costs include purchase of desktops and laptops for our employees, software and internet connectivity devices, technology tools for productivity enhancement, accommodation, meal, overtime, transportation and sanitization and cleaning costs of our offices and facilities. We also expect that we will continue to incur additional costs to monitor and improve operational efficiency of our remote work model, implement new information technology solutions and security measures to safeguard against information security risks and protect the health and safety of our employees as they gradually return to the office. We believe that these short-to-medium-term costs may benefit us in the long-term, as these steps have broadened our remote working capabilities, which we expect to become a permanent feature in our future delivery model, as well as our business continuity plans.</w:t>
      </w:r>
    </w:p>
    <w:p>
      <w:pPr>
        <w:spacing w:after="0" w:line="119"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Certain impacts of COVID-19 on our business, results of operations, financial position and cash flow during 2021 have been described above and below, however the full extent of the impact for the period beyond 2021 is currently uncertain and will depend on many factors that are not within our control.</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For additional information and risks related to COVID-19, see Part I, Item 1A, “Risk Factors.”</w:t>
      </w:r>
    </w:p>
    <w:p>
      <w:pPr>
        <w:spacing w:after="0" w:line="172"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During the fourth quarter of 2021, we performed our annual goodwill quantitative impairment test for any potential impairment. We considered the effects of COVID-19 on our significant inputs used in determining the fair value of our reporting units. Based on the results, the fair value of each of our reporting units exceeded their carrying value and the goodwill was not impaired. However, there can be no assurances that goodwill will not be impaired in future periods. Estimating the fair value of goodwill requires the use of estimates and significant judgments that are based on a number of factors including actual operating results. These estimates and judgments may not be within our control and accordingly it is reasonably possible that they could change in future periods.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78"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For the year ended December 31, 2021, we generated revenues of $1,122.3 million compared to revenues of $958.4 million for the year ended December 31, 2020, an increase of $163.9 million, or 17.1%.</w:t>
      </w:r>
    </w:p>
    <w:p>
      <w:pPr>
        <w:spacing w:after="0" w:line="10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We serve clients mainly in the United States and the United Kingdom, with these two regions generating 85.9% and 9.4%, respectively, of our total revenues for the year ended December 31, 2021 and 85.0% and 9.3%, respectively, of our revenues for the year ended December 31, 2020.</w:t>
      </w:r>
    </w:p>
    <w:p>
      <w:pPr>
        <w:spacing w:after="0" w:line="106"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For the years ended December 31, 2021 and 2020, our total revenues from our top ten clients accounted for 38.1% and 37.4% of our total revenues, respectively. Our revenue concentration with our top clients remains largely consistent year-over-year and we continue to develop relationships with new clients to diversify our client base. We believe that the loss of any of our top ten clients could have a material adverse effect on our financial performance.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17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from the United States, Europe and Australia.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i w:val="1"/>
          <w:iCs w:val="1"/>
          <w:color w:val="auto"/>
        </w:rPr>
        <w:t xml:space="preserve">Digital Operations and Solutions: </w:t>
      </w:r>
      <w:r>
        <w:rPr>
          <w:rFonts w:ascii="Arial" w:cs="Arial" w:eastAsia="Arial" w:hAnsi="Arial"/>
          <w:sz w:val="16"/>
          <w:szCs w:val="16"/>
          <w:color w:val="auto"/>
        </w:rPr>
        <w:t>We provide our clients with a range of digital operations and solutions from our Insurance, Healthcare and Emerging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strategic business units, which are focused on solving complex industry problems such as the insurance claims lifecycle and financial transactions processing, and typically involve the use of agile delivery models to implement digital technologies and interventions like hyper-automation, customer experience transformation, advanced automation, robotics, enterprise architecture, end-to-end business function management and transformations. We either administer and manage these functions on an ongoing basis via longer-term arrangements or project work.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spacing w:after="0" w:line="121"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We provide our services under contracts with our clients, which typically have terms of three or more years, with some being rolling contracts with no end dates. Typically, our clients can terminate these contracts with or without cause and with short notice periods. These contracts provide us with a relatively predictable revenue base for a substantial portion of our digital operations and solutions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15" w:lineRule="exact"/>
        <w:rPr>
          <w:sz w:val="20"/>
          <w:szCs w:val="20"/>
          <w:color w:val="auto"/>
        </w:rPr>
      </w:pPr>
    </w:p>
    <w:p>
      <w:pPr>
        <w:jc w:val="both"/>
        <w:ind w:firstLine="393"/>
        <w:spacing w:after="0" w:line="246" w:lineRule="auto"/>
        <w:rPr>
          <w:sz w:val="20"/>
          <w:szCs w:val="20"/>
          <w:color w:val="auto"/>
        </w:rPr>
      </w:pPr>
      <w:r>
        <w:rPr>
          <w:rFonts w:ascii="Arial" w:cs="Arial" w:eastAsia="Arial" w:hAnsi="Arial"/>
          <w:sz w:val="17"/>
          <w:szCs w:val="17"/>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32"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97" w:lineRule="exact"/>
        <w:rPr>
          <w:sz w:val="20"/>
          <w:szCs w:val="20"/>
          <w:color w:val="auto"/>
        </w:rPr>
      </w:pPr>
    </w:p>
    <w:p>
      <w:pPr>
        <w:jc w:val="both"/>
        <w:ind w:firstLine="393"/>
        <w:spacing w:after="0" w:line="242"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clients by unlocking deep insights from data and create data driven</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across all parts of our clients’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enhance, modernize and enrich structured and unstructured data and use a spectrum of advanced analytical tools and techniques, including our in-house ML and AI capabilities to create insights and improve decision making for our clients. Our Clairvoyant acquisition in December 2021 strengthens our analytics capabilities by adding additional expertise in data engineering and cloud enablement, further supporting our clients in the insurance, healthcare, banking and financial services, and retail industries. We actively cross-sell and, where appropriate, integrate our analytics services with other digital operations and solutions as part of a comprehensive offering for our clients. Our projects-based analytics services are cyclical and can be significantly affected by variations in business cycles. In addition, our projects-based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14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We anticipate that revenues from our analytics services will grow as we expand our service offerings and client base, both organically and through acquisitions.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cost of revenues primarily consists of:</w:t>
      </w:r>
    </w:p>
    <w:p>
      <w:pPr>
        <w:spacing w:after="0" w:line="172" w:lineRule="exact"/>
        <w:rPr>
          <w:sz w:val="20"/>
          <w:szCs w:val="20"/>
          <w:color w:val="auto"/>
        </w:rPr>
      </w:pPr>
    </w:p>
    <w:p>
      <w:pPr>
        <w:ind w:left="640" w:hanging="320"/>
        <w:spacing w:after="0" w:line="322" w:lineRule="auto"/>
        <w:tabs>
          <w:tab w:leader="none" w:pos="6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employee costs, which include salary, bonus and other compensation expenses; retirement benefits, recruitment and training costs; employee health and life insurance; transport; rewards and recognition for certain employees; and non-cash stock compensation expense; and</w:t>
      </w:r>
    </w:p>
    <w:p>
      <w:pPr>
        <w:spacing w:after="0" w:line="83" w:lineRule="exact"/>
        <w:rPr>
          <w:rFonts w:ascii="Arial" w:cs="Arial" w:eastAsia="Arial" w:hAnsi="Arial"/>
          <w:sz w:val="16"/>
          <w:szCs w:val="16"/>
          <w:color w:val="auto"/>
        </w:rPr>
      </w:pPr>
    </w:p>
    <w:p>
      <w:pPr>
        <w:ind w:left="640" w:hanging="320"/>
        <w:spacing w:after="0" w:line="289"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costs relating to our facilities and communications network, which include telecommunication and IT costs; facilities and customer management support; operational expenses for our operations centers; rent expenses; and</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Outsourced/subcontractors and professional services costs;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travel and other billable costs to our clients;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costs relating to our direct mail operations and other digital operations and solutions.</w:t>
      </w:r>
    </w:p>
    <w:p>
      <w:pPr>
        <w:spacing w:after="0" w:line="172" w:lineRule="exact"/>
        <w:rPr>
          <w:sz w:val="20"/>
          <w:szCs w:val="20"/>
          <w:color w:val="auto"/>
        </w:rPr>
      </w:pPr>
    </w:p>
    <w:p>
      <w:pPr>
        <w:jc w:val="both"/>
        <w:ind w:firstLine="393"/>
        <w:spacing w:after="0" w:line="300" w:lineRule="auto"/>
        <w:rPr>
          <w:sz w:val="20"/>
          <w:szCs w:val="20"/>
          <w:color w:val="auto"/>
        </w:rPr>
      </w:pPr>
      <w:r>
        <w:rPr>
          <w:rFonts w:ascii="Arial" w:cs="Arial" w:eastAsia="Arial" w:hAnsi="Arial"/>
          <w:sz w:val="15"/>
          <w:szCs w:val="15"/>
          <w:color w:val="auto"/>
        </w:rPr>
        <w:t>The most significant components of our cost of revenues are salaries and benefits (including stock-based compensation), retirement benefits, recruitment, training, transport, meals, rewards and recognition and employee health and life insurance. Salary levels, employee turnover rates and our ability to efficiently manage and utilize our employees significantly affect our cost of revenues.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non-cash amortization of stock compensation expense relating to our issuance of equity awards to employees directly involved in providing services to our clients.</w:t>
      </w:r>
    </w:p>
    <w:p>
      <w:pPr>
        <w:spacing w:after="0" w:line="105"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We expect our cost of revenues to continue to increase as we continue to add professionals in our operating centers globally to service additional business and as wages continue to increase globally. In particular, we expect training costs to continue to increase as we continue to add staff to service new clients and provide existing staff with additional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We also expect that we will continue to incur additional costs to monitor and improve operational efficiency of our remote work model, invest in information technology solutions and security measures to safeguard against information security risks and costs to protect the health and safety of our employees as they gradually return to the office. See Part I, Item 1A, “Risk Factors” under “Risks Related to Our Business-Employee wage increases may prevent us from sustaining our competitive advantage and may reduce our profit margin” and under “Risks Related to the International Nature of Our Business-We are subject to labor and employment laws across jurisdictions and if more stringent labor laws become applicable to us or if our employees unionize, our profitability may be adversely affected.” However, a significant portion of our client contracts include inflation-based adjustments to our billing rates year over year which partially offset such increase in cost of revenues.</w:t>
      </w:r>
    </w:p>
    <w:p>
      <w:pPr>
        <w:spacing w:after="0" w:line="118"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We generally experience a higher cost of revenues as a percentage of revenues during the initial 12 to 18 months in a long-term digital operations and solutions contract due to upfront investments in infrastructure, resource hiring and training during migration. The cost of revenues as a percentage of revenues improves as we scale up, achieve operational efficiencies and complete the migration.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 ("SG&amp;A")</w:t>
      </w:r>
    </w:p>
    <w:p>
      <w:pPr>
        <w:spacing w:after="0" w:line="172"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Our General and Administrative expenses (“G&amp;A”) comprise of expenses relating to salaries and benefits (including stock based compensation), retirement benefits as well as costs related to recruitment, training and retention of senior management and other support personnel in enabling functions, telecommunications, utilities, travel and other miscellaneous administrative costs. G&amp;A expenses also include acquisition-related costs, legal and professional fees (which represent the costs of third party legal, tax, accounting, immigration and other advisors), investment in product development, digital technology, advanced automation and robotics, cloud, AI and MI, bad debt allowance and stock compensation expenses related to our issuance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equity awards to members of our board of directors. We expect our G&amp;A costs to increase as we continue to strengthen our support and enabling functions and invest in leadership development, performance management and training programs.</w:t>
      </w:r>
    </w:p>
    <w:p>
      <w:pPr>
        <w:spacing w:after="0" w:line="106"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Selling and marketing expenses primarily consist of salaries and benefits (including stock based compensation), retirement benefits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 Expense</w:t>
      </w:r>
    </w:p>
    <w:p>
      <w:pPr>
        <w:spacing w:after="0" w:line="17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Depreciation and amortization pertains to depreciation of our tangible assets, including network equipment, cabling, computers, office furniture and equipment, motor vehicles and leasehold improvements and amortization of intangible assets. As we add new facilities and expand our existing operations centers, we expect that depreciation expense will increase, reflecting additional investments in equipment such as desktop computers, servers and other infrastructure. The property and equipment which are abandoned, are assessed for revision of their useful life, thereby revising the future depreciation to reflect the use of property and equipment over the remaining shortened life. We expect lower depreciation on assets related to operating centers closed as a result of optimization of office space and increased reliance on remote work model, due to the impact of COVID-19. We expect amortization of intangible assets to increase further as we pursue strategic relationships and acquisitions.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Exchange</w:t>
      </w:r>
    </w:p>
    <w:p>
      <w:pPr>
        <w:spacing w:after="0" w:line="178"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We report our financial results in the U.S. dollar. However, a significant portion of our total revenues are earned in the U.K. pound sterling (8.6% and 8.3%, respectively, for the years ended December 31, 2021 and 2020), while a significant portion of our expenses are incurred and paid in Indian rupees (29.4% and 27.2%, respectively, of our total costs for the years ended December 31, 2021 and 2020) and the Philippine peso (9.5% and 11.5%, of our total costs for the years ended December 31, 2021 and 2020). The exchange rates among the Indian rupee, the Philippine peso, the U.K. pound sterling and the U.S. dollar have changed substantially in recent years and may fluctuate substantially in the future as well. The results of our operations could be substantially impacted as the Indian rupee, the Philippine peso and the U.K. pound sterling appreciate or depreciate against the U.S. dollar. See Note 2 - Summary of Significant Accounting Policies and Note 16 - Derivatives and Hedge Accounting to our consolidated financial statements and Part II, Item 7A, “Quantitative and Qualitative Disclosures About Market Risk-Foreign Currency Risk.”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78"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Interest expense primarily consist of interest on our borrowings under our credit facility and convertible senior notes, finance lease liabilities and notional interest implicit in the purchase of property and equipment.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78"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Other income, net primarily consists of gain/(loss) on sale, mark to market and dividend income on our investments in mutual funds and money market funds, and interest on time deposits classified under “Cash and cash equivalents,” “Short-term investments” and “Other assets,” as applicable on our consolidated balance sheets. Other income, net also consists of changes in fair value of earn-out consideration, interest on refunds received from income tax authorities in India on completion of tax assessments and components of net periodic benefit cost such as interest cost, expected return on plan assets, amortization of actuarial gain or loss and profit or loss on disposal of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78"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During the year 2018, we made an election to change the tax status of most of our controlled foreign corporations (“CFC”) to disregarded entities for U.S. income tax purposes. As a result, we no longer have undistributed earnings in connection with these CFCs. The Transition Tax resulted in previously taxed income (“PTI”) which may be subject to withholding taxes and currency gains or losses upon repatriation. We periodically evaluate opportunities to distribute PTI among our group entities to fund our operations in the United States and other geographies, and as and when we decide to distribute, we may have to accrue additional taxes in accordance with local tax laws, rules and regulations in the relevant foreign jurisdictions. These distributions do not constitute a change in our permanent reinvestment assertion.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In 2019, the Government of India introduced a new tax regime for certain Indian companies by enacting the Taxation Laws (Amendment) Act, 2019. The new tax regime is optional and provides for a lower tax rate for Indian companies, subject to certain conditions, which among other things includes not availing of specified exemptions or incentives. During the year 2019 and 2020, we elected this new tax regime for our Indian subsidiaries to obtain the benefit of a lower tax rate.</w:t>
      </w:r>
    </w:p>
    <w:p>
      <w:pPr>
        <w:spacing w:after="0" w:line="124"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We also benefited from a corporate tax holiday in the Philippines for our operations centers established there over the last several years. The tax holiday expired for few of our operations centers in last few years and will expire for other operations centers by year 2022, which may lead to an increase in our overall tax rate. Following the expiry of the tax exemption, income generated from operations centers in the Philippines will be taxed at the prevailing annual tax rate, which as of December 31, 2021 was 5.0% on gross income.</w:t>
      </w:r>
    </w:p>
    <w:p>
      <w:pPr>
        <w:spacing w:after="0" w:line="124"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8" w:lineRule="exact"/>
        <w:rPr>
          <w:sz w:val="20"/>
          <w:szCs w:val="20"/>
          <w:color w:val="auto"/>
        </w:rPr>
      </w:pPr>
    </w:p>
    <w:p>
      <w:pPr>
        <w:jc w:val="both"/>
        <w:ind w:firstLine="393"/>
        <w:spacing w:after="0" w:line="297" w:lineRule="auto"/>
        <w:rPr>
          <w:sz w:val="20"/>
          <w:szCs w:val="20"/>
          <w:color w:val="auto"/>
        </w:rPr>
      </w:pPr>
      <w:r>
        <w:rPr>
          <w:rFonts w:ascii="Arial" w:cs="Arial" w:eastAsia="Arial" w:hAnsi="Arial"/>
          <w:sz w:val="15"/>
          <w:szCs w:val="15"/>
          <w:color w:val="auto"/>
        </w:rPr>
        <w:t>The discussion and analysis of our financial condition and results of operations are based upon the financial statements included in this Annual Report on Form 10-K, which have been prepared in accordance with U.S. generally accepted accounting principles (“U.S. GAAP”). A summary of our significant accounting policies is included in Note 2 - Summary of Significant Accounting Policies to our consolidated financial statements. We consider the policies discussed below to be critical to an understanding of our consolidated financial statements, as their application places the most significant demands on management’s judgment regarding matters that are inherently uncertain at the time an estimate is made. These policies include revenue recognition, allowance for expected credit losses, business combinations, goodwill, intangibles and long-lived assets, stock-based compensation, derivative instruments and hedging activity and borrowings. The significant estimates and assumptions that affect the financial statements include, but are not limited to, estimates of the fair value of the identifiable intangible assets and contingent consideration, purchase price allocation, allowance for expected credit losses,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recoverability of dues from statutory authorities, assets and obligations related to employee benefit plans, deferred tax valuation allowances, income-tax uncertainties and other contingencies, valuation of derivative financial instruments, assumptions related to lease liabilities, ROU assets, lease cost, income taxes and assets, obligations related to employee benefit plans, revenue projections and discount rate applied within the discounted cash flow model for business acquisitions. These accounting policies and the associated risks are set out below. Future events may not develop exactly as forecasted and estimates routinely require adjustment.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Revenue is recognized when services are provided to our clients, in an amount that reflects the consideration which we expect to be entitled to in exchange for the services provided.</w:t>
      </w:r>
    </w:p>
    <w:p>
      <w:pPr>
        <w:spacing w:after="0" w:line="10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Revenue is measured based on consideration specified in a contract with a customer and excludes discounts and amounts collected on behalf of third parties. We recognize revenue when we satisfy a performance obligation by providing services to a customer.</w:t>
      </w:r>
    </w:p>
    <w:p>
      <w:pPr>
        <w:spacing w:after="0" w:line="10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Taxes assessed by a governmental authority that are both imposed on and concurrent with a specific revenue-producing transaction, that are collected by us from a customer, are excluded from revenue.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judgments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Arrangements with Multiple Performance Obligations</w:t>
      </w:r>
    </w:p>
    <w:p>
      <w:pPr>
        <w:spacing w:after="0" w:line="178"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We sometimes enter into contracts with our clients which include promises to transfer multiple products and services to the client. Determining whether products and services are considered as distinct performance obligations that should be accounted for separately rather than as one performance obligation may require significant judgment. The transaction price is allocated to performance obligations on relative standalone selling price basis.</w:t>
      </w:r>
    </w:p>
    <w:p>
      <w:pPr>
        <w:spacing w:after="0" w:line="101"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Judgment is also required to determine the standalone selling price for each distinct performance obligation. In instances where the standalone selling price is not directly observable, it is determined using information that may include market conditions and other observable inputs.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Consideration</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Variability in the transaction price arises primarily due to service level agreements and volume discounts.</w:t>
      </w:r>
    </w:p>
    <w:p>
      <w:pPr>
        <w:spacing w:after="0" w:line="172"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We consider our experience with similar transactions and expectations regarding the contract in estimating the amount of variable consideration that should be recognized during a period.</w:t>
      </w:r>
    </w:p>
    <w:p>
      <w:pPr>
        <w:spacing w:after="0" w:line="106"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We believe that the expected value method is most appropriate for determining the variable consideration since we have a large number of contracts with similar nature of transactions/services.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Type of Contracts Requiring Judgment</w:t>
      </w:r>
    </w:p>
    <w:p>
      <w:pPr>
        <w:spacing w:after="0" w:line="172" w:lineRule="exact"/>
        <w:rPr>
          <w:sz w:val="20"/>
          <w:szCs w:val="20"/>
          <w:color w:val="auto"/>
        </w:rPr>
      </w:pPr>
    </w:p>
    <w:p>
      <w:pPr>
        <w:jc w:val="both"/>
        <w:ind w:left="640" w:hanging="242"/>
        <w:spacing w:after="0" w:line="262" w:lineRule="auto"/>
        <w:tabs>
          <w:tab w:leader="none" w:pos="63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Revenues for our fixed-price contracts are recognized using costs incurred to date relative to total estimated costs at completion to measure progress toward satisfying our performance obligations. Incurred cost represents work performed, which corresponds with, and thereby best depicts, the transfer of control to the client. The use of this method requires significant judgment to estimate the cost required to complete the contracted scope of work, including assumptions and estimates relative to the length of time to complete the project and the nature and complexity of the work to be performed and resources engaged. We regularly monitor these estimates throughout the execution of the project and record changes in the period in which a change in an estimate is determined. If a change in an estimate results in a projected loss on a project, such loss is recognized in the period in which it is first identified.</w:t>
      </w:r>
    </w:p>
    <w:p>
      <w:pPr>
        <w:spacing w:after="0" w:line="132" w:lineRule="exact"/>
        <w:rPr>
          <w:rFonts w:ascii="Arial" w:cs="Arial" w:eastAsia="Arial" w:hAnsi="Arial"/>
          <w:sz w:val="17"/>
          <w:szCs w:val="17"/>
          <w:color w:val="auto"/>
        </w:rPr>
      </w:pPr>
    </w:p>
    <w:p>
      <w:pPr>
        <w:jc w:val="both"/>
        <w:ind w:left="640" w:hanging="242"/>
        <w:spacing w:after="0" w:line="286"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Revenues from reimbursement optimization services having contingent fee arrangements are recognized by us at the point in time when a performance obligation is satisfied, which is when we identify an overpayment claim. In such contracts, our consideration is contingent upon the actual collections made by our clients and net of any subsequent retraction claims. Based on guidance on “variable consideration” in Topic 606, we use our historical experience and projections to determine the expected recoveries from our clients and recognize revenue based upon such expected recoveries. Any adjustment required due to change in estimates are recorded in the period in which such change is identified.</w:t>
      </w:r>
    </w:p>
    <w:p>
      <w:pPr>
        <w:spacing w:after="0" w:line="110"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For additional information, see Note 4 - Revenues, net to our consolidated financial statements under Part II, Item 8, “Financial Statements and Supplementary Data.”</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Unbilled Receivables</w:t>
      </w:r>
    </w:p>
    <w:p>
      <w:pPr>
        <w:spacing w:after="0" w:line="172"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Unbilled receivables represent revenues recognized for services rendered between the last billing date and the balance sheet date. Unbilled receivables also include revenues recognized from reimbursement optimization services where we identify an overpayment claim. In such contracts, our consideration is contingent upon and collectable only when the actual collections are made by our clients. Based on guidance on “variable consideration” in Topic 606, we use our historical experience and projections to determine the expected recoveries from our clients and recognize revenue and receivables based upon such expected recoveries. Accordingly, the amounts for which services have been performed and for which invoices have not been issued to customers on the balance sheet date, (i.e. unbilled receivables) are presented under accounts receivable.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 and contract fulfillment costs</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have contract liabilities (deferred revenue) consisting of advance billings and billing in excess of revenues recognized. Deferred revenue also includes the amount for which services have been rendered but other conditions of revenue recognition are not met, for example where we do not have an enforceable contract.</w:t>
      </w:r>
    </w:p>
    <w:p>
      <w:pPr>
        <w:spacing w:after="0" w:line="120"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Further, we also defer revenues attributable to certain process transition activities, with respect to our clients where such activities do not represent separate performance obligations. Revenues related to such transition activities are classified under “Deferred revenue” and “Other non-current liabilities” in our consolidated balance sheets and are recognized ratably over the period during which the related services are performed.</w:t>
      </w:r>
    </w:p>
    <w:p>
      <w:pPr>
        <w:spacing w:after="0" w:line="120"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Costs related to such transition activities are contract fulfillment costs, and thereby classified under “Other current assets” and “Other assets” in the consolidated balance sheets, and are recognized over the expected duration of the relationship with customers, under “Cost of revenues” in our consolidated statements of income.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Acquisition Costs</w:t>
      </w:r>
    </w:p>
    <w:p>
      <w:pPr>
        <w:spacing w:after="0" w:line="17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Direct and incremental costs incurred for acquiring contracts, such as sales commissions are contract acquisition costs and thereby classified under “Other current assets” and “Other assets” in our consolidated balance sheets. Such costs are amortized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340"/>
        <w:spacing w:after="0" w:line="450" w:lineRule="auto"/>
        <w:rPr>
          <w:sz w:val="20"/>
          <w:szCs w:val="20"/>
          <w:color w:val="auto"/>
        </w:rPr>
      </w:pPr>
      <w:r>
        <w:rPr>
          <w:rFonts w:ascii="Arial" w:cs="Arial" w:eastAsia="Arial" w:hAnsi="Arial"/>
          <w:sz w:val="17"/>
          <w:szCs w:val="17"/>
          <w:color w:val="auto"/>
        </w:rPr>
        <w:t xml:space="preserve">over the expected duration of the relationship with customers and recorded under Selling and marketing expenses in our consolidated statements of income. </w:t>
      </w:r>
      <w:r>
        <w:rPr>
          <w:rFonts w:ascii="Arial" w:cs="Arial" w:eastAsia="Arial" w:hAnsi="Arial"/>
          <w:sz w:val="17"/>
          <w:szCs w:val="17"/>
          <w:b w:val="1"/>
          <w:bCs w:val="1"/>
          <w:i w:val="1"/>
          <w:iCs w:val="1"/>
          <w:color w:val="auto"/>
        </w:rPr>
        <w:t>Upfront Payment Made to Customers</w:t>
      </w:r>
    </w:p>
    <w:p>
      <w:pPr>
        <w:spacing w:after="0" w:line="1"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Upfront payments in nature of deal signing discount or deal signing bonuses made to customers are contract assets and classified under “Other current assets” and “Other assets” in our consolidated balance sheets. Such costs are amortized over the expected period of benefit and are recorded as an adjustment to transaction price and reduced from revenues.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Expected Credit Losses</w:t>
      </w:r>
    </w:p>
    <w:p>
      <w:pPr>
        <w:spacing w:after="0" w:line="172"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We record accounts receivable net of allowances for expected credit losses. Allowances for credit losses are established through the evaluation of aging of accounts receivables, prior collection experience, current market conditions, forecasts about future economic conditions, clients’ financial condition and the amount of accounts receivable in dispute to estimate the collectability of these accounts receivable. Accounts receivable balances are written-off against the allowance for expected credit losses after all means of collection have been exhausted and the potential for recovery is considered remote.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7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We account for all business combinations using the acquisition method of accounting as prescribed by Accounting Standards Codification (“ASC”) Topic 805, “Business Combinations.” The guidance requires the use of significant estimates and assumptions in determining the fair value of identifiable assets acquired and liabilities assumed, including intangible assets and contingent consideration, and allocation of purchase price over such assets and liabilities on the acquisition date. The significant estimates and assumptions include, but are not limited to, the timing and amount of future revenue and cash flows based on, among other things, discount rate reflecting the risk inherent in future cash flows, customer attrition rates and the long-term growth rate applied within the discounted cash flow model. This requires a high degree of the Company’s judgment and the need to involve fair value specialists to evaluate the reasonableness of the Company’s valuation methodology and the selection of inputs to the valuation.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Intangible Assets and Long-lived Assets</w:t>
      </w:r>
    </w:p>
    <w:p>
      <w:pPr>
        <w:spacing w:after="0" w:line="172"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in a business combination. Goodwill is not amortized but is tested for impairment at least on an annual basis, relying on a number of factors including operating results, business plans and estimated future cash flows of the reporting units to which it is assigned. We undertake studies to determine the fair values of assets and liabilities acquired and allocate purchase consideration to assets and liabilities, including property and equipment, goodwill and other identifiable intangibles. We examine the carrying value of the goodwill annually in the fourth quarter, or more frequently, as circumstances warrant, to determine whether there are any impairment losses. We test for goodwill impairment at the reporting unit level. We also assess any potential goodwill impairment for our reporting units immediately prior to any segment changes and reallocate goodwill on the basis of the new reporting units.</w:t>
      </w:r>
    </w:p>
    <w:p>
      <w:pPr>
        <w:spacing w:after="0" w:line="118"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5"/>
          <w:szCs w:val="15"/>
          <w:color w:val="auto"/>
        </w:rPr>
        <w:t>The goodwill quantitative impairment test involves a comparison of the fair value of a reporting unit with its carrying amount. We estimate the fair value of a reporting unit using a combination of the income approach, using discounted cash flow analysis (“DCF model”), and also the market approach, using market multiples for reporting units whereby the fair value is not substantially in excess of carrying value. 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each business. Actual results may differ from those assumed in our forecasts. Discount rate assumptions are based on an assessment of the risk inherent in the future cash flows of the respective reporting units. The discount rate is mainly based on judgment of the specific risk inherent within each reporting unit. The variables within the discount rate, many of which are outside of our control, provide us best estimate of all assumptions applied within the DCF model. Discount rates used in our reporting unit</w:t>
      </w:r>
    </w:p>
    <w:p>
      <w:pPr>
        <w:spacing w:after="0" w:line="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valuations range from 12.0% to 12.1%. We also use the “Market approach” to corroborate the results of the income approach for some of our reporting units. Under the market approach, we estimate fair value based on market multiples of revenues and earnings derived from comparable publicly-traded companies with characteristics similar to the reporting unit and comparable market transactions. The estimates used to calculate the fair value of a reporting unit change from year to year based on operating results, market conditions and other factors. Changes in these estimates and assumptions could materially affect the determination of fair value for each reporting unit.</w:t>
      </w:r>
    </w:p>
    <w:p>
      <w:pPr>
        <w:spacing w:after="0" w:line="12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Determining fair value requires the use of estimates and exercise of significant judgment, including assumptions about appropriate discount rates, perpetual growth rates, amount and timing of expected future cash flows, market multiples of revenues and earnings and comparable market transactions. These estimates and judgements may not be within our control 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accordingly it is reasonably possible that the estimates and judgments described above could change in future periods. There can be no assurance that operations will achieve the future cash flows reflected in the projections. If the carrying amount of the reporting unit exceeds its fair value, an impairment loss shall be recognized, in an amount equal to that excess, limited to the total amount of goodwill allocated to that reporting unit.</w:t>
      </w:r>
    </w:p>
    <w:p>
      <w:pPr>
        <w:spacing w:after="0" w:line="120"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discounted expected future cash flows is less than the carrying amount of such asset. The estimate of 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 See Note 2 - Summary of Significant Accounting Policies - Business Combinations, Goodwill and Other Intangible Assets to our consolidated financial statements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Under the fair value recognition provisions of ASC Topic 718, Compensation-Stock Compensation (“ASC No. 718”), cost is measured at the grant date based on the fair value of the award and is amortized on a straight-line basis over the requisite service periods of the awards, which is generally the vesting period.</w:t>
      </w:r>
    </w:p>
    <w:p>
      <w:pPr>
        <w:spacing w:after="0" w:line="120"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Determining the fair value of stock-based awards at the grant date requires significant judgment, including estimating the expected term over which the stock awards will be outstanding before they are exercised and the expected volatility of our stock.</w:t>
      </w:r>
    </w:p>
    <w:p>
      <w:pPr>
        <w:spacing w:after="0" w:line="106"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We also grant performance-based restricted stock units (“PRSUs”) to executive officers and other specified employees. Generally the grants provide that 50% of the PRSUs cliff vest at the end of a three-year period based on an aggregated revenue target (“PUs”) for a three-year period. The remaining 50% vest based on a market condition (“MUs”) that is contingent on EXL meeting or exceeding the total shareholder return relative to a group of peer companies specified under the program, measured over a three-year performance period. The award recipient may earn up to 200% of the PRSUs granted based on the actual achievements of both targets. However, the features of our equity incentive compensation program are subject to change by the Compensation Committee of our Board of Directors.</w:t>
      </w:r>
    </w:p>
    <w:p>
      <w:pPr>
        <w:spacing w:after="0" w:line="126"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The fair value of each PU is determined based on the market price of one share of our common stock on the day prior to the date of grant. The grant date fair value for the MUs is determined using a Monte Carlo simulation model. The Monte Carlo simulation model simulates a range of possible future stock prices and estimates the probabilities of the potential payouts. The Monte Carlo simulation model also involves the use of additional key assumptions, including dividend yield and risk-free interest rate. We periodically assess the reasonableness of our assumptions and update our estimates as required. If actual results differ significantly from our estimates, stock-based compensation expense and our results of operations could be materially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 and Hedging Activities</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In the normal course of business, we actively look to mitigate the exposure of foreign currency market risk associated with forecasted transactions denominated in certain foreign currencies and to minimize earnings and cash flow volatility associated with changes in foreign currency exchange rates by entering into various foreign currency exchange forward contracts, with counterparties that are highly rated financial institutions.</w:t>
      </w:r>
    </w:p>
    <w:p>
      <w:pPr>
        <w:spacing w:after="0" w:line="120"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We hedge forecasted transactions that are subject to foreign exchange exposure with foreign currency exchange contracts that qualify as cash flow hedges. Changes in the fair value of these cash flow hedges are recorded as a component of accumulated other comprehensive income/(loss), net of tax, until the hedged transactions occurs. The resultant foreign exchange gain/(loss) upon settlement of these cash flow hedges is recorded along with the underlying hedged item in the same line in our consolidated statements of income as a part of “Cost of revenues,” “General and administrative expenses,” “Selling and marketing expenses,” and “Depreciation and amortization expense,” as applicable.</w:t>
      </w:r>
    </w:p>
    <w:p>
      <w:pPr>
        <w:spacing w:after="0" w:line="127"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We also use derivative instruments consisting of foreign currency exchange contracts to economically hedge intercompany balances and other monetary assets or liabilities denominated in currencies other than the functional currency. These derivatives do not qualify as fair value hedges. Changes in the fair value of these derivatives are recognized in our consolidated statements of income and are included in foreign exchange gain/(loss).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determine the fair value of our derivatives based on market observable inputs including both forward and spot prices for currencies. Derivative assets and liabilities included in Level 2 primarily represent foreign currency forward contracts. The quotes are taken primarily from independent sources, including highly rated financial institutions.</w:t>
      </w:r>
    </w:p>
    <w:p>
      <w:pPr>
        <w:spacing w:after="0" w:line="120"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evaluate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equity are reclassified to earnings.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Borrowings</w:t>
      </w:r>
    </w:p>
    <w:p>
      <w:pPr>
        <w:spacing w:after="0" w:line="172"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 xml:space="preserve">We account for convertible notes in accordance with the guidelines established by the ASC No.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We separate the convertible notes into liability and equity components. The Beneficial Conversion Feature ("BCF") of a convertible note, which is the equity component and recorded as additional paid-in capital, is normally characterized as the convertible portion or feature of certain notes payable that provide a rate of conversion that is below market value or in-the-money when issued. We record a BCF related to any issuance of convertible notes.</w:t>
      </w:r>
    </w:p>
    <w:p>
      <w:pPr>
        <w:spacing w:after="0" w:line="10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 xml:space="preserve">If a convertible note is within the scope of the Cash Conversion Subsections contains embedded features other than the embedded conversion option, the guidance in ASC No. 815-15, </w:t>
      </w:r>
      <w:r>
        <w:rPr>
          <w:rFonts w:ascii="Arial" w:cs="Arial" w:eastAsia="Arial" w:hAnsi="Arial"/>
          <w:sz w:val="17"/>
          <w:szCs w:val="17"/>
          <w:i w:val="1"/>
          <w:iCs w:val="1"/>
          <w:color w:val="auto"/>
        </w:rPr>
        <w:t>Derivatives and Hedging - Embedded Derivatives</w:t>
      </w:r>
      <w:r>
        <w:rPr>
          <w:rFonts w:ascii="Arial" w:cs="Arial" w:eastAsia="Arial" w:hAnsi="Arial"/>
          <w:sz w:val="17"/>
          <w:szCs w:val="17"/>
          <w:color w:val="auto"/>
        </w:rPr>
        <w:t xml:space="preserve"> (“ASC 815-15”), is applied to determine if any of those features must be separately accounted for as a derivative instrument.</w:t>
      </w:r>
    </w:p>
    <w:p>
      <w:pPr>
        <w:spacing w:after="0" w:line="120"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estimated fair value of the liability component at issuance is determined using a discounted cash flow technique, which considers debt issuances with similar features of our convertible notes, excluding the conversion feature. The excess of the gross proceeds received over the estimated fair value of the liability component is allocated to the BCF, which is credited to additional paid-in-capital with a corresponding offset recognized as a discount to reduce the net carrying value of the convertible notes. The discount is being amortized to interest expense over the expected term of the convertible notes using the effective interest method.</w:t>
      </w:r>
    </w:p>
    <w:p>
      <w:pPr>
        <w:spacing w:after="0" w:line="127"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Direct, incremental finance costs related to the convertible notes are amortized over the term instrument through charges to interest expense using the effective interest method.</w:t>
      </w:r>
    </w:p>
    <w:p>
      <w:pPr>
        <w:spacing w:after="0" w:line="106"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Pursuant to ASC Subtopic 470-20, total consideration for the settlement of an existing debt obligation is separated into liability and equity components. The fair value of the existing liability is estimated using a discounted cash flow technique, which considers debt issuances with terms similar to that of our debt, however without the conversion feature. The excess of consideration over the fair value of liability component is assigned to the equity component. The effective interest rate used to estimate the fair value of the liability component is based on the income and market based approaches, adjusted for the remaining tenor of the extinguished debt. The difference between the fair value and the carrying value of the extinguished debt, net of the unamortized debt discount and unamortized debt issuance costs, is recorded as a gain or loss on settlement in the consolidated statements of income.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2"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6"/>
          <w:szCs w:val="16"/>
          <w:color w:val="auto"/>
        </w:rPr>
        <w:t>We account for income tax using the asset and liability method.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We release the tax effects from accumulated other comprehensive income/(loss) (“AOCI”) at the time of reclassification of cash flows hedges gains/ (losses) from AOCI to the consolidated statements of income. Deferred tax assets are recognized in full, subject to a valuation allowance that reduces the amount recognized to that which is more likely than not to be realized. In assessing the likelihood of realization, we consider all available evidence for each jurisdiction including past operating results, estimates of future taxable income and the feasibility of tax planning strategies.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121"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We also evaluate potential exposures related to tax contingencies or claims made by the tax authorities in various jurisdictions in order to determine whether a reserve may be required. A reserve is recorded if we believe that a loss is probable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current tax assessments.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During the year 2018, we made an election to change the tax status of most of our controlled foreign corporations (“CFC”) to disregarded entities for U.S. income tax purposes. As a result, we no longer have undistributed earnings in connection with these CFCs. The Transition Tax resulted in previously taxed income (“PTI”) which may be subject to withholding taxes and currency gains or losses upon repatriation. We periodically evaluate opportunities to repatriate PTI held by our foreign subsidiaries to fund our operations in the United States and other geographies, and as and when we decide to repatriate such PTI, we may have to accrue additional taxes which will be recorded in accordance with local tax laws, rules and regulations in the relevant foreign jurisdictions. See Note 21 - Income Taxes to our consolidated financial statements contained herein.</w:t>
      </w:r>
    </w:p>
    <w:p>
      <w:pPr>
        <w:spacing w:after="0" w:line="12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is more likely than not to be realized upon settlement.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Benefits</w:t>
      </w:r>
    </w:p>
    <w:p>
      <w:pPr>
        <w:spacing w:after="0" w:line="172"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We record contributions to defined contribution plans in our consolidated statements of income in the period in which services are rendered by the covered employees. Current service costs for defined benefit plans are recognized in the period to which they relate. The liability in respect of defined benefit plans is calculated annually by using the projected unit credit method and various actuarial assumptions including discount rates, mortality, expected return on assets, expected increase in the compensation rates and attrition rates. We evaluate these critical assumptions at least annually. If actual results differ significantly from our estimates, current service costs for defined benefit plans and our results of operations could be materially impacted.</w:t>
      </w:r>
    </w:p>
    <w:p>
      <w:pPr>
        <w:spacing w:after="0" w:line="110"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We include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are included in “Other income, net.” See Note 19 - Employee Benefit Plans to our consolidated financial statements for details.</w:t>
      </w:r>
    </w:p>
    <w:p>
      <w:pPr>
        <w:spacing w:after="0" w:line="120"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recognize the liabilities for compensated absences dependent on whether the obligation is attributable to employee services already rendered, relates to rights that vest or accumulate and payment is probable and estimable.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account for a lease at the inception of the contract. Our assessment is based on whether: (1) the contract involves the use of a distinct identified asset,</w:t>
      </w:r>
    </w:p>
    <w:p>
      <w:pPr>
        <w:spacing w:after="0" w:line="49" w:lineRule="exact"/>
        <w:rPr>
          <w:sz w:val="20"/>
          <w:szCs w:val="20"/>
          <w:color w:val="auto"/>
        </w:rPr>
      </w:pPr>
    </w:p>
    <w:p>
      <w:pPr>
        <w:jc w:val="both"/>
        <w:ind w:firstLine="5"/>
        <w:spacing w:after="0" w:line="300" w:lineRule="auto"/>
        <w:tabs>
          <w:tab w:leader="none" w:pos="25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obtain the right to substantially all the economic benefits from the use of the asset throughout the term of the contract, and (3) we have the right to direct the use of the asset. A lease is classified as a finance lease if any one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or (4) the present value of the lease payments equals or exceeds substantially all of the fair value of the asset. Operating leases are recorded in “Operating lease right-of-use assets,” “Current portion of operating lease liabilities” and “Operating lease liabilities, less current portion” in our consolidated balance sheets. Finance leases are recorded in “Property and equipment, net,” and the current and non-current portion of finance lease liabilities are presented within “Accrued expenses and other current liabilities” and “Other non-current liabilities,” respectively in our consolidated balance sheets.</w:t>
      </w:r>
    </w:p>
    <w:p>
      <w:pPr>
        <w:spacing w:after="0" w:line="105"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ROU assets represent our right to use an underlying asset during the lease term and lease liabilities represent our obligation to make lease payments arising from the lease arrangement. Operating lease ROU assets and liabilities are recognized at commencement date based on the present value of lease payments over the lease term. For leases in which the rate implicit in the lease is not readily determinable, we use our incremental borrowing rate at commencement date by adjusting the benchmark reference rates, applicable to the respective geographies where the leases are entered, with appropriate financing spreads and lease specific adjustments for the effects of collateral.</w:t>
      </w:r>
    </w:p>
    <w:p>
      <w:pPr>
        <w:spacing w:after="0" w:line="127"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Lease terms includes our assessment for the effects of options to extend or terminate the lease. We consider the extension option as part of our lease term for those lease arrangements where we are reasonably certain that we will exercise that option. Lease expense for operating lease arrangements is recognized on a straight-line basis over the lease term. We have lease agreements with lease and non-lease components, which are accounted for separately.</w:t>
      </w:r>
    </w:p>
    <w:p>
      <w:pPr>
        <w:spacing w:after="0" w:line="101"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 xml:space="preserve">We account for lease-related concessions to mitigate the economic effects of COVID-19 on lessees in accordance with guidance in Topic 842, </w:t>
      </w:r>
      <w:r>
        <w:rPr>
          <w:rFonts w:ascii="Arial" w:cs="Arial" w:eastAsia="Arial" w:hAnsi="Arial"/>
          <w:sz w:val="17"/>
          <w:szCs w:val="17"/>
          <w:i w:val="1"/>
          <w:iCs w:val="1"/>
          <w:color w:val="auto"/>
        </w:rPr>
        <w:t>Leases</w:t>
      </w:r>
      <w:r>
        <w:rPr>
          <w:rFonts w:ascii="Arial" w:cs="Arial" w:eastAsia="Arial" w:hAnsi="Arial"/>
          <w:sz w:val="17"/>
          <w:szCs w:val="17"/>
          <w:color w:val="auto"/>
        </w:rPr>
        <w:t>, to determine, on a lease-by-lease basis, whether the concession provided by lessor should be accounted for as a lease modification.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We account for a modification as a separate contract when it grants an additional right of use not included in the original lease and the increase is commensurate with the standalone price for the additional right of use, adjusted for the circumstances of the particular contract. Modifications which are not accounted for as a separate contract are reassessed as of the effective date of the modification based on its modified terms and conditions and the facts and circumstances as of that date. The lease liability is remeasured to reflect changes to the remaining lease payments and discount rates and we recognize the amount of the remeasurement of the lease liability as an adjustment to the ROU assets. However, if the carrying amount of the ROU assets is reduced to zero as a result of modification, any remaining amount of the remeasurement is recognized as an expense in our consolidated statements of income.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7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Loss contingencies are recorded as liabilities when a loss is considered probable and the amount can be reasonably estimated. When a material loss contingency is reasonably possible but not probable, we do not record a liability, but instead disclose the nature and the amount of the claim, and an estimate of the loss or range of loss, if such an estimate can be made. Significant judgment is required in the determination of probability and whether an exposure is reasonably estimable, both. Our judgments are subjective and based on the information available from the status of the legal or regulatory proceedings, the merits of our defenses and consultation with in-house and outside legal counsel. As additional information becomes available, we reassess any potential liability related to any pending litigation and may revise our estimates. Such revisions in estimates of any potential liabilities could have a material impact on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65" w:lineRule="exact"/>
        <w:rPr>
          <w:sz w:val="20"/>
          <w:szCs w:val="20"/>
          <w:color w:val="auto"/>
        </w:rPr>
      </w:pPr>
    </w:p>
    <w:p>
      <w:pPr>
        <w:jc w:val="both"/>
        <w:ind w:firstLine="315"/>
        <w:spacing w:after="0" w:line="241" w:lineRule="auto"/>
        <w:rPr>
          <w:sz w:val="20"/>
          <w:szCs w:val="20"/>
          <w:color w:val="auto"/>
        </w:rPr>
      </w:pPr>
      <w:r>
        <w:rPr>
          <w:rFonts w:ascii="Arial" w:cs="Arial" w:eastAsia="Arial" w:hAnsi="Arial"/>
          <w:sz w:val="17"/>
          <w:szCs w:val="17"/>
          <w:color w:val="auto"/>
        </w:rPr>
        <w:t>For a discussion of our results of operations for the year ended December 31, 2019, including a year-to-year comparison between 2020 and 2019, refer to Part II, Item 7, "Management's Discussion and Analysis of Financial Condition and Results of Operations" in our Annual Report on Form 10-K for the year ended December 31, 2020.</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results of operations for the years ended December 31, 2021, 2020 and 2019:</w:t>
      </w:r>
    </w:p>
    <w:p>
      <w:pPr>
        <w:spacing w:after="0" w:line="201" w:lineRule="exact"/>
        <w:rPr>
          <w:sz w:val="20"/>
          <w:szCs w:val="20"/>
          <w:color w:val="auto"/>
        </w:rPr>
      </w:pPr>
    </w:p>
    <w:tbl>
      <w:tblPr>
        <w:tblLayout w:type="fixed"/>
        <w:tblInd w:w="44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4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4"/>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Revenues, net</w:t>
            </w: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991.3</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44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690.9</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line="216" w:lineRule="exact"/>
              <w:rPr>
                <w:sz w:val="20"/>
                <w:szCs w:val="20"/>
                <w:color w:val="auto"/>
              </w:rPr>
            </w:pPr>
            <w:r>
              <w:rPr>
                <w:rFonts w:ascii="Arial" w:cs="Arial" w:eastAsia="Arial" w:hAnsi="Arial"/>
                <w:sz w:val="17"/>
                <w:szCs w:val="17"/>
                <w:b w:val="1"/>
                <w:bCs w:val="1"/>
                <w:color w:val="auto"/>
              </w:rPr>
              <w:t>Gross profit</w:t>
            </w:r>
            <w:r>
              <w:rPr>
                <w:rFonts w:ascii="Arial" w:cs="Arial" w:eastAsia="Arial" w:hAnsi="Arial"/>
                <w:sz w:val="22"/>
                <w:szCs w:val="22"/>
                <w:b w:val="1"/>
                <w:bCs w:val="1"/>
                <w:color w:val="auto"/>
                <w:vertAlign w:val="superscript"/>
              </w:rPr>
              <w:t>(1)</w:t>
            </w:r>
          </w:p>
        </w:tc>
        <w:tc>
          <w:tcPr>
            <w:tcW w:w="7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431.4</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334.5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335.8</w:t>
            </w:r>
          </w:p>
        </w:tc>
        <w:tc>
          <w:tcPr>
            <w:tcW w:w="0" w:type="dxa"/>
            <w:vAlign w:val="bottom"/>
          </w:tcPr>
          <w:p>
            <w:pPr>
              <w:spacing w:after="0"/>
              <w:rPr>
                <w:sz w:val="1"/>
                <w:szCs w:val="1"/>
                <w:color w:val="auto"/>
              </w:rPr>
            </w:pPr>
          </w:p>
        </w:tc>
      </w:tr>
      <w:tr>
        <w:trPr>
          <w:trHeight w:val="203"/>
        </w:trPr>
        <w:tc>
          <w:tcPr>
            <w:tcW w:w="4920" w:type="dxa"/>
            <w:vAlign w:val="bottom"/>
          </w:tcPr>
          <w:p>
            <w:pPr>
              <w:ind w:left="440"/>
              <w:spacing w:after="0"/>
              <w:rPr>
                <w:sz w:val="20"/>
                <w:szCs w:val="20"/>
                <w:color w:val="auto"/>
              </w:rPr>
            </w:pPr>
            <w:r>
              <w:rPr>
                <w:rFonts w:ascii="Arial" w:cs="Arial" w:eastAsia="Arial" w:hAnsi="Arial"/>
                <w:sz w:val="17"/>
                <w:szCs w:val="17"/>
                <w:color w:val="auto"/>
              </w:rPr>
              <w:t>Operating expenses:</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General and administrative expenses</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w:t>
            </w:r>
          </w:p>
        </w:tc>
        <w:tc>
          <w:tcPr>
            <w:tcW w:w="0" w:type="dxa"/>
            <w:vAlign w:val="bottom"/>
          </w:tcPr>
          <w:p>
            <w:pPr>
              <w:spacing w:after="0"/>
              <w:rPr>
                <w:sz w:val="1"/>
                <w:szCs w:val="1"/>
                <w:color w:val="auto"/>
              </w:rPr>
            </w:pPr>
          </w:p>
        </w:tc>
      </w:tr>
      <w:tr>
        <w:trPr>
          <w:trHeight w:val="223"/>
        </w:trPr>
        <w:tc>
          <w:tcPr>
            <w:tcW w:w="4920" w:type="dxa"/>
            <w:vAlign w:val="bottom"/>
          </w:tcPr>
          <w:p>
            <w:pPr>
              <w:ind w:left="760"/>
              <w:spacing w:after="0"/>
              <w:rPr>
                <w:sz w:val="20"/>
                <w:szCs w:val="20"/>
                <w:color w:val="auto"/>
              </w:rPr>
            </w:pPr>
            <w:r>
              <w:rPr>
                <w:rFonts w:ascii="Arial" w:cs="Arial" w:eastAsia="Arial" w:hAnsi="Arial"/>
                <w:sz w:val="17"/>
                <w:szCs w:val="17"/>
                <w:color w:val="auto"/>
              </w:rPr>
              <w:t>Selling and marketing expenses</w:t>
            </w:r>
          </w:p>
        </w:tc>
        <w:tc>
          <w:tcPr>
            <w:tcW w:w="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84.3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71.8</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Depreciation and amortization expense</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23"/>
        </w:trPr>
        <w:tc>
          <w:tcPr>
            <w:tcW w:w="4920" w:type="dxa"/>
            <w:vAlign w:val="bottom"/>
          </w:tcPr>
          <w:p>
            <w:pPr>
              <w:ind w:left="760"/>
              <w:spacing w:after="0"/>
              <w:rPr>
                <w:sz w:val="20"/>
                <w:szCs w:val="20"/>
                <w:color w:val="auto"/>
              </w:rPr>
            </w:pPr>
            <w:r>
              <w:rPr>
                <w:rFonts w:ascii="Arial" w:cs="Arial" w:eastAsia="Arial" w:hAnsi="Arial"/>
                <w:sz w:val="17"/>
                <w:szCs w:val="17"/>
                <w:color w:val="auto"/>
              </w:rPr>
              <w:t>Impairment and restructuring charges</w:t>
            </w:r>
          </w:p>
        </w:tc>
        <w:tc>
          <w:tcPr>
            <w:tcW w:w="7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operating expenses</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275.5</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259.4</w:t>
            </w: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7"/>
                <w:szCs w:val="17"/>
                <w:b w:val="1"/>
                <w:bCs w:val="1"/>
                <w:color w:val="auto"/>
              </w:rPr>
              <w:t>Income from operations</w:t>
            </w:r>
          </w:p>
        </w:tc>
        <w:tc>
          <w:tcPr>
            <w:tcW w:w="7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155.9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76.4</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Foreign exchange gain, net</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Arial" w:cs="Arial" w:eastAsia="Arial" w:hAnsi="Arial"/>
                <w:sz w:val="17"/>
                <w:szCs w:val="17"/>
                <w:color w:val="auto"/>
              </w:rPr>
              <w:t>Interest expense</w:t>
            </w:r>
          </w:p>
        </w:tc>
        <w:tc>
          <w:tcPr>
            <w:tcW w:w="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income, net</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Arial" w:cs="Arial" w:eastAsia="Arial" w:hAnsi="Arial"/>
                <w:sz w:val="17"/>
                <w:szCs w:val="17"/>
                <w:color w:val="auto"/>
              </w:rPr>
              <w:t>Loss on settlement of convertible notes</w:t>
            </w:r>
          </w:p>
        </w:tc>
        <w:tc>
          <w:tcPr>
            <w:tcW w:w="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1"/>
        </w:trPr>
        <w:tc>
          <w:tcPr>
            <w:tcW w:w="4920" w:type="dxa"/>
            <w:vAlign w:val="bottom"/>
            <w:tcBorders>
              <w:top w:val="single" w:sz="8" w:color="CCEEFF"/>
            </w:tcBorders>
            <w:shd w:val="clear" w:color="auto" w:fill="CCEEFF"/>
          </w:tcPr>
          <w:p>
            <w:pPr>
              <w:ind w:left="440"/>
              <w:spacing w:after="0" w:line="151" w:lineRule="exact"/>
              <w:rPr>
                <w:sz w:val="20"/>
                <w:szCs w:val="20"/>
                <w:color w:val="auto"/>
              </w:rPr>
            </w:pPr>
            <w:r>
              <w:rPr>
                <w:rFonts w:ascii="Arial" w:cs="Arial" w:eastAsia="Arial" w:hAnsi="Arial"/>
                <w:sz w:val="17"/>
                <w:szCs w:val="17"/>
                <w:b w:val="1"/>
                <w:bCs w:val="1"/>
                <w:color w:val="auto"/>
              </w:rPr>
              <w:t>Income before income tax expense and earnings from</w:t>
            </w:r>
          </w:p>
        </w:tc>
        <w:tc>
          <w:tcPr>
            <w:tcW w:w="7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146.6</w:t>
            </w: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115.3</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83.1</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equity affiliates</w:t>
            </w:r>
          </w:p>
        </w:tc>
        <w:tc>
          <w:tcPr>
            <w:tcW w:w="7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Income tax expense</w:t>
            </w: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114.7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67.9</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Arial" w:cs="Arial" w:eastAsia="Arial" w:hAnsi="Arial"/>
                <w:sz w:val="17"/>
                <w:szCs w:val="17"/>
                <w:color w:val="auto"/>
              </w:rPr>
              <w:t>Loss from equity-method investment</w:t>
            </w:r>
          </w:p>
        </w:tc>
        <w:tc>
          <w:tcPr>
            <w:tcW w:w="7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151"/>
        </w:trPr>
        <w:tc>
          <w:tcPr>
            <w:tcW w:w="4920" w:type="dxa"/>
            <w:vAlign w:val="bottom"/>
            <w:tcBorders>
              <w:top w:val="single" w:sz="8" w:color="CCEEFF"/>
            </w:tcBorders>
            <w:shd w:val="clear" w:color="auto" w:fill="CCEEFF"/>
          </w:tcPr>
          <w:p>
            <w:pPr>
              <w:ind w:left="440"/>
              <w:spacing w:after="0" w:line="151" w:lineRule="exact"/>
              <w:rPr>
                <w:sz w:val="20"/>
                <w:szCs w:val="20"/>
                <w:color w:val="auto"/>
              </w:rPr>
            </w:pPr>
            <w:r>
              <w:rPr>
                <w:rFonts w:ascii="Arial" w:cs="Arial" w:eastAsia="Arial" w:hAnsi="Arial"/>
                <w:sz w:val="17"/>
                <w:szCs w:val="17"/>
                <w:b w:val="1"/>
                <w:bCs w:val="1"/>
                <w:color w:val="auto"/>
              </w:rPr>
              <w:t>Net income attributable to ExlService Holdings, Inc.</w:t>
            </w:r>
          </w:p>
        </w:tc>
        <w:tc>
          <w:tcPr>
            <w:tcW w:w="740" w:type="dxa"/>
            <w:vAlign w:val="bottom"/>
            <w:tcBorders>
              <w:top w:val="single" w:sz="8" w:color="auto"/>
            </w:tcBorders>
            <w:vMerge w:val="restart"/>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114.7</w:t>
            </w: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ind w:left="440"/>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89.5</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67.6</w:t>
            </w:r>
          </w:p>
        </w:tc>
        <w:tc>
          <w:tcPr>
            <w:tcW w:w="0" w:type="dxa"/>
            <w:vAlign w:val="bottom"/>
          </w:tcPr>
          <w:p>
            <w:pPr>
              <w:spacing w:after="0"/>
              <w:rPr>
                <w:sz w:val="1"/>
                <w:szCs w:val="1"/>
                <w:color w:val="auto"/>
              </w:rPr>
            </w:pPr>
          </w:p>
        </w:tc>
      </w:tr>
      <w:tr>
        <w:trPr>
          <w:trHeight w:val="21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w:t>
            </w: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(1) Exclusive of depreciation and amortization expense.</w:t>
      </w:r>
    </w:p>
    <w:p>
      <w:pPr>
        <w:spacing w:after="0" w:line="172" w:lineRule="exact"/>
        <w:rPr>
          <w:sz w:val="20"/>
          <w:szCs w:val="20"/>
          <w:color w:val="auto"/>
        </w:rPr>
      </w:pPr>
    </w:p>
    <w:p>
      <w:pPr>
        <w:ind w:left="480" w:right="280"/>
        <w:spacing w:after="0" w:line="289" w:lineRule="auto"/>
        <w:rPr>
          <w:sz w:val="20"/>
          <w:szCs w:val="20"/>
          <w:color w:val="auto"/>
        </w:rPr>
      </w:pPr>
      <w:r>
        <w:rPr>
          <w:rFonts w:ascii="Arial" w:cs="Arial" w:eastAsia="Arial" w:hAnsi="Arial"/>
          <w:sz w:val="17"/>
          <w:szCs w:val="17"/>
          <w:i w:val="1"/>
          <w:iCs w:val="1"/>
          <w:color w:val="auto"/>
        </w:rPr>
        <w:t>Due to rounding, the numbers presented in the tables included in this Part II, Item 7,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2021 Compared to Year Ended December 31, 2020</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Revenues.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revenues by reportable segments for the years ended December 31, 2021 and 2020:</w:t>
      </w:r>
    </w:p>
    <w:p>
      <w:pPr>
        <w:spacing w:after="0" w:line="227"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620" w:type="dxa"/>
            <w:vAlign w:val="bottom"/>
          </w:tcPr>
          <w:p>
            <w:pPr>
              <w:jc w:val="right"/>
              <w:ind w:right="398"/>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3"/>
          </w:tcPr>
          <w:p>
            <w:pPr>
              <w:jc w:val="right"/>
              <w:ind w:right="153"/>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Insurance</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38"/>
              <w:spacing w:after="0"/>
              <w:rPr>
                <w:sz w:val="20"/>
                <w:szCs w:val="20"/>
                <w:color w:val="auto"/>
              </w:rPr>
            </w:pPr>
            <w:r>
              <w:rPr>
                <w:rFonts w:ascii="Arial" w:cs="Arial" w:eastAsia="Arial" w:hAnsi="Arial"/>
                <w:sz w:val="17"/>
                <w:szCs w:val="17"/>
                <w:color w:val="auto"/>
              </w:rPr>
              <w:t>11.8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1840" w:type="dxa"/>
            <w:vAlign w:val="bottom"/>
          </w:tcPr>
          <w:p>
            <w:pPr>
              <w:ind w:left="640"/>
              <w:spacing w:after="0"/>
              <w:rPr>
                <w:sz w:val="20"/>
                <w:szCs w:val="20"/>
                <w:color w:val="auto"/>
              </w:rPr>
            </w:pPr>
            <w:r>
              <w:rPr>
                <w:rFonts w:ascii="Arial" w:cs="Arial" w:eastAsia="Arial" w:hAnsi="Arial"/>
                <w:sz w:val="17"/>
                <w:szCs w:val="17"/>
                <w:color w:val="auto"/>
              </w:rPr>
              <w:t>Healthcare</w:t>
            </w:r>
          </w:p>
        </w:tc>
        <w:tc>
          <w:tcPr>
            <w:tcW w:w="9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112.4</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101.2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1620" w:type="dxa"/>
            <w:vAlign w:val="bottom"/>
          </w:tcPr>
          <w:p>
            <w:pPr>
              <w:jc w:val="right"/>
              <w:ind w:right="538"/>
              <w:spacing w:after="0"/>
              <w:rPr>
                <w:sz w:val="20"/>
                <w:szCs w:val="20"/>
                <w:color w:val="auto"/>
              </w:rPr>
            </w:pPr>
            <w:r>
              <w:rPr>
                <w:rFonts w:ascii="Arial" w:cs="Arial" w:eastAsia="Arial" w:hAnsi="Arial"/>
                <w:sz w:val="17"/>
                <w:szCs w:val="17"/>
                <w:color w:val="auto"/>
              </w:rPr>
              <w:t>10.9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ind w:left="640"/>
              <w:spacing w:after="0" w:line="172" w:lineRule="exact"/>
              <w:rPr>
                <w:sz w:val="20"/>
                <w:szCs w:val="20"/>
                <w:color w:val="auto"/>
              </w:rPr>
            </w:pPr>
            <w:r>
              <w:rPr>
                <w:rFonts w:ascii="Arial" w:cs="Arial" w:eastAsia="Arial" w:hAnsi="Arial"/>
                <w:sz w:val="17"/>
                <w:szCs w:val="17"/>
                <w:color w:val="auto"/>
              </w:rPr>
              <w:t>Emerging</w:t>
            </w:r>
          </w:p>
        </w:tc>
        <w:tc>
          <w:tcPr>
            <w:tcW w:w="9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167.2</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152.7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538"/>
              <w:spacing w:after="0"/>
              <w:rPr>
                <w:sz w:val="20"/>
                <w:szCs w:val="20"/>
                <w:color w:val="auto"/>
              </w:rPr>
            </w:pPr>
            <w:r>
              <w:rPr>
                <w:rFonts w:ascii="Arial" w:cs="Arial" w:eastAsia="Arial" w:hAnsi="Arial"/>
                <w:sz w:val="17"/>
                <w:szCs w:val="17"/>
                <w:color w:val="auto"/>
              </w:rPr>
              <w:t>9.5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1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Business</w:t>
            </w:r>
          </w:p>
        </w:tc>
        <w:tc>
          <w:tcPr>
            <w:tcW w:w="9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Analytics</w:t>
            </w:r>
          </w:p>
        </w:tc>
        <w:tc>
          <w:tcPr>
            <w:tcW w:w="9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460.7</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362.7</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38"/>
              <w:spacing w:after="0"/>
              <w:rPr>
                <w:sz w:val="20"/>
                <w:szCs w:val="20"/>
                <w:color w:val="auto"/>
              </w:rPr>
            </w:pPr>
            <w:r>
              <w:rPr>
                <w:rFonts w:ascii="Arial" w:cs="Arial" w:eastAsia="Arial" w:hAnsi="Arial"/>
                <w:sz w:val="17"/>
                <w:szCs w:val="17"/>
                <w:color w:val="auto"/>
              </w:rPr>
              <w:t>27.0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1"/>
        </w:trPr>
        <w:tc>
          <w:tcPr>
            <w:tcW w:w="1840" w:type="dxa"/>
            <w:vAlign w:val="bottom"/>
            <w:shd w:val="clear" w:color="auto" w:fill="CCEEFF"/>
          </w:tcPr>
          <w:p>
            <w:pPr>
              <w:ind w:left="640"/>
              <w:spacing w:after="0" w:line="151" w:lineRule="exact"/>
              <w:rPr>
                <w:sz w:val="20"/>
                <w:szCs w:val="20"/>
                <w:color w:val="auto"/>
              </w:rPr>
            </w:pPr>
            <w:r>
              <w:rPr>
                <w:rFonts w:ascii="Arial" w:cs="Arial" w:eastAsia="Arial" w:hAnsi="Arial"/>
                <w:sz w:val="17"/>
                <w:szCs w:val="17"/>
                <w:color w:val="auto"/>
              </w:rPr>
              <w:t>Total revenues,</w:t>
            </w:r>
          </w:p>
        </w:tc>
        <w:tc>
          <w:tcPr>
            <w:tcW w:w="94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1,122.3</w:t>
            </w:r>
          </w:p>
        </w:tc>
        <w:tc>
          <w:tcPr>
            <w:tcW w:w="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958.4</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163.9</w:t>
            </w:r>
          </w:p>
        </w:tc>
        <w:tc>
          <w:tcPr>
            <w:tcW w:w="10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ind w:right="538"/>
              <w:spacing w:after="0"/>
              <w:rPr>
                <w:sz w:val="20"/>
                <w:szCs w:val="20"/>
                <w:color w:val="auto"/>
              </w:rPr>
            </w:pPr>
            <w:r>
              <w:rPr>
                <w:rFonts w:ascii="Arial" w:cs="Arial" w:eastAsia="Arial" w:hAnsi="Arial"/>
                <w:sz w:val="17"/>
                <w:szCs w:val="17"/>
                <w:color w:val="auto"/>
              </w:rPr>
              <w:t>17.1</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Revenues for the year ended December 31, 2021 were $1,122.3 million, up $163.9 million, or 17.1%, compared to the year ended December 31, 2020.</w:t>
      </w:r>
    </w:p>
    <w:p>
      <w:pPr>
        <w:spacing w:after="0" w:line="183"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Revenue growth in Insurance of $40.2 million was primarily driven by expansion of business from our new and existing clients of $37.7 million and an increase in revenues of $2.5 million that was mainly attributable to the appreciation of the Australian dollar, the U.K. pound sterling and the South African ZAR against the U.S. dollar during the year ended December 31, 2021, compared to the year ended December 31, 2020. Insurance revenues were 34.0% and 35.7% of our total revenues during the years ended December 31, 2021 and 2020, respectively.</w:t>
      </w:r>
    </w:p>
    <w:p>
      <w:pPr>
        <w:spacing w:after="0" w:line="124"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Revenue growth in Healthcare of $11.2 million was primarily driven by expansion of business from our new and existing clients of $11.2 million during the year ended December 31, 2021. Healthcare revenues were 10.0% and 10.6% of our total revenues during the years ended December 31, 2021 and 2020, respectively.</w:t>
      </w:r>
    </w:p>
    <w:p>
      <w:pPr>
        <w:spacing w:after="0" w:line="120"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Revenue growth in Emerging Business of $14.5 million was primarily driven by expansion of business from our new clients and existing clients of $13.9 million and an increase in revenues of $0.6 million that was mainly attributable to the appreciation of the U.K. pound sterling and the Indian rupee against the U.S. dollar during the year ended December 31, 2021, compared to the year ended December 31, 2020. Emerging Business revenues were 14.9% and 15.9% of our total revenues during the years ended December 31, 2021 and 2020, respectively.</w:t>
      </w:r>
    </w:p>
    <w:p>
      <w:pPr>
        <w:spacing w:after="0" w:line="124"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Revenue growth in Analytics of $98.0 million was attributable to the higher volumes in our annuity and project based engagements from our new and existing clients of $95.8 million, including contribution from our acquisition of Clairvoyant in December 2021 and an increase in revenues of $2.2 million mainly attributable to the appreciation of the U.K. pound sterling and the South African ZAR against the U.S. dollar during the year ended December 31, 2021, compared to the year ended December 31, 2020. Analytics revenues were 41.0% and 37.8% of our total revenues during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 xml:space="preserve">Cost of Revenues and Gross Margin: </w:t>
      </w:r>
      <w:r>
        <w:rPr>
          <w:rFonts w:ascii="Arial" w:cs="Arial" w:eastAsia="Arial" w:hAnsi="Arial"/>
          <w:sz w:val="17"/>
          <w:szCs w:val="17"/>
          <w:color w:val="auto"/>
        </w:rPr>
        <w:t>The following table sets forth cost of revenues and gross margin of our reportable segments.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Cost of Revenues</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Gross Margin</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Percentage</w:t>
            </w:r>
          </w:p>
        </w:tc>
        <w:tc>
          <w:tcPr>
            <w:tcW w:w="2520" w:type="dxa"/>
            <w:vAlign w:val="bottom"/>
            <w:gridSpan w:val="4"/>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31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vMerge w:val="restart"/>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vMerge w:val="continue"/>
          </w:tcPr>
          <w:p>
            <w:pPr>
              <w:spacing w:after="0"/>
              <w:rPr>
                <w:sz w:val="5"/>
                <w:szCs w:val="5"/>
                <w:color w:val="auto"/>
              </w:rPr>
            </w:pPr>
          </w:p>
        </w:tc>
        <w:tc>
          <w:tcPr>
            <w:tcW w:w="1140" w:type="dxa"/>
            <w:vAlign w:val="bottom"/>
            <w:tcBorders>
              <w:top w:val="single" w:sz="8" w:color="auto"/>
            </w:tcBorders>
            <w:vMerge w:val="restart"/>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vMerge w:val="restart"/>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5"/>
                <w:szCs w:val="5"/>
                <w:color w:val="auto"/>
              </w:rPr>
            </w:pPr>
          </w:p>
        </w:tc>
        <w:tc>
          <w:tcPr>
            <w:tcW w:w="9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change</w:t>
            </w: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Insurance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7"/>
                <w:szCs w:val="17"/>
                <w:color w:val="auto"/>
              </w:rPr>
              <w:t>Healthcare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37.9 %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27.8 %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10.1 %</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Emerging Business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26.3 %</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37.1 %</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36.7 %</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0.4 %</w:t>
            </w:r>
          </w:p>
        </w:tc>
        <w:tc>
          <w:tcPr>
            <w:tcW w:w="0" w:type="dxa"/>
            <w:vAlign w:val="bottom"/>
          </w:tcPr>
          <w:p>
            <w:pPr>
              <w:spacing w:after="0"/>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10.7 %</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38.4 %</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34.9 %</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For the year ended December 31, 2021, cost of revenues was $690.9 million compared to $623.9 million for the year ended December 31, 2020, an increase of $67.0 million, or 10.7%. Our gross margin for the year ended December 31, 2021 was 38.4% compared to 34.9% for year ended December 31, 2020, an increase of 350 ("bps") primarily driven by higher revenues, operational efficiencies and lower COVID-19 related expenses during the year ended December 31, 2021, compared to the year ended December 31, 2020.</w:t>
      </w:r>
    </w:p>
    <w:p>
      <w:pPr>
        <w:spacing w:after="0" w:line="110"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6"/>
          <w:szCs w:val="16"/>
          <w:color w:val="auto"/>
        </w:rPr>
        <w:t>The increase in cost of revenues in Insurance of $7.6 million for the year ended December 31, 2021 was primarily due to increases in employee-related costs of $14.2 million on account of higher headcount and wage inflation, higher annual performance incentives and higher technology costs of $0.7 million on account of increased leverage of remote work model, partially offset by lower travel costs of $6.1 million, lower other operating costs of $0.3 million and foreign exchange gain, net of hedging of $0.9 million. Gross margin in Insurance increased by 510 bps during the year ended December 31, 2021, compared to the year ended December 31, 2020, primarily due to higher revenues, expansion in margin in certain existing clients, operational efficiencies and lower COVID-19 related expenses during the year ended December 31, 2021, compared to the year ended December 31, 2020.</w:t>
      </w:r>
    </w:p>
    <w:p>
      <w:pPr>
        <w:spacing w:after="0" w:line="192" w:lineRule="exact"/>
        <w:rPr>
          <w:sz w:val="20"/>
          <w:szCs w:val="20"/>
          <w:color w:val="auto"/>
        </w:rPr>
      </w:pPr>
    </w:p>
    <w:p>
      <w:pPr>
        <w:jc w:val="both"/>
        <w:ind w:firstLine="393"/>
        <w:spacing w:after="0" w:line="234" w:lineRule="auto"/>
        <w:rPr>
          <w:sz w:val="20"/>
          <w:szCs w:val="20"/>
          <w:color w:val="auto"/>
        </w:rPr>
      </w:pPr>
      <w:r>
        <w:rPr>
          <w:rFonts w:ascii="Arial" w:cs="Arial" w:eastAsia="Arial" w:hAnsi="Arial"/>
          <w:sz w:val="17"/>
          <w:szCs w:val="17"/>
          <w:color w:val="auto"/>
        </w:rPr>
        <w:t>The decrease in cost of revenues in Healthcare of $3.3 million for the year ended December 31, 2021 was primarily due to improved employee utilization in existing clients, resulting in lower employee-related costs of $2.9 million, and lower travel costs of $0.8 million, partially offset by higher facility costs of $0.4 million. Gross margin in Healthcare increased by 1,010 bps during the year ended December 31, 2021, compared to the year ended December 31, 2020, primarily due to higher revenues, expansion in margin in certain existing clients, operational efficiencies and lower COVID-19 related expenses during the year ended December 31, 2021, compared to the year ended December 31, 2020.</w:t>
      </w:r>
    </w:p>
    <w:p>
      <w:pPr>
        <w:spacing w:after="0" w:line="201"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6"/>
          <w:szCs w:val="16"/>
          <w:color w:val="auto"/>
        </w:rPr>
        <w:t>The increase in cost of revenues in Emerging Business of $2.2 million for the year ended December 31, 2021 was primarily due to increases in employee-related costs of $2.8 million on account of higher headcount and wage inflation, higher annual performance incentives, higher technology costs of $1.1 million on account of increased leverage of remote work model, partially offset by lower travel costs of $0.3 million, lower facility costs of $0.3 million, lower other operating costs of $0.3 million and foreign exchange gain, net of hedging $0.8 million. Gross margin in Emerging Business increased by 370 bps during the year ended December 31, 2021, compared to the year ended December 31, 2020, primarily due to higher revenues, operational efficiencies and lower COVID-19 related expenses during the year ended December 31, 2021, compared to the year ended December 31, 2020.</w:t>
      </w:r>
    </w:p>
    <w:p>
      <w:pPr>
        <w:spacing w:after="0" w:line="192"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6"/>
          <w:szCs w:val="16"/>
          <w:color w:val="auto"/>
        </w:rPr>
        <w:t>The increase in cost of revenues in Analytics of $60.5 million for the year ended December 31, 2021 was primarily due to increases in employee-related costs of $50.4 million on account of higher headcount and wage inflation, higher annual performance incentives including incremental cost related to our acquisition of Clairvoyant in December 2021. The remaining increase was attributable to higher other operating costs of $13.8 million. This was partially offset by lower travel costs of $1.4 million, lower facility costs of $1.0 million on account of remote work model and foreign exchange gain, net of hedging of $1.3 million. Gross margin in Analytics increased by 40 bps during the year ended December 31, 2021, compared to the year ended December 31, 2020, primarily due to higher revenues and operational efficiencies compared to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4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2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4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380" w:type="dxa"/>
            <w:vAlign w:val="bottom"/>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142.1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24.7 %</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and marketing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84.3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60.1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40.2 %</w:t>
            </w:r>
          </w:p>
        </w:tc>
        <w:tc>
          <w:tcPr>
            <w:tcW w:w="0" w:type="dxa"/>
            <w:vAlign w:val="bottom"/>
          </w:tcPr>
          <w:p>
            <w:pPr>
              <w:spacing w:after="0"/>
              <w:rPr>
                <w:sz w:val="1"/>
                <w:szCs w:val="1"/>
                <w:color w:val="auto"/>
              </w:rPr>
            </w:pPr>
          </w:p>
        </w:tc>
      </w:tr>
      <w:tr>
        <w:trPr>
          <w:trHeight w:val="24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226.4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174.0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30.1 %</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20.2 %</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18.2 %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393"/>
        <w:spacing w:after="0" w:line="251" w:lineRule="auto"/>
        <w:rPr>
          <w:sz w:val="20"/>
          <w:szCs w:val="20"/>
          <w:color w:val="auto"/>
        </w:rPr>
      </w:pPr>
      <w:r>
        <w:rPr>
          <w:rFonts w:ascii="Arial" w:cs="Arial" w:eastAsia="Arial" w:hAnsi="Arial"/>
          <w:sz w:val="16"/>
          <w:szCs w:val="16"/>
          <w:color w:val="auto"/>
        </w:rPr>
        <w:t>The increase in SG&amp;A expenses of $52.4 million was primarily due to higher employee-related costs of $44.8 million on account of higher headcount and wage inflation, higher annual performance incentives, higher other operating costs of $6.0 million, COVID-19 related expenses of $3.1 million primarily related to financial support to family members of deceased employees, increase in technology cost of $2.4 million on account of continued investments, product development, digital technology, advanced automation, robotics, cloud, artificial intelligence, machine learning and acquisition-related cost of $0.8 million on account of our acquisition of Clairvoyant in December 2021, partially offset by lower facilities costs of $4.7 million due to optimization of office space.</w:t>
      </w:r>
    </w:p>
    <w:p>
      <w:pPr>
        <w:spacing w:after="0" w:line="34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183"/>
        </w:trPr>
        <w:tc>
          <w:tcPr>
            <w:tcW w:w="4460" w:type="dxa"/>
            <w:vAlign w:val="bottom"/>
          </w:tcPr>
          <w:p>
            <w:pPr>
              <w:spacing w:after="0"/>
              <w:rPr>
                <w:sz w:val="15"/>
                <w:szCs w:val="15"/>
                <w:color w:val="auto"/>
              </w:rPr>
            </w:pPr>
          </w:p>
        </w:tc>
        <w:tc>
          <w:tcPr>
            <w:tcW w:w="2300" w:type="dxa"/>
            <w:vAlign w:val="bottom"/>
            <w:gridSpan w:val="4"/>
          </w:tcPr>
          <w:p>
            <w:pPr>
              <w:jc w:val="right"/>
              <w:ind w:right="3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44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380" w:type="dxa"/>
            <w:vAlign w:val="bottom"/>
          </w:tcPr>
          <w:p>
            <w:pPr>
              <w:jc w:val="right"/>
              <w:ind w:right="37"/>
              <w:spacing w:after="0"/>
              <w:rPr>
                <w:sz w:val="20"/>
                <w:szCs w:val="20"/>
                <w:color w:val="auto"/>
              </w:rPr>
            </w:pPr>
            <w:r>
              <w:rPr>
                <w:rFonts w:ascii="Arial" w:cs="Arial" w:eastAsia="Arial" w:hAnsi="Arial"/>
                <w:sz w:val="14"/>
                <w:szCs w:val="14"/>
                <w:b w:val="1"/>
                <w:bCs w:val="1"/>
                <w:color w:val="auto"/>
                <w:w w:val="96"/>
              </w:rPr>
              <w:t>Percentage change</w:t>
            </w: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jc w:val="right"/>
              <w:ind w:right="218"/>
              <w:spacing w:after="0"/>
              <w:rPr>
                <w:sz w:val="20"/>
                <w:szCs w:val="20"/>
                <w:color w:val="auto"/>
              </w:rPr>
            </w:pPr>
            <w:r>
              <w:rPr>
                <w:rFonts w:ascii="Arial" w:cs="Arial" w:eastAsia="Arial" w:hAnsi="Arial"/>
                <w:sz w:val="14"/>
                <w:szCs w:val="14"/>
                <w:b w:val="1"/>
                <w:bCs w:val="1"/>
                <w:color w:val="auto"/>
                <w:w w:val="90"/>
              </w:rPr>
              <w:t>(dollars in millions)</w:t>
            </w: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90"/>
              </w:rPr>
              <w:t>36.3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0"/>
              </w:rPr>
              <w:t>36.1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center"/>
              <w:ind w:left="557"/>
              <w:spacing w:after="0"/>
              <w:rPr>
                <w:sz w:val="20"/>
                <w:szCs w:val="20"/>
                <w:color w:val="auto"/>
              </w:rPr>
            </w:pPr>
            <w:r>
              <w:rPr>
                <w:rFonts w:ascii="Arial" w:cs="Arial" w:eastAsia="Arial" w:hAnsi="Arial"/>
                <w:sz w:val="17"/>
                <w:szCs w:val="17"/>
                <w:color w:val="auto"/>
                <w:w w:val="92"/>
              </w:rPr>
              <w:t>0.2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Intangible amortization expense</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90"/>
              </w:rPr>
              <w:t>12.8</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90"/>
              </w:rPr>
              <w:t>14.4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7"/>
              <w:spacing w:after="0"/>
              <w:rPr>
                <w:sz w:val="20"/>
                <w:szCs w:val="20"/>
                <w:color w:val="auto"/>
              </w:rPr>
            </w:pPr>
            <w:r>
              <w:rPr>
                <w:rFonts w:ascii="Arial" w:cs="Arial" w:eastAsia="Arial" w:hAnsi="Arial"/>
                <w:sz w:val="17"/>
                <w:szCs w:val="17"/>
                <w:color w:val="auto"/>
                <w:w w:val="97"/>
              </w:rPr>
              <w:t>(1.6)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90"/>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90"/>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center"/>
              <w:ind w:left="517"/>
              <w:spacing w:after="0"/>
              <w:rPr>
                <w:sz w:val="20"/>
                <w:szCs w:val="20"/>
                <w:color w:val="auto"/>
              </w:rPr>
            </w:pPr>
            <w:r>
              <w:rPr>
                <w:rFonts w:ascii="Arial" w:cs="Arial" w:eastAsia="Arial" w:hAnsi="Arial"/>
                <w:sz w:val="17"/>
                <w:szCs w:val="17"/>
                <w:color w:val="auto"/>
                <w:w w:val="97"/>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4.4 %</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decrease in intangibles amortization expense of $1.6 million was primarily due to end of useful lives for certain intangible assets during the year ended December 31, 2021, compared to the year ended December 31, 2020. The increase in depreciation expense of $0.2 million was primarily due to depreciation related to our investments in new operating centers, internally developed software and accelerated depreciation resulting from a reduction in useful lives related to certain operating centers due to the impact of COVID-19 aggregating to $0.7 million, partially offset by foreign exchange gain, net of hedging $0.5 million, during the year ended December 31, 2021, compared to the year ended December 31, 2020.</w:t>
      </w:r>
    </w:p>
    <w:p>
      <w:pPr>
        <w:spacing w:after="0" w:line="114" w:lineRule="exact"/>
        <w:rPr>
          <w:sz w:val="20"/>
          <w:szCs w:val="20"/>
          <w:color w:val="auto"/>
        </w:rPr>
      </w:pPr>
    </w:p>
    <w:p>
      <w:pPr>
        <w:jc w:val="both"/>
        <w:ind w:firstLine="393"/>
        <w:spacing w:after="0" w:line="237"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increased by $45.9 million, or 41.7%, from $110.0 million for the year ended December 31, 2020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$155.9 million for the year ended December 31, 2021, primarily due to higher revenues, partially offset by higher cost of revenues and higher SG&amp;A expenses during the year ended December 31, 2021. As a percentage of revenues, income from operations increased from 11.5% for the year ended December 31, 2020 to 13.9% for the year ended December 31, 2021.</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b w:val="1"/>
          <w:bCs w:val="1"/>
          <w:i w:val="1"/>
          <w:iCs w:val="1"/>
          <w:color w:val="auto"/>
        </w:rPr>
        <w:t xml:space="preserve">Foreign Exchange Gains and Losses. </w:t>
      </w:r>
      <w:r>
        <w:rPr>
          <w:rFonts w:ascii="Arial" w:cs="Arial" w:eastAsia="Arial" w:hAnsi="Arial"/>
          <w:sz w:val="16"/>
          <w:szCs w:val="16"/>
          <w:color w:val="auto"/>
        </w:rPr>
        <w:t>Foreign exchange gains and losses are primarily attributable to the movement of the U.S. dollar against the Indian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rupee, the U.K. pound sterling, the Philippine peso and the South African ZAR during the year ended December 31, 2021. The average exchange rate of the U.S. dollar against the Indian rupee decreased from 74.07 during the year ended December 31, 2020 to 73.88 during the year ended December 31, 2021. The average exchange rate of the U.K. pound sterling against the U.S. dollar increased from 1.29 during the year ended December 31, 2020 to 1.38 during the year ended December 31, 2021. The average exchange rate of the U.S. dollar against the Philippine peso decreased from 49.49 during the year ended December 31, 2020 to 49.36 during the year ended December 31, 2021. The average exchange rate of the U.S. dollar against the South African ZAR decreased from 16.51 during the year ended December 31, 2020 to 14.92 during the year ended December 31, 2021.</w:t>
      </w:r>
    </w:p>
    <w:p>
      <w:pPr>
        <w:spacing w:after="0" w:line="118"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We recorded a net foreign exchange gain of $4.3 million for the year ended December 31, 2021 compared to a net foreign exchange gain of $4.4 million for the year ended December 31, 2020.</w:t>
      </w:r>
    </w:p>
    <w:p>
      <w:pPr>
        <w:spacing w:after="0" w:line="93" w:lineRule="exact"/>
        <w:rPr>
          <w:sz w:val="20"/>
          <w:szCs w:val="20"/>
          <w:color w:val="auto"/>
        </w:rPr>
      </w:pPr>
    </w:p>
    <w:p>
      <w:pPr>
        <w:jc w:val="both"/>
        <w:ind w:firstLine="393"/>
        <w:spacing w:after="0" w:line="237" w:lineRule="auto"/>
        <w:rPr>
          <w:sz w:val="20"/>
          <w:szCs w:val="20"/>
          <w:color w:val="auto"/>
        </w:rPr>
      </w:pPr>
      <w:r>
        <w:rPr>
          <w:rFonts w:ascii="Arial" w:cs="Arial" w:eastAsia="Arial" w:hAnsi="Arial"/>
          <w:sz w:val="17"/>
          <w:szCs w:val="17"/>
          <w:b w:val="1"/>
          <w:bCs w:val="1"/>
          <w:i w:val="1"/>
          <w:iCs w:val="1"/>
          <w:color w:val="auto"/>
        </w:rPr>
        <w:t>Interest expense</w:t>
      </w:r>
      <w:r>
        <w:rPr>
          <w:rFonts w:ascii="Arial" w:cs="Arial" w:eastAsia="Arial" w:hAnsi="Arial"/>
          <w:sz w:val="17"/>
          <w:szCs w:val="17"/>
          <w:color w:val="auto"/>
        </w:rPr>
        <w:t>. Interest expense decreased from $11.2 million for the year ended December 31, 2020 to $7.6 million for the year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primarily due to settlement of outstanding obligations under the Notes (as defined below under “Financing Arrangements (Debt Facility and Notes)-Convertible Senior Notes”) on August 27, 2021, and lower effective interest rates of 1.7% under our Credit Facility during the year ended December 31, 2021, compared to 2.3% during the year ended December 31, 2020.</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27"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23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jc w:val="right"/>
              <w:ind w:right="35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4240" w:type="dxa"/>
            <w:vAlign w:val="bottom"/>
          </w:tcPr>
          <w:p>
            <w:pPr>
              <w:spacing w:after="0"/>
              <w:rPr>
                <w:sz w:val="15"/>
                <w:szCs w:val="15"/>
                <w:color w:val="auto"/>
              </w:rPr>
            </w:pPr>
          </w:p>
        </w:tc>
        <w:tc>
          <w:tcPr>
            <w:tcW w:w="2080" w:type="dxa"/>
            <w:vAlign w:val="bottom"/>
            <w:tcBorders>
              <w:top w:val="single" w:sz="8" w:color="auto"/>
            </w:tcBorders>
            <w:gridSpan w:val="4"/>
          </w:tcPr>
          <w:p>
            <w:pPr>
              <w:jc w:val="right"/>
              <w:ind w:right="178"/>
              <w:spacing w:after="0"/>
              <w:rPr>
                <w:sz w:val="20"/>
                <w:szCs w:val="20"/>
                <w:color w:val="auto"/>
              </w:rPr>
            </w:pPr>
            <w:r>
              <w:rPr>
                <w:rFonts w:ascii="Arial" w:cs="Arial" w:eastAsia="Arial" w:hAnsi="Arial"/>
                <w:sz w:val="14"/>
                <w:szCs w:val="14"/>
                <w:b w:val="1"/>
                <w:bCs w:val="1"/>
                <w:color w:val="auto"/>
              </w:rPr>
              <w:t>(dollars in millions)</w:t>
            </w: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Gain on sale and mark-to-market of mutual funds and</w:t>
            </w:r>
          </w:p>
        </w:tc>
        <w:tc>
          <w:tcPr>
            <w:tcW w:w="780" w:type="dxa"/>
            <w:vAlign w:val="bottom"/>
            <w:vMerge w:val="restart"/>
            <w:shd w:val="clear" w:color="auto" w:fill="CCEEFF"/>
          </w:tcPr>
          <w:p>
            <w:pPr>
              <w:jc w:val="right"/>
              <w:ind w:right="603"/>
              <w:spacing w:after="0"/>
              <w:rPr>
                <w:sz w:val="20"/>
                <w:szCs w:val="20"/>
                <w:color w:val="auto"/>
              </w:rPr>
            </w:pPr>
            <w:r>
              <w:rPr>
                <w:rFonts w:ascii="Arial" w:cs="Arial" w:eastAsia="Arial" w:hAnsi="Arial"/>
                <w:sz w:val="17"/>
                <w:szCs w:val="17"/>
                <w:color w:val="auto"/>
                <w:w w:val="84"/>
              </w:rPr>
              <w:t>$</w:t>
            </w: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2"/>
              </w:rPr>
              <w:t>4.9</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578"/>
              <w:spacing w:after="0"/>
              <w:rPr>
                <w:sz w:val="20"/>
                <w:szCs w:val="20"/>
                <w:color w:val="auto"/>
              </w:rPr>
            </w:pPr>
            <w:r>
              <w:rPr>
                <w:rFonts w:ascii="Arial" w:cs="Arial" w:eastAsia="Arial" w:hAnsi="Arial"/>
                <w:sz w:val="17"/>
                <w:szCs w:val="17"/>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center"/>
              <w:ind w:left="516"/>
              <w:spacing w:after="0"/>
              <w:rPr>
                <w:sz w:val="20"/>
                <w:szCs w:val="20"/>
                <w:color w:val="auto"/>
              </w:rPr>
            </w:pPr>
            <w:r>
              <w:rPr>
                <w:rFonts w:ascii="Arial" w:cs="Arial" w:eastAsia="Arial" w:hAnsi="Arial"/>
                <w:sz w:val="17"/>
                <w:szCs w:val="17"/>
                <w:color w:val="auto"/>
                <w:w w:val="97"/>
              </w:rPr>
              <w:t>(4.7)</w:t>
            </w: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78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7"/>
                <w:szCs w:val="17"/>
                <w:color w:val="auto"/>
              </w:rPr>
              <w:t>Interest and dividend income</w:t>
            </w:r>
          </w:p>
        </w:tc>
        <w:tc>
          <w:tcPr>
            <w:tcW w:w="7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w w:val="92"/>
              </w:rPr>
              <w:t>2.7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ind w:left="556"/>
              <w:spacing w:after="0"/>
              <w:rPr>
                <w:sz w:val="20"/>
                <w:szCs w:val="20"/>
                <w:color w:val="auto"/>
              </w:rPr>
            </w:pPr>
            <w:r>
              <w:rPr>
                <w:rFonts w:ascii="Arial" w:cs="Arial" w:eastAsia="Arial" w:hAnsi="Arial"/>
                <w:sz w:val="17"/>
                <w:szCs w:val="17"/>
                <w:color w:val="auto"/>
                <w:w w:val="92"/>
              </w:rPr>
              <w:t>0.2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9.0 %</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Others, net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(0.8)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16"/>
              <w:spacing w:after="0"/>
              <w:rPr>
                <w:sz w:val="20"/>
                <w:szCs w:val="20"/>
                <w:color w:val="auto"/>
              </w:rPr>
            </w:pPr>
            <w:r>
              <w:rPr>
                <w:rFonts w:ascii="Arial" w:cs="Arial" w:eastAsia="Arial" w:hAnsi="Arial"/>
                <w:sz w:val="17"/>
                <w:szCs w:val="17"/>
                <w:color w:val="auto"/>
                <w:w w:val="97"/>
              </w:rPr>
              <w:t>(0.8)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78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2"/>
              </w:rPr>
              <w:t>6.8</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12.1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center"/>
              <w:ind w:left="516"/>
              <w:spacing w:after="0"/>
              <w:rPr>
                <w:sz w:val="20"/>
                <w:szCs w:val="20"/>
                <w:color w:val="auto"/>
              </w:rPr>
            </w:pPr>
            <w:r>
              <w:rPr>
                <w:rFonts w:ascii="Arial" w:cs="Arial" w:eastAsia="Arial" w:hAnsi="Arial"/>
                <w:sz w:val="17"/>
                <w:szCs w:val="17"/>
                <w:color w:val="auto"/>
                <w:w w:val="97"/>
              </w:rPr>
              <w:t>(5.3)</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Other income, net decreased by $5.3 million, from $12.1 million for the year ended December 31, 2020 to $6.8 million for the year ended December 31, 2021, primarily due to lower amount invested in mutual funds and lower returns on such investments of $4.7 million during the year ended December 31, 2021, compared to the year ended December 31, 2020.</w:t>
      </w:r>
    </w:p>
    <w:p>
      <w:pPr>
        <w:spacing w:after="0" w:line="120"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b w:val="1"/>
          <w:bCs w:val="1"/>
          <w:i w:val="1"/>
          <w:iCs w:val="1"/>
          <w:color w:val="auto"/>
        </w:rPr>
        <w:t xml:space="preserve">Loss on settlement of Notes. </w:t>
      </w:r>
      <w:r>
        <w:rPr>
          <w:rFonts w:ascii="Arial" w:cs="Arial" w:eastAsia="Arial" w:hAnsi="Arial"/>
          <w:sz w:val="17"/>
          <w:szCs w:val="17"/>
          <w:color w:val="auto"/>
        </w:rPr>
        <w:t>On August 27, 2021, we settled our outstanding obligations under the Notes and recognized a loss of $12.8 million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2021. See Note 17 - Borrowings to our consolidated financial statements.</w:t>
      </w:r>
    </w:p>
    <w:p>
      <w:pPr>
        <w:spacing w:after="0" w:line="106"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b w:val="1"/>
          <w:bCs w:val="1"/>
          <w:i w:val="1"/>
          <w:iCs w:val="1"/>
          <w:color w:val="auto"/>
        </w:rPr>
        <w:t>Income Tax Expense</w:t>
      </w:r>
      <w:r>
        <w:rPr>
          <w:rFonts w:ascii="Arial" w:cs="Arial" w:eastAsia="Arial" w:hAnsi="Arial"/>
          <w:sz w:val="17"/>
          <w:szCs w:val="17"/>
          <w:color w:val="auto"/>
        </w:rPr>
        <w:t>. The effective tax rate decreased from 22.2% during the year ended December 31, 2020 to 21.7% during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2021. We recorded income tax expense of $31.9 million and $25.6 million for the years ended December 31, 2021 and 2020, respectively. The increase in the income tax expense was primarily a result of higher profit during the year ended December 31, 2021, compared to the year ended December 31, 2020, increase in state taxes and increase in non-deductible expenses during the year ended December 31, 2021, partially offset by (i) the recording of higher excess tax benefits related to stock awards of $3.7 million pursuant to ASU No. 2016-09 during the year ended December 31, 2021, compared to $2.4 million during the year ended December 31, 2020, and (ii) the recording of a one-time deferred tax benefit of $2.4 million on settlement of the Notes during the during the year ended December 31, 2021.</w:t>
      </w:r>
    </w:p>
    <w:p>
      <w:pPr>
        <w:spacing w:after="0" w:line="13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b w:val="1"/>
          <w:bCs w:val="1"/>
          <w:i w:val="1"/>
          <w:iCs w:val="1"/>
          <w:color w:val="auto"/>
        </w:rPr>
        <w:t>Net Income</w:t>
      </w:r>
      <w:r>
        <w:rPr>
          <w:rFonts w:ascii="Arial" w:cs="Arial" w:eastAsia="Arial" w:hAnsi="Arial"/>
          <w:sz w:val="17"/>
          <w:szCs w:val="17"/>
          <w:color w:val="auto"/>
        </w:rPr>
        <w:t>. Net income increased from $89.5 million for the year ended December 31, 2020 to $114.7 million for the year ended December 31,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increase in income from operations of $45.9 million, lower interest expense of $3.6 million, partially offset by loss on settlement of the Notes of $12.8 million, lower other income, net of $5.2 million and higher income tax expense of $6.3 million. As a percentage of revenues, net income increased from 9.3% during the year ended December 31, 2020 to 10.2%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01" w:lineRule="exact"/>
        <w:rPr>
          <w:sz w:val="20"/>
          <w:szCs w:val="20"/>
          <w:color w:val="auto"/>
        </w:rPr>
      </w:pPr>
    </w:p>
    <w:tbl>
      <w:tblPr>
        <w:tblLayout w:type="fixed"/>
        <w:tblInd w:w="44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1"/>
        </w:trPr>
        <w:tc>
          <w:tcPr>
            <w:tcW w:w="5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177"/>
        </w:trPr>
        <w:tc>
          <w:tcPr>
            <w:tcW w:w="5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(dollars in millions)</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3"/>
        </w:trPr>
        <w:tc>
          <w:tcPr>
            <w:tcW w:w="5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Opening cash, cash equivalents and restricted cash</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w:t>
            </w:r>
          </w:p>
        </w:tc>
      </w:tr>
      <w:tr>
        <w:trPr>
          <w:trHeight w:val="223"/>
        </w:trPr>
        <w:tc>
          <w:tcPr>
            <w:tcW w:w="5260" w:type="dxa"/>
            <w:vAlign w:val="bottom"/>
          </w:tcPr>
          <w:p>
            <w:pPr>
              <w:ind w:left="440"/>
              <w:spacing w:after="0"/>
              <w:rPr>
                <w:sz w:val="20"/>
                <w:szCs w:val="20"/>
                <w:color w:val="auto"/>
              </w:rPr>
            </w:pPr>
            <w:r>
              <w:rPr>
                <w:rFonts w:ascii="Arial" w:cs="Arial" w:eastAsia="Arial" w:hAnsi="Arial"/>
                <w:sz w:val="17"/>
                <w:szCs w:val="17"/>
                <w:color w:val="auto"/>
              </w:rPr>
              <w:t>Net cash provided by operating activities</w:t>
            </w: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184.4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168.4</w:t>
            </w:r>
          </w:p>
        </w:tc>
      </w:tr>
      <w:tr>
        <w:trPr>
          <w:trHeight w:val="223"/>
        </w:trPr>
        <w:tc>
          <w:tcPr>
            <w:tcW w:w="5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used for investing activities</w:t>
            </w: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r>
      <w:tr>
        <w:trPr>
          <w:trHeight w:val="223"/>
        </w:trPr>
        <w:tc>
          <w:tcPr>
            <w:tcW w:w="5260" w:type="dxa"/>
            <w:vAlign w:val="bottom"/>
          </w:tcPr>
          <w:p>
            <w:pPr>
              <w:ind w:left="440"/>
              <w:spacing w:after="0"/>
              <w:rPr>
                <w:sz w:val="20"/>
                <w:szCs w:val="20"/>
                <w:color w:val="auto"/>
              </w:rPr>
            </w:pPr>
            <w:r>
              <w:rPr>
                <w:rFonts w:ascii="Arial" w:cs="Arial" w:eastAsia="Arial" w:hAnsi="Arial"/>
                <w:sz w:val="17"/>
                <w:szCs w:val="17"/>
                <w:color w:val="auto"/>
              </w:rPr>
              <w:t>Net cash used for financing activities</w:t>
            </w: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(93.1)</w:t>
            </w:r>
          </w:p>
        </w:tc>
      </w:tr>
      <w:tr>
        <w:trPr>
          <w:trHeight w:val="223"/>
        </w:trPr>
        <w:tc>
          <w:tcPr>
            <w:tcW w:w="5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Effect of exchange rate changes</w:t>
            </w:r>
          </w:p>
        </w:tc>
        <w:tc>
          <w:tcPr>
            <w:tcW w:w="6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5260" w:type="dxa"/>
            <w:vAlign w:val="bottom"/>
          </w:tcPr>
          <w:p>
            <w:pPr>
              <w:ind w:left="440"/>
              <w:spacing w:after="0"/>
              <w:rPr>
                <w:sz w:val="20"/>
                <w:szCs w:val="20"/>
                <w:color w:val="auto"/>
              </w:rPr>
            </w:pPr>
            <w:r>
              <w:rPr>
                <w:rFonts w:ascii="Arial" w:cs="Arial" w:eastAsia="Arial" w:hAnsi="Arial"/>
                <w:sz w:val="17"/>
                <w:szCs w:val="17"/>
                <w:color w:val="auto"/>
              </w:rPr>
              <w:t>Closing cash, cash equivalents and restricted cash</w:t>
            </w: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143.8</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w:t>
            </w:r>
          </w:p>
        </w:tc>
      </w:tr>
      <w:tr>
        <w:trPr>
          <w:trHeight w:val="20"/>
        </w:trPr>
        <w:tc>
          <w:tcPr>
            <w:tcW w:w="5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6"/>
          <w:szCs w:val="16"/>
          <w:color w:val="auto"/>
        </w:rPr>
        <w:t>As of December 31, 2021 and 2020, we had $313.9 million and $402.8 million, respectively, in cash, cash equivalents and short-term investments, of which $277.4 million and $335.1 million, respectively, is located in foreign jurisdictions that upon distribution may be subject to withholding and other taxes. We periodically evaluate opportunities to distribute cash among our group entities to fund our operations in the United States and other geographies, and as and when we decide to distribute, we may have to accrue additional taxes in accordance with local tax laws, rules and regulations in the relevant foreign jurisdictions. During the year ended December 31, 2021, we repatriated to the United States $66.0 million (net of $3.5 million withholding taxes) from India and $42.5 million (net of $7.5 million withholding taxes) from the Philippines. These distributions do not constitute a change in our permanent reinvestment assertion. We base our decision to continue to indefinitely reinvest earnings in India and the Philippines on our estimate of the working capital required to support our operations in these geographies and periodically review our capital initiatives to support and expand our global operations, as well as whether there exits an economically viable rate of return on our investments made in India and the Philippines as compared to those made in the United States.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Operating Activities:</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Net cash provided by operating activities was $184.4 million for the year ended December 31, 2021, compared to $203.0 million for the year ended December 31, 2020, reflecting higher working capital needs, offset by higher cash earnings. The major drivers contributing to the decrease of $18.6 million year-over-year included the following:</w:t>
      </w:r>
    </w:p>
    <w:p>
      <w:pPr>
        <w:spacing w:after="0" w:line="120" w:lineRule="exact"/>
        <w:rPr>
          <w:sz w:val="20"/>
          <w:szCs w:val="20"/>
          <w:color w:val="auto"/>
        </w:rPr>
      </w:pPr>
    </w:p>
    <w:p>
      <w:pPr>
        <w:jc w:val="both"/>
        <w:ind w:left="640" w:hanging="320"/>
        <w:spacing w:after="0" w:line="298" w:lineRule="auto"/>
        <w:tabs>
          <w:tab w:leader="none" w:pos="6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accounts receivable, including unbilled receivable and advance billings, contributed to a lower cash flow of $91.2 million in 2021 compared to 2020. The decrease was a result of the higher accounts receivable resulting from revenue growth. Lower cash flows were also affected by our accounts receivable days sales outstanding, which increased to 56 days as of December 31, 2021 from 53 days as of December 31, 2020.</w:t>
      </w:r>
    </w:p>
    <w:p>
      <w:pPr>
        <w:spacing w:after="0" w:line="101" w:lineRule="exact"/>
        <w:rPr>
          <w:rFonts w:ascii="Arial" w:cs="Arial" w:eastAsia="Arial" w:hAnsi="Arial"/>
          <w:sz w:val="16"/>
          <w:szCs w:val="16"/>
          <w:color w:val="auto"/>
        </w:rPr>
      </w:pPr>
    </w:p>
    <w:p>
      <w:pPr>
        <w:jc w:val="both"/>
        <w:ind w:left="640" w:hanging="320"/>
        <w:spacing w:after="0" w:line="273"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 in net income of $25.2 million in 2021 compared to 2020, primarily due to an increase in income from operations of $45.9 million driven by higher revenues, lower interest expense of $3.6 million, partially offset by loss on settlement of the Notes of $12.8 million, lower other income, net of $5.2 million, and higher income tax expense of $6.3 million.</w:t>
      </w:r>
    </w:p>
    <w:p>
      <w:pPr>
        <w:spacing w:after="0" w:line="119" w:lineRule="exact"/>
        <w:rPr>
          <w:rFonts w:ascii="Arial" w:cs="Arial" w:eastAsia="Arial" w:hAnsi="Arial"/>
          <w:sz w:val="17"/>
          <w:szCs w:val="17"/>
          <w:color w:val="auto"/>
        </w:rPr>
      </w:pPr>
    </w:p>
    <w:p>
      <w:pPr>
        <w:jc w:val="both"/>
        <w:ind w:left="640" w:hanging="320"/>
        <w:spacing w:after="0" w:line="273"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 in accrued employee costs, accrued expenses and other liabilities contributed to a higher cash flow of $76.7 million in 2021 compared to 2020. The increase was primarily due to higher annual performance incentives and other employee costs accruals of $54.3 million and higher accrued expenses due to an increase in our cost base to support revenue growth of $22.4 million.</w:t>
      </w:r>
    </w:p>
    <w:p>
      <w:pPr>
        <w:spacing w:after="0" w:line="119"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drivers decreasing cash flows in 2021 compared to 2020 included: income tax payments, net of refunds, of $29.3 million, primarily due to higher advance income tax payments on higher net income.</w:t>
      </w:r>
    </w:p>
    <w:p>
      <w:pPr>
        <w:spacing w:after="0" w:line="329"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flows used for investing activities were $114.3 million for the year ended December 31, 2021 as compared to cash flows used</w:t>
      </w:r>
      <w:r>
        <w:rPr>
          <w:rFonts w:ascii="Arial" w:cs="Arial" w:eastAsia="Arial" w:hAnsi="Arial"/>
          <w:sz w:val="16"/>
          <w:szCs w:val="16"/>
          <w:i w:val="1"/>
          <w:iCs w:val="1"/>
          <w:color w:val="auto"/>
        </w:rPr>
        <w:t xml:space="preserve"> </w:t>
      </w:r>
      <w:r>
        <w:rPr>
          <w:rFonts w:ascii="Arial" w:cs="Arial" w:eastAsia="Arial" w:hAnsi="Arial"/>
          <w:sz w:val="16"/>
          <w:szCs w:val="16"/>
          <w:color w:val="auto"/>
        </w:rPr>
        <w:t>for investing activities of $18.3 million for the year ended December 31, 2020. The increase of $96.0 million was primarily due to an increase in cash used for a business acquisition of $76.8 million, net of cash and cash equivalents acquired, during the year ended December 31, 2021, net purchase of investments of $1.5 million during the year ended December 31, 2021 as compared to net redemption of investments of $23.7 million during the year ended December 31, 2020. This was partially offset by lower capital expenditures for purchase of long-lived assets, including investments in infrastructure, technology assets, software and product developments of $5.3 million during the year ended December 31, 2021 compared to the year ended December 31, 2020, and acquisition of an additional stake in our equity affiliate of $0.7 million during the year ended December 31, 2020.</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both"/>
        <w:ind w:firstLine="393"/>
        <w:spacing w:after="0" w:line="23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flows used for financing activities were $146.9 million during the year ended December 31, 2021 as compared to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used for financing activities of $89.6 million during the year ended December 31, 2020. The increase in cash flows used for financing activities was primarily due to net repayment of $29.0 million under our revolving Credit Facility and the Notes during the year ended December 31, 2021 as compared to net repayments of $10.9 million during the year ended December 31, 2020, higher purchases of treasury stock by $38.4 million under our share repurchase program and lower proceeds from the exercise of stock options by $0.8 million during the year ended December 31, 2021 as compared to the year ended December 31, 2020.</w:t>
      </w:r>
    </w:p>
    <w:p>
      <w:pPr>
        <w:spacing w:after="0" w:line="133"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expect to use cash from operating activities to maintain and expand our business by making investments, primarily related to new facilities and capital expenditures associated with leasehold improvements to build our facilities, digital capabilities and purchase telecommunications equipment and computer hardware and software in connection with managing client operations.</w:t>
      </w:r>
    </w:p>
    <w:p>
      <w:pPr>
        <w:spacing w:after="0" w:line="120"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incurred $37.2 million of capital expenditures during the year ended December 31, 2021. We expect to incur total capital expenditures of between $40 million to $45 million in 2022, primarily to meet our growth requirements, including additions to our facilities as well as investments in technology applications, product development, digital technology, advanced automation, robotics and infrastructure.</w:t>
      </w:r>
    </w:p>
    <w:p>
      <w:pPr>
        <w:spacing w:after="0" w:line="120"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In connection with any tax assessment orders that have been issued or may be issued against us or our subsidiaries, we may be required to deposit additional amounts with respect to such assessment orders (see Note 25 - Commitments and Contingencies to our consolidated financial statements herein for further details). We anticipate that we will continue to rely upon cash from operating activities to finance our working capital needs, capital expenditures and smaller acquisitions. If we have significant growth through acquisitions, we may need to obtain additional financing.</w:t>
      </w:r>
    </w:p>
    <w:p>
      <w:pPr>
        <w:spacing w:after="0" w:line="110" w:lineRule="exact"/>
        <w:rPr>
          <w:sz w:val="20"/>
          <w:szCs w:val="20"/>
          <w:color w:val="auto"/>
        </w:rPr>
      </w:pPr>
    </w:p>
    <w:p>
      <w:pPr>
        <w:jc w:val="both"/>
        <w:ind w:firstLine="433"/>
        <w:spacing w:after="0" w:line="233" w:lineRule="auto"/>
        <w:rPr>
          <w:sz w:val="20"/>
          <w:szCs w:val="20"/>
          <w:color w:val="auto"/>
        </w:rPr>
      </w:pPr>
      <w:r>
        <w:rPr>
          <w:rFonts w:ascii="Arial" w:cs="Arial" w:eastAsia="Arial" w:hAnsi="Arial"/>
          <w:sz w:val="17"/>
          <w:szCs w:val="17"/>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purchases under our board-authorized stock repurchase program, which may require the use of significant cash resources and/or additional financing. We anticipate that we will continue to rely upon cash from operating activities to finance most of our above mentioned requirements, while if we have significant growth through acquisitions, we may need to obtain additional financing.</w:t>
      </w:r>
    </w:p>
    <w:p>
      <w:pPr>
        <w:spacing w:after="0" w:line="212" w:lineRule="exact"/>
        <w:rPr>
          <w:sz w:val="20"/>
          <w:szCs w:val="20"/>
          <w:color w:val="auto"/>
        </w:rPr>
      </w:pPr>
    </w:p>
    <w:p>
      <w:pPr>
        <w:jc w:val="both"/>
        <w:ind w:firstLine="472"/>
        <w:spacing w:after="0" w:line="257" w:lineRule="auto"/>
        <w:rPr>
          <w:sz w:val="20"/>
          <w:szCs w:val="20"/>
          <w:color w:val="auto"/>
        </w:rPr>
      </w:pPr>
      <w:r>
        <w:rPr>
          <w:rFonts w:ascii="Arial" w:cs="Arial" w:eastAsia="Arial" w:hAnsi="Arial"/>
          <w:sz w:val="17"/>
          <w:szCs w:val="17"/>
          <w:color w:val="auto"/>
        </w:rPr>
        <w:t>In the normal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and uncertain tax positions. See Note 17- Borrowings, Note 19- Employee Benefit Plans, Note 20- Leases, Note 21- Income Taxes and Note 25- Commitments and Contingencies to our consolidated financial statements herein for further information on material cash requirements from known contractual and other obligations.</w:t>
      </w:r>
    </w:p>
    <w:p>
      <w:pPr>
        <w:spacing w:after="0" w:line="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ordinary course of business, we provide standby letters of credit to third parties primarily for facility leases. As of December 31, 2021 and 2020, we had outstanding letters of credit of $0.5 million, each, that were not recognized in our consolidated balance sheets. These are not reasonably likely to have, a current or future material effect on our financial condition, revenues or expenses, results of operations, liquidity, capital expenditures or capital resources. We had no other off-balance sheet arrangements or obligations. We had no other off-balance sheet arrangements or obligations.</w:t>
      </w:r>
    </w:p>
    <w:p>
      <w:pPr>
        <w:spacing w:after="0" w:line="127"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Coronavirus Aid, Relief, and Economic Security Act, (the “CARES Act”) allows employers to defer the payment of the employer share of Federal Insurance Contributions Act (“FICA”) taxes for the period from April 1, 2020 and ending December 31, 2020. The deferred amount is payable as follows: (1) 50% of the deferred amount was paid on or before December 31, 2021 and (2) the remaining 50% of the deferred amount will be paid on or before December 31, 2022. As of December 31, 2021 and 2020, we deferred our contributions, net of payments to FICA of $3.1 million and $6.3 million, respectively, under the CARES Act. The deferred amount as of December 31, 2021 will be paid on or before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Arrangements (Debt Facility and Notes)</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summarizes our Debt balances as of December 31, 2021 and 2020.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2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00" w:type="dxa"/>
            <w:vAlign w:val="bottom"/>
            <w:gridSpan w:val="5"/>
          </w:tcPr>
          <w:p>
            <w:pPr>
              <w:ind w:left="500"/>
              <w:spacing w:after="0"/>
              <w:rPr>
                <w:sz w:val="20"/>
                <w:szCs w:val="20"/>
                <w:color w:val="auto"/>
              </w:rPr>
            </w:pPr>
            <w:r>
              <w:rPr>
                <w:rFonts w:ascii="Arial" w:cs="Arial" w:eastAsia="Arial" w:hAnsi="Arial"/>
                <w:sz w:val="14"/>
                <w:szCs w:val="14"/>
                <w:b w:val="1"/>
                <w:bCs w:val="1"/>
                <w:color w:val="auto"/>
              </w:rPr>
              <w:t>As of December 31, 2021</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As of December 31, 2020</w:t>
            </w: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740" w:type="dxa"/>
            <w:vAlign w:val="bottom"/>
          </w:tcPr>
          <w:p>
            <w:pPr>
              <w:spacing w:after="0"/>
              <w:rPr>
                <w:sz w:val="10"/>
                <w:szCs w:val="10"/>
                <w:color w:val="auto"/>
              </w:rPr>
            </w:pPr>
          </w:p>
        </w:tc>
        <w:tc>
          <w:tcPr>
            <w:tcW w:w="1640" w:type="dxa"/>
            <w:vAlign w:val="bottom"/>
            <w:gridSpan w:val="3"/>
          </w:tcPr>
          <w:p>
            <w:pPr>
              <w:ind w:left="460"/>
              <w:spacing w:after="0" w:line="116" w:lineRule="exact"/>
              <w:rPr>
                <w:sz w:val="20"/>
                <w:szCs w:val="20"/>
                <w:color w:val="auto"/>
              </w:rPr>
            </w:pPr>
            <w:r>
              <w:rPr>
                <w:rFonts w:ascii="Arial" w:cs="Arial" w:eastAsia="Arial" w:hAnsi="Arial"/>
                <w:sz w:val="13"/>
                <w:szCs w:val="13"/>
                <w:b w:val="1"/>
                <w:bCs w:val="1"/>
                <w:color w:val="auto"/>
              </w:rPr>
              <w:t>Revolving Credit</w:t>
            </w:r>
          </w:p>
        </w:tc>
        <w:tc>
          <w:tcPr>
            <w:tcW w:w="76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1600" w:type="dxa"/>
            <w:vAlign w:val="bottom"/>
            <w:gridSpan w:val="3"/>
          </w:tcPr>
          <w:p>
            <w:pPr>
              <w:ind w:left="440"/>
              <w:spacing w:after="0" w:line="116" w:lineRule="exact"/>
              <w:rPr>
                <w:sz w:val="20"/>
                <w:szCs w:val="20"/>
                <w:color w:val="auto"/>
              </w:rPr>
            </w:pPr>
            <w:r>
              <w:rPr>
                <w:rFonts w:ascii="Arial" w:cs="Arial" w:eastAsia="Arial" w:hAnsi="Arial"/>
                <w:sz w:val="13"/>
                <w:szCs w:val="13"/>
                <w:b w:val="1"/>
                <w:bCs w:val="1"/>
                <w:color w:val="auto"/>
              </w:rPr>
              <w:t>Revolving Credit</w:t>
            </w:r>
          </w:p>
        </w:tc>
        <w:tc>
          <w:tcPr>
            <w:tcW w:w="640" w:type="dxa"/>
            <w:vAlign w:val="bottom"/>
          </w:tcPr>
          <w:p>
            <w:pPr>
              <w:spacing w:after="0"/>
              <w:rPr>
                <w:sz w:val="10"/>
                <w:szCs w:val="10"/>
                <w:color w:val="auto"/>
              </w:rPr>
            </w:pPr>
          </w:p>
        </w:tc>
        <w:tc>
          <w:tcPr>
            <w:tcW w:w="12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87"/>
              </w:rPr>
              <w:t>Notes</w:t>
            </w:r>
          </w:p>
        </w:tc>
        <w:tc>
          <w:tcPr>
            <w:tcW w:w="400" w:type="dxa"/>
            <w:vAlign w:val="bottom"/>
          </w:tcPr>
          <w:p>
            <w:pPr>
              <w:spacing w:after="0"/>
              <w:rPr>
                <w:sz w:val="10"/>
                <w:szCs w:val="10"/>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4"/>
        </w:trPr>
        <w:tc>
          <w:tcPr>
            <w:tcW w:w="2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gridSpan w:val="2"/>
            <w:vMerge w:val="restart"/>
          </w:tcPr>
          <w:p>
            <w:pPr>
              <w:ind w:left="20"/>
              <w:spacing w:after="0" w:line="145" w:lineRule="exact"/>
              <w:rPr>
                <w:sz w:val="20"/>
                <w:szCs w:val="20"/>
                <w:color w:val="auto"/>
              </w:rPr>
            </w:pPr>
            <w:r>
              <w:rPr>
                <w:rFonts w:ascii="Arial" w:cs="Arial" w:eastAsia="Arial" w:hAnsi="Arial"/>
                <w:sz w:val="14"/>
                <w:szCs w:val="14"/>
                <w:b w:val="1"/>
                <w:bCs w:val="1"/>
                <w:color w:val="auto"/>
              </w:rPr>
              <w:t>Facility</w:t>
            </w:r>
          </w:p>
        </w:tc>
        <w:tc>
          <w:tcPr>
            <w:tcW w:w="7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gridSpan w:val="2"/>
            <w:vMerge w:val="restart"/>
          </w:tcPr>
          <w:p>
            <w:pPr>
              <w:ind w:left="20"/>
              <w:spacing w:after="0" w:line="145" w:lineRule="exact"/>
              <w:rPr>
                <w:sz w:val="20"/>
                <w:szCs w:val="20"/>
                <w:color w:val="auto"/>
              </w:rPr>
            </w:pPr>
            <w:r>
              <w:rPr>
                <w:rFonts w:ascii="Arial" w:cs="Arial" w:eastAsia="Arial" w:hAnsi="Arial"/>
                <w:sz w:val="14"/>
                <w:szCs w:val="14"/>
                <w:b w:val="1"/>
                <w:bCs w:val="1"/>
                <w:color w:val="auto"/>
              </w:rPr>
              <w:t>Facility</w:t>
            </w:r>
          </w:p>
        </w:tc>
        <w:tc>
          <w:tcPr>
            <w:tcW w:w="64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7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vMerge w:val="continue"/>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vMerge w:val="continue"/>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740" w:type="dxa"/>
            <w:vAlign w:val="bottom"/>
            <w:shd w:val="clear" w:color="auto" w:fill="CCEEFF"/>
          </w:tcPr>
          <w:p>
            <w:pPr>
              <w:ind w:left="400"/>
              <w:spacing w:after="0" w:line="150" w:lineRule="exact"/>
              <w:rPr>
                <w:sz w:val="20"/>
                <w:szCs w:val="20"/>
                <w:color w:val="auto"/>
              </w:rPr>
            </w:pPr>
            <w:r>
              <w:rPr>
                <w:rFonts w:ascii="Arial" w:cs="Arial" w:eastAsia="Arial" w:hAnsi="Arial"/>
                <w:sz w:val="17"/>
                <w:szCs w:val="17"/>
                <w:b w:val="1"/>
                <w:bCs w:val="1"/>
                <w:color w:val="auto"/>
              </w:rPr>
              <w:t>Current portion of long-term</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25.0</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ind w:left="400"/>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jc w:val="right"/>
              <w:ind w:right="53"/>
              <w:spacing w:after="0" w:line="150"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line="150" w:lineRule="exact"/>
              <w:rPr>
                <w:sz w:val="20"/>
                <w:szCs w:val="20"/>
                <w:color w:val="auto"/>
              </w:rPr>
            </w:pPr>
            <w:r>
              <w:rPr>
                <w:rFonts w:ascii="Arial" w:cs="Arial" w:eastAsia="Arial" w:hAnsi="Arial"/>
                <w:sz w:val="17"/>
                <w:szCs w:val="17"/>
                <w:b w:val="1"/>
                <w:bCs w:val="1"/>
                <w:color w:val="auto"/>
              </w:rPr>
              <w:t>25.0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borrowings</w:t>
            </w: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gridSpan w:val="3"/>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Long-term borrowings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214.0</w:t>
            </w:r>
          </w:p>
        </w:tc>
        <w:tc>
          <w:tcPr>
            <w:tcW w:w="0" w:type="dxa"/>
            <w:vAlign w:val="bottom"/>
          </w:tcPr>
          <w:p>
            <w:pPr>
              <w:spacing w:after="0"/>
              <w:rPr>
                <w:sz w:val="1"/>
                <w:szCs w:val="1"/>
                <w:color w:val="auto"/>
              </w:rPr>
            </w:pPr>
          </w:p>
        </w:tc>
      </w:tr>
      <w:tr>
        <w:trPr>
          <w:trHeight w:val="223"/>
        </w:trPr>
        <w:tc>
          <w:tcPr>
            <w:tcW w:w="2740" w:type="dxa"/>
            <w:vAlign w:val="bottom"/>
          </w:tcPr>
          <w:p>
            <w:pPr>
              <w:ind w:left="400"/>
              <w:spacing w:after="0"/>
              <w:rPr>
                <w:sz w:val="20"/>
                <w:szCs w:val="20"/>
                <w:color w:val="auto"/>
              </w:rPr>
            </w:pPr>
            <w:r>
              <w:rPr>
                <w:rFonts w:ascii="Arial" w:cs="Arial" w:eastAsia="Arial" w:hAnsi="Arial"/>
                <w:sz w:val="17"/>
                <w:szCs w:val="17"/>
                <w:color w:val="auto"/>
              </w:rPr>
              <w:t>Unamortized debt discount</w:t>
            </w:r>
          </w:p>
        </w:tc>
        <w:tc>
          <w:tcPr>
            <w:tcW w:w="5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400"/>
              <w:spacing w:after="0" w:line="172" w:lineRule="exact"/>
              <w:rPr>
                <w:sz w:val="20"/>
                <w:szCs w:val="20"/>
                <w:color w:val="auto"/>
              </w:rPr>
            </w:pPr>
            <w:r>
              <w:rPr>
                <w:rFonts w:ascii="Arial" w:cs="Arial" w:eastAsia="Arial" w:hAnsi="Arial"/>
                <w:sz w:val="17"/>
                <w:szCs w:val="17"/>
                <w:color w:val="auto"/>
              </w:rPr>
              <w:t>Unamortized debt issuance</w:t>
            </w:r>
          </w:p>
        </w:tc>
        <w:tc>
          <w:tcPr>
            <w:tcW w:w="5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22"/>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w:t>
            </w:r>
          </w:p>
        </w:tc>
        <w:tc>
          <w:tcPr>
            <w:tcW w:w="5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CCEEFF"/>
            </w:tcBorders>
          </w:tcPr>
          <w:p>
            <w:pPr>
              <w:ind w:left="400"/>
              <w:spacing w:after="0"/>
              <w:rPr>
                <w:sz w:val="20"/>
                <w:szCs w:val="20"/>
                <w:color w:val="auto"/>
              </w:rPr>
            </w:pPr>
            <w:r>
              <w:rPr>
                <w:rFonts w:ascii="Arial" w:cs="Arial" w:eastAsia="Arial" w:hAnsi="Arial"/>
                <w:sz w:val="17"/>
                <w:szCs w:val="17"/>
                <w:b w:val="1"/>
                <w:bCs w:val="1"/>
                <w:color w:val="auto"/>
              </w:rPr>
              <w:t>Long-term borrowings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64.0</w:t>
            </w:r>
          </w:p>
        </w:tc>
        <w:tc>
          <w:tcPr>
            <w:tcW w:w="10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138.0</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5"/>
        </w:trPr>
        <w:tc>
          <w:tcPr>
            <w:tcW w:w="2740" w:type="dxa"/>
            <w:vAlign w:val="bottom"/>
            <w:tcBorders>
              <w:bottom w:val="single" w:sz="8" w:color="CCEEFF"/>
            </w:tcBorders>
            <w:shd w:val="clear" w:color="auto" w:fill="CCEEFF"/>
          </w:tcPr>
          <w:p>
            <w:pPr>
              <w:ind w:left="400"/>
              <w:spacing w:after="0" w:line="190" w:lineRule="exact"/>
              <w:rPr>
                <w:sz w:val="20"/>
                <w:szCs w:val="20"/>
                <w:color w:val="auto"/>
              </w:rPr>
            </w:pPr>
            <w:r>
              <w:rPr>
                <w:rFonts w:ascii="Arial" w:cs="Arial" w:eastAsia="Arial" w:hAnsi="Arial"/>
                <w:sz w:val="17"/>
                <w:szCs w:val="17"/>
                <w:b w:val="1"/>
                <w:bCs w:val="1"/>
                <w:color w:val="auto"/>
              </w:rPr>
              <w:t>Total borrowings</w:t>
            </w:r>
          </w:p>
        </w:tc>
        <w:tc>
          <w:tcPr>
            <w:tcW w:w="52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b w:val="1"/>
                <w:bCs w:val="1"/>
                <w:color w:val="auto"/>
              </w:rPr>
              <w:t>260.0</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3"/>
              <w:spacing w:after="0" w:line="190"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b w:val="1"/>
                <w:bCs w:val="1"/>
                <w:color w:val="auto"/>
              </w:rPr>
              <w:t>260.0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b w:val="1"/>
                <w:bCs w:val="1"/>
                <w:color w:val="auto"/>
              </w:rPr>
              <w:t>89.0</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00"/>
              <w:spacing w:after="0" w:line="190"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b w:val="1"/>
                <w:bCs w:val="1"/>
                <w:color w:val="auto"/>
              </w:rPr>
              <w:t>138.0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53"/>
              <w:spacing w:after="0" w:line="190"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b w:val="1"/>
                <w:bCs w:val="1"/>
                <w:color w:val="auto"/>
              </w:rPr>
              <w:t>227.0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i w:val="1"/>
          <w:iCs w:val="1"/>
          <w:color w:val="auto"/>
        </w:rPr>
        <w:t>*Unamortized debt issuance costs for our revolving Credit Facility of $0.2 million and $0.5 million as of December 31, 2021 and December 31, 2020, respectively, are presented under “Other current assets” and “Other assets,” as applicable in our consolidated balance sheets.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159"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6"/>
          <w:szCs w:val="16"/>
          <w:color w:val="auto"/>
        </w:rPr>
        <w:t>On November 21, 2017, we and each of our wholly owned material domestic subsidiaries entered into a Credit Agreement with certain lenders, and Citibank, N.A. as Administrative Agent (the “Credit Agreement”). The Credit Agreement provides for a $200.0 million revolving credit facility (the “Credit Facility”) with an option to increase the commitments by up to $100.0 million,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we exercised our option under the Credit Agreement to increase the commitments by $100.0 million, thereby utilizing the entire revolver under the Credit Facility of $300.0 million to fund our July 2018 acquisition of SCIOinspire Holdings, Inc.</w:t>
      </w:r>
    </w:p>
    <w:p>
      <w:pPr>
        <w:spacing w:after="0" w:line="209"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our total net leverage ratio and ranges from 0% to 0.75% per annum with respect to loans pegged to the specified prime rate, and 1.00% to 1.75% per annum on loans pegged to the adjusted LIBO rate. The revolving credit commitments under the Credit Agreement are subject to a commitment fee which is also tied to our total net leverage ratio, and ranges from 0.15% to 0.30% per annum on the average daily amount by which the aggregate revolving commitments exceed the sum of outstanding revolving loans and letter of credit obligations.</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revolving Credit Facility carried an effective interest rate as shown below:-</w:t>
      </w:r>
    </w:p>
    <w:p>
      <w:pPr>
        <w:spacing w:after="0" w:line="209" w:lineRule="exact"/>
        <w:rPr>
          <w:sz w:val="20"/>
          <w:szCs w:val="20"/>
          <w:color w:val="auto"/>
        </w:rPr>
      </w:pPr>
    </w:p>
    <w:p>
      <w:pPr>
        <w:ind w:left="66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17145</wp:posOffset>
            </wp:positionV>
            <wp:extent cx="24149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15" w:lineRule="exact"/>
        <w:rPr>
          <w:sz w:val="20"/>
          <w:szCs w:val="20"/>
          <w:color w:val="auto"/>
        </w:rPr>
      </w:pPr>
    </w:p>
    <w:p>
      <w:pPr>
        <w:ind w:left="6380"/>
        <w:spacing w:after="0"/>
        <w:tabs>
          <w:tab w:leader="none" w:pos="830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20955</wp:posOffset>
            </wp:positionV>
            <wp:extent cx="5187950" cy="149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87950" cy="149860"/>
                    </a:xfrm>
                    <a:prstGeom prst="rect">
                      <a:avLst/>
                    </a:prstGeom>
                    <a:noFill/>
                  </pic:spPr>
                </pic:pic>
              </a:graphicData>
            </a:graphic>
          </wp:anchor>
        </w:drawing>
      </w:r>
    </w:p>
    <w:p>
      <w:pPr>
        <w:spacing w:after="0" w:line="27" w:lineRule="exact"/>
        <w:rPr>
          <w:sz w:val="20"/>
          <w:szCs w:val="20"/>
          <w:color w:val="auto"/>
        </w:rPr>
      </w:pPr>
    </w:p>
    <w:p>
      <w:pPr>
        <w:ind w:left="1440"/>
        <w:spacing w:after="0"/>
        <w:tabs>
          <w:tab w:leader="none" w:pos="6460" w:val="left"/>
          <w:tab w:leader="none" w:pos="7120" w:val="left"/>
          <w:tab w:leader="none" w:pos="8360" w:val="left"/>
          <w:tab w:leader="none" w:pos="9020" w:val="left"/>
        </w:tabs>
        <w:rPr>
          <w:sz w:val="20"/>
          <w:szCs w:val="20"/>
          <w:color w:val="auto"/>
        </w:rPr>
      </w:pPr>
      <w:r>
        <w:rPr>
          <w:rFonts w:ascii="Arial" w:cs="Arial" w:eastAsia="Arial" w:hAnsi="Arial"/>
          <w:sz w:val="17"/>
          <w:szCs w:val="17"/>
          <w:color w:val="auto"/>
        </w:rPr>
        <w:t>Effective interest rate</w:t>
      </w:r>
      <w:r>
        <w:rPr>
          <w:sz w:val="20"/>
          <w:szCs w:val="20"/>
          <w:color w:val="auto"/>
        </w:rPr>
        <w:tab/>
      </w:r>
      <w:r>
        <w:rPr>
          <w:rFonts w:ascii="Arial" w:cs="Arial" w:eastAsia="Arial" w:hAnsi="Arial"/>
          <w:sz w:val="17"/>
          <w:szCs w:val="17"/>
          <w:color w:val="auto"/>
        </w:rPr>
        <w:t>1.7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w:t>
      </w:r>
    </w:p>
    <w:p>
      <w:pPr>
        <w:spacing w:after="0" w:line="17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Obligations under the Credit Agreement are guaranteed by our material domestic subsidiaries and are secured by all or substantially all of our assets and that of our material domestic subsidiaries. The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Credit Agreement contains a covenant to not permit the interest coverage ratio or the total net leverage ratio, both as defined for the four consecutive quarter period ending on the last day of each fiscal quarter, to be less than 3.5 to 1.0 or more than 3.0 to 1.0, respectively. As of December 31, 2021, we were in compliance with all financial and non-financial covenants listed under the Credit Agreement.</w:t>
      </w:r>
    </w:p>
    <w:p>
      <w:pPr>
        <w:spacing w:after="0" w:line="13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We entered into a second amendment (the “Amendment”) to our Credit Agreement, as amended, among the Company, as borrower, with certain lenders, and Citibank, N.A. as Administrative Agent to, among other things, permit the issuance by the Company of the Notes, and settlement upon maturity or conversion thereof, in accordance with the Investment Agreement, the indenture dated as of October 4, 2018 and the other documents entered into in connection therewith.</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17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On October 1, 2018, we entered into an investment agreement (the “Investment Agreement”) with Orogen Echo LLC (the “Purchaser”), an affiliate of The Orogen Group LLC, relating to the issuance to the Purchaser of $150.0 million, in an aggregate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principal amount of 3.5% per annum Convertible Senior Notes due October 1, 2024 (the “Notes”). The Notes were issued on October 4, 2018. The Notes carried interest at a rate of 3.5% per annum, payable semi-annually in arrears in cash on April 1 and October 1 of each year. The Notes were convertible at an initial conversion rate of 13.3333 shares of the common stock per one thousand dollar principal amount of the Notes (which represents an initial conversion price of approximately $75 per share). We had the option to redeem the principal amount of the Notes, at our option, in whole but not in part, at a purchase price equal to the principal amount plus accrued and unpaid interest on or after October 1, 2021, if the closing sale price of our common stock exceeded 150% of the then-current conversion price for 20 or more trading days in the 30 consecutive trading day period preceding our exercise of this redemption right (including the trading day immediately prior to the date of the notice of redemption).We had the option elect to settle conversions of the Notes by paying or delivering, as the case may be, cash, shares of our common stock or a combination of cash and shares of our common stock.</w:t>
      </w:r>
    </w:p>
    <w:p>
      <w:pPr>
        <w:spacing w:after="0" w:line="106" w:lineRule="exact"/>
        <w:rPr>
          <w:sz w:val="20"/>
          <w:szCs w:val="20"/>
          <w:color w:val="auto"/>
        </w:rPr>
      </w:pPr>
    </w:p>
    <w:p>
      <w:pPr>
        <w:jc w:val="both"/>
        <w:ind w:firstLine="393"/>
        <w:spacing w:after="0" w:line="246" w:lineRule="auto"/>
        <w:rPr>
          <w:sz w:val="20"/>
          <w:szCs w:val="20"/>
          <w:color w:val="auto"/>
        </w:rPr>
      </w:pPr>
      <w:r>
        <w:rPr>
          <w:rFonts w:ascii="Arial" w:cs="Arial" w:eastAsia="Arial" w:hAnsi="Arial"/>
          <w:sz w:val="16"/>
          <w:szCs w:val="16"/>
          <w:color w:val="auto"/>
        </w:rPr>
        <w:t>On August 27, 2021, we entered into a Payoff and Termination Agreement (the “Payoff and Termination Agreement”) with the Purchaser, pursuant to which we prepaid and settled our outstanding obligations under the Notes for an aggregate consideration of $236.7 million, excluding accrued and unpaid interest under the Notes calculated through and including, August 26, 2021, in the form of a combination of cash and shares of our common stock. As a result, we made a cash payment of $200.0 million to the Purchaser and satisfied the remainder of the obligation under the Notes by issuing to the Purchaser 310,394 shares of our common stock calculated at $118.37 per share based on a 20-day volume weighted average price ending on, and including, August 26, 2021. We satisfied the cash payment obligation under the Payoff and Termination Agreement by drawing $200.0 million from our existing revolving Credit Facility, and our common stock was issued from our existing treasury shares. In addition, except as set forth in the Payoff and Termination Agreement, the Investment Agreement was also terminated. See Note 17 - Borrowings and Note 18 - Capital Structure to our consolidated financial statements herein for further details.</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the years ended December 31, 2021 and 2020, we recognized interest expense and amortization of debt discount, on the Notes as below:</w:t>
      </w:r>
    </w:p>
    <w:p>
      <w:pPr>
        <w:spacing w:after="0" w:line="199" w:lineRule="exact"/>
        <w:rPr>
          <w:sz w:val="20"/>
          <w:szCs w:val="20"/>
          <w:color w:val="auto"/>
        </w:rPr>
      </w:pPr>
    </w:p>
    <w:tbl>
      <w:tblPr>
        <w:tblLayout w:type="fixed"/>
        <w:tblInd w:w="400" w:type="dxa"/>
        <w:tblCellMar>
          <w:top w:w="0" w:type="dxa"/>
          <w:left w:w="0" w:type="dxa"/>
          <w:bottom w:w="0" w:type="dxa"/>
          <w:right w:w="0" w:type="dxa"/>
        </w:tblCellMar>
      </w:tblPr>
      <w:tr>
        <w:trPr>
          <w:trHeight w:val="180"/>
        </w:trPr>
        <w:tc>
          <w:tcPr>
            <w:tcW w:w="58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800" w:type="dxa"/>
            <w:vAlign w:val="bottom"/>
            <w:tcBorders>
              <w:bottom w:val="single" w:sz="8" w:color="auto"/>
            </w:tcBorders>
          </w:tcPr>
          <w:p>
            <w:pPr>
              <w:spacing w:after="0"/>
              <w:rPr>
                <w:sz w:val="15"/>
                <w:szCs w:val="15"/>
                <w:color w:val="auto"/>
              </w:rPr>
            </w:pPr>
          </w:p>
        </w:tc>
      </w:tr>
      <w:tr>
        <w:trPr>
          <w:trHeight w:val="177"/>
        </w:trPr>
        <w:tc>
          <w:tcPr>
            <w:tcW w:w="586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4"/>
                <w:szCs w:val="14"/>
                <w:b w:val="1"/>
                <w:bCs w:val="1"/>
                <w:color w:val="auto"/>
                <w:w w:val="83"/>
              </w:rPr>
              <w:t>2020</w:t>
            </w:r>
          </w:p>
        </w:tc>
      </w:tr>
      <w:tr>
        <w:trPr>
          <w:trHeight w:val="216"/>
        </w:trPr>
        <w:tc>
          <w:tcPr>
            <w:tcW w:w="5860" w:type="dxa"/>
            <w:vAlign w:val="bottom"/>
          </w:tcPr>
          <w:p>
            <w:pPr>
              <w:ind w:left="400"/>
              <w:spacing w:after="0"/>
              <w:rPr>
                <w:sz w:val="20"/>
                <w:szCs w:val="20"/>
                <w:color w:val="auto"/>
              </w:rPr>
            </w:pPr>
            <w:r>
              <w:rPr>
                <w:rFonts w:ascii="Arial" w:cs="Arial" w:eastAsia="Arial" w:hAnsi="Arial"/>
                <w:sz w:val="17"/>
                <w:szCs w:val="17"/>
                <w:color w:val="auto"/>
              </w:rPr>
              <w:t>Interest expense on the Notes</w:t>
            </w:r>
          </w:p>
        </w:tc>
        <w:tc>
          <w:tcPr>
            <w:tcW w:w="1200" w:type="dxa"/>
            <w:vAlign w:val="bottom"/>
          </w:tcPr>
          <w:p>
            <w:pPr>
              <w:jc w:val="right"/>
              <w:ind w:right="618"/>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8"/>
                <w:szCs w:val="18"/>
                <w:color w:val="auto"/>
              </w:rPr>
            </w:pPr>
          </w:p>
        </w:tc>
        <w:tc>
          <w:tcPr>
            <w:tcW w:w="92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23"/>
        </w:trPr>
        <w:tc>
          <w:tcPr>
            <w:tcW w:w="58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Amortization of debt discount on the Notes</w:t>
            </w:r>
          </w:p>
        </w:tc>
        <w:tc>
          <w:tcPr>
            <w:tcW w:w="1200" w:type="dxa"/>
            <w:vAlign w:val="bottom"/>
            <w:shd w:val="clear" w:color="auto" w:fill="CCEEFF"/>
          </w:tcPr>
          <w:p>
            <w:pPr>
              <w:jc w:val="right"/>
              <w:ind w:right="61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8"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For a description of recent accounting pronouncements, see Note 2 - Summary of Significant Accounting Policies - Recent Accounting Pronouncements to our consolidated financial statements contained herein.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72"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24" w:lineRule="exact"/>
        <w:rPr>
          <w:sz w:val="20"/>
          <w:szCs w:val="20"/>
          <w:color w:val="auto"/>
        </w:rPr>
      </w:pPr>
    </w:p>
    <w:p>
      <w:pPr>
        <w:jc w:val="both"/>
        <w:ind w:firstLine="433"/>
        <w:spacing w:after="0" w:line="314" w:lineRule="auto"/>
        <w:rPr>
          <w:sz w:val="20"/>
          <w:szCs w:val="20"/>
          <w:color w:val="auto"/>
        </w:rPr>
      </w:pPr>
      <w:r>
        <w:rPr>
          <w:rFonts w:ascii="Arial" w:cs="Arial" w:eastAsia="Arial" w:hAnsi="Arial"/>
          <w:sz w:val="15"/>
          <w:szCs w:val="15"/>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responsibilities of our treasury operations include management of cash resources, implementing hedging strategies for foreign currency exposures, borrowing strategies and ensuring compliance with market risk limits and policies.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Components of Market Risk</w:t>
      </w:r>
    </w:p>
    <w:p>
      <w:pPr>
        <w:spacing w:after="0" w:line="172"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b w:val="1"/>
          <w:bCs w:val="1"/>
          <w:i w:val="1"/>
          <w:iCs w:val="1"/>
          <w:color w:val="auto"/>
        </w:rPr>
        <w:t xml:space="preserve">Foreign Currency Risk. </w:t>
      </w:r>
      <w:r>
        <w:rPr>
          <w:rFonts w:ascii="Arial" w:cs="Arial" w:eastAsia="Arial" w:hAnsi="Arial"/>
          <w:sz w:val="17"/>
          <w:szCs w:val="17"/>
          <w:color w:val="auto"/>
        </w:rPr>
        <w:t>Our exposure to market risk arises principally from exchange rate risk. Our revenues are primarily denominated in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dollar representing 88.2% of our total revenues and the U.K. pound sterling representing 8.6% of our total revenues in the year ended December 31, 2021. However, a significant portion of our total expenses are incurred and paid in Indian rupee and the Philippine peso representing 29.4% and 9.5% respectively, of our total expenses in the year ended December 31, 2021. We also incur expenses in the U.S. dollar and currencies of other countries in which we have operations. The exchange rates among the Indian rupee, the Philippine peso and the U.S. dollar have changed substantially in recent years and may fluctuate substantially in the future.</w:t>
      </w:r>
    </w:p>
    <w:p>
      <w:pPr>
        <w:spacing w:after="0" w:line="126" w:lineRule="exact"/>
        <w:rPr>
          <w:sz w:val="20"/>
          <w:szCs w:val="20"/>
          <w:color w:val="auto"/>
        </w:rPr>
      </w:pPr>
    </w:p>
    <w:p>
      <w:pPr>
        <w:jc w:val="both"/>
        <w:ind w:firstLine="433"/>
        <w:spacing w:after="0" w:line="279" w:lineRule="auto"/>
        <w:rPr>
          <w:sz w:val="20"/>
          <w:szCs w:val="20"/>
          <w:color w:val="auto"/>
        </w:rPr>
      </w:pPr>
      <w:r>
        <w:rPr>
          <w:rFonts w:ascii="Arial" w:cs="Arial" w:eastAsia="Arial" w:hAnsi="Arial"/>
          <w:sz w:val="16"/>
          <w:szCs w:val="16"/>
          <w:color w:val="auto"/>
        </w:rPr>
        <w:t>Our exchange rate risk primarily arises from our foreign currency revenues, expenses incurred by our foreign subsidiaries and foreign currency accounts receivable and payable. The average exchange rate of the Indian rupee against the U.S. dollar decreased from 74.07 during the year ended December 31, 2020 to 73.88 during the year ended December 31, 2021, representing an appreciation of 0.3%. The average exchange rate of the Philippine peso against the U.S. dollar decreased from 49.49 during the year ended December 31, 2020 to 49.36 during the year ended December 31, 2021, representing an appreciation of 0.3%. Based upon our level of operations during the year ended December 31, 2021 and excluding any hedging arrangements that we had in place during that period, a 10% appreciation/depreciation in the Indian rupee against the U.S. dollar would have increased/decreased our revenues by approximately $5.6 million and increased/decreased our expenses incurred and paid in Indian rupees by approximately $28.4 million in the year ended December 31, 2021. Similarly, a 10% appreciation/depreciation in the Philippine peso against the U.S. dollar would have increased/decreased our revenues by approximately $0.3 million and increased/decreased our expenses incurred and paid in Philippine peso by approximately $9.2 million in the year ended December 31, 2021.</w:t>
      </w:r>
    </w:p>
    <w:p>
      <w:pPr>
        <w:spacing w:after="0" w:line="121"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In order to mitigate our exposure to foreign currency fluctuation risks and minimize the earnings and cash flow volatility associated with forecasted transactions denominated in certain foreign currencies, we enter into foreign currency forward contracts that are designated as cash flow hedges.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As such, we may not purchase adequate contracts to insulate ourselves from Indian rupee and the Philippine peso foreign exchange currency risks. In addition, any such contracts may not perform adequately as a hedging mechanism. We may, in the future, adopt more active hedging policies, and have done so in the past.</w:t>
      </w:r>
    </w:p>
    <w:p>
      <w:pPr>
        <w:spacing w:after="0" w:line="132" w:lineRule="exact"/>
        <w:rPr>
          <w:sz w:val="20"/>
          <w:szCs w:val="20"/>
          <w:color w:val="auto"/>
        </w:rPr>
      </w:pPr>
    </w:p>
    <w:p>
      <w:pPr>
        <w:jc w:val="both"/>
        <w:ind w:firstLine="433"/>
        <w:spacing w:after="0" w:line="298" w:lineRule="auto"/>
        <w:rPr>
          <w:sz w:val="20"/>
          <w:szCs w:val="20"/>
          <w:color w:val="auto"/>
        </w:rPr>
      </w:pPr>
      <w:r>
        <w:rPr>
          <w:rFonts w:ascii="Arial" w:cs="Arial" w:eastAsia="Arial" w:hAnsi="Arial"/>
          <w:sz w:val="16"/>
          <w:szCs w:val="16"/>
          <w:color w:val="auto"/>
        </w:rPr>
        <w:t>The impact on earnings and/or cash flows related to these foreign currency forward contracts is immaterial as the impact of the maturing cash flow hedges in respective periods are intended to offset the foreign currency impact on the related expenses. Further, a significant number of our client contracts include protection against foreign exchange rate fluctuations which minimizes the impact of volatility in the exchange rates on our operating results.</w:t>
      </w:r>
    </w:p>
    <w:p>
      <w:pPr>
        <w:spacing w:after="0" w:line="101" w:lineRule="exact"/>
        <w:rPr>
          <w:sz w:val="20"/>
          <w:szCs w:val="20"/>
          <w:color w:val="auto"/>
        </w:rPr>
      </w:pPr>
    </w:p>
    <w:p>
      <w:pPr>
        <w:jc w:val="both"/>
        <w:ind w:firstLine="433"/>
        <w:spacing w:after="0" w:line="283" w:lineRule="auto"/>
        <w:rPr>
          <w:sz w:val="20"/>
          <w:szCs w:val="20"/>
          <w:color w:val="auto"/>
        </w:rPr>
      </w:pPr>
      <w:r>
        <w:rPr>
          <w:rFonts w:ascii="Arial" w:cs="Arial" w:eastAsia="Arial" w:hAnsi="Arial"/>
          <w:sz w:val="16"/>
          <w:szCs w:val="16"/>
          <w:color w:val="auto"/>
        </w:rPr>
        <w:t>Cash flow hedges with notional amounts of $514.6 million and $451.9 million were outstanding as at December 31, 2021 and 2020, respectively, with maturity periods of one to forty-two months. The mark-to-market gain, net upon fair valuation of these cash flow hedges as of December 31, 2021 and 2020 was $11.9 million and $16.5 million, respectively, and is included in “Accumulated other comprehensive income/(loss)” on our consolidated balance sheets. During the year ended December 31, 2021, we recognized $10.0 million as a foreign exchange gain from the maturing cash flow hedges, which was largely offset by the foreign exchange loss on the related expenses of $10.1 million. The net impact on earnings for the year ended December 31, 2021 from the maturing cash flow hedges was insignificant, offset by an insignificant foreign currency impact on the related expenses.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61"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6"/>
          <w:szCs w:val="16"/>
          <w:color w:val="auto"/>
        </w:rPr>
        <w:t xml:space="preserve">We also enter into foreign currency forward contracts to economically hedge our intercompany balances and other monetary assets and liabilities denominated in currencies other than functional currencies. These derivatives do not qualify as fair value hedges under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Changes in the fair value of these derivatives are recognized in our consolidated statements of income and are included in “Foreign exchange gain,</w:t>
      </w:r>
      <w:r>
        <w:rPr>
          <w:rFonts w:ascii="Arial" w:cs="Arial" w:eastAsia="Arial" w:hAnsi="Arial"/>
          <w:sz w:val="16"/>
          <w:szCs w:val="16"/>
          <w:i w:val="1"/>
          <w:iCs w:val="1"/>
          <w:color w:val="auto"/>
        </w:rPr>
        <w:t xml:space="preserve"> </w:t>
      </w:r>
      <w:r>
        <w:rPr>
          <w:rFonts w:ascii="Arial" w:cs="Arial" w:eastAsia="Arial" w:hAnsi="Arial"/>
          <w:sz w:val="16"/>
          <w:szCs w:val="16"/>
          <w:color w:val="auto"/>
        </w:rPr>
        <w:t>net.” These derivative instruments mitigate balance sheet risk due to exchange rate movements because gains and losses on the settlement of these derivatives are intended to offset revaluation losses and gains on the foreign currency denominated monetary assets and monetary liabilities being hedged. Forward exchange contracts with notional amounts of USD 134.6 million, GBP 6.8 million, EUR 1.3 million and COP 2,541.9 million were outstanding as of</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December 31, 2021 compared to USD 143.4 million, GBP 6.8 million, EUR 2.4 million and COP 8,288.0 million outstanding at December 31, 2020. The fair values of these derivative instruments as of December 31, 2021 and 2020 were insignificant in both year and are included in the “Foreign exchange gain, net” in our consolidated statements of income. As of December 31, 2021, the outstanding derivative instruments had maturities of 31 days.</w:t>
      </w:r>
    </w:p>
    <w:p>
      <w:pPr>
        <w:spacing w:after="0" w:line="96"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As described in Part II, Item 7, “Management’s Discussion and Analysis of Financial Condition and Results of Operations,”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21, 2017 we entered into the Credit Agreement that provides for a $200.0 million revolving credit facility and a letter of credit sub-facility. We have an option to increase the commitments under the Credit Facility by up to an additional $100.0 million. On July 2, 2018, we exercised our option under the Credit Agreement to increase the commitments to $300.0 million. The Credit Facility has a maturity date of November 21, 2022 and is voluntarily pre-payable from time to time without premium or penalty.</w:t>
      </w:r>
    </w:p>
    <w:p>
      <w:pPr>
        <w:spacing w:after="0" w:line="127" w:lineRule="exact"/>
        <w:rPr>
          <w:sz w:val="20"/>
          <w:szCs w:val="20"/>
          <w:color w:val="auto"/>
        </w:rPr>
      </w:pPr>
    </w:p>
    <w:p>
      <w:pPr>
        <w:jc w:val="both"/>
        <w:ind w:firstLine="433"/>
        <w:spacing w:after="0" w:line="281" w:lineRule="auto"/>
        <w:rPr>
          <w:sz w:val="20"/>
          <w:szCs w:val="20"/>
          <w:color w:val="auto"/>
        </w:rPr>
      </w:pPr>
      <w:r>
        <w:rPr>
          <w:rFonts w:ascii="Arial" w:cs="Arial" w:eastAsia="Arial" w:hAnsi="Arial"/>
          <w:sz w:val="16"/>
          <w:szCs w:val="16"/>
          <w:color w:val="auto"/>
        </w:rPr>
        <w:t>Depending on the type of borrowing, loans under the Credit Facility bear interest at a rate equal to the specified prime rate (alternate base rate) or adjusted LIBO rate, plus, in each case, an applicable margin. The applicable margin is tied to the Company’s total net leverage ratio and ranges from 0.00% to 0.75% per annum with respect to loans (“ABR Loans”) pegged to the specified prime rate, and 1.00% to 1.75% per annum on loans (“Eurodollar Loans”) pegged to the adjusted LIBO rate (such applicable margin, the “Applicable Rate”). The revolving credit commitments under the Credit Agreement are subject to a commitment fee. The commitment fee is also tied to the Company’s leverage ratio, and ranges from 0.15% to 0.30% per annum on the average daily amount by which the aggregate revolving commitments exceed the sum of outstanding revolving loans and letter of credit obligations. A 50 basis point increase or decrease in interest rates may impact our interest expense for the year ended December 31, 2021 by approximately $0.5 million.</w:t>
      </w:r>
    </w:p>
    <w:p>
      <w:pPr>
        <w:spacing w:after="0" w:line="118"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In October 2018, we issued the Notes with an aggregate principal amount of $150.0 million (see Note 17 - Borrowings to our consolidated financial statements). The Notes bear interest at a fixed rate, so we have no financial statement impact from changes in interest rates. During the year ended December 31, 2021 we prepaid and settled our outstanding obligations under the Notes.</w:t>
      </w:r>
    </w:p>
    <w:p>
      <w:pPr>
        <w:spacing w:after="0" w:line="120" w:lineRule="exact"/>
        <w:rPr>
          <w:sz w:val="20"/>
          <w:szCs w:val="20"/>
          <w:color w:val="auto"/>
        </w:rPr>
      </w:pPr>
    </w:p>
    <w:p>
      <w:pPr>
        <w:jc w:val="both"/>
        <w:ind w:firstLine="433"/>
        <w:spacing w:after="0" w:line="281" w:lineRule="auto"/>
        <w:rPr>
          <w:sz w:val="20"/>
          <w:szCs w:val="20"/>
          <w:color w:val="auto"/>
        </w:rPr>
      </w:pPr>
      <w:r>
        <w:rPr>
          <w:rFonts w:ascii="Arial" w:cs="Arial" w:eastAsia="Arial" w:hAnsi="Arial"/>
          <w:sz w:val="16"/>
          <w:szCs w:val="16"/>
          <w:color w:val="auto"/>
        </w:rPr>
        <w:t>We had cash, cash equivalents and short-term investments totaling $313.9 million and $402.8 million at December 31, 2021 and 2020, respectively. These amounts were invested principally in a short-term investment portfolio primarily comprised of highly-rated debt mutual funds, money market accounts and time deposits. The cash and cash equivalents are held for potential acquisitions of complementary businesses or assets, capital expenditures, working capital requirements and general corporate purposes. We do not enter into these investments for trading or speculative purposes. We believe that we have no material exposure to changes in the fair value of our investment portfolio as a result of changes in interest rates. The interest income from these funds is subject to fluctuations due to changes in interest rates. Declines in interest rates would reduce our future investment income. A 50 basis point increase or decrease in short term rates would have impacted our interest and dividend income for the year ended December 31, 2021 by approximately $1.0 million.</w:t>
      </w:r>
    </w:p>
    <w:p>
      <w:pPr>
        <w:spacing w:after="0" w:line="118"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b w:val="1"/>
          <w:bCs w:val="1"/>
          <w:i w:val="1"/>
          <w:iCs w:val="1"/>
          <w:color w:val="auto"/>
        </w:rPr>
        <w:t xml:space="preserve">Credit Risk. </w:t>
      </w:r>
      <w:r>
        <w:rPr>
          <w:rFonts w:ascii="Arial" w:cs="Arial" w:eastAsia="Arial" w:hAnsi="Arial"/>
          <w:sz w:val="17"/>
          <w:szCs w:val="17"/>
          <w:color w:val="auto"/>
        </w:rPr>
        <w:t>As of December 31, 2021 and 2020, we have accounts receivable of $194.2 million and $147.6 million, respectively. We believe that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policies reflect normal industry terms and business risk. We do not anticipate non-performance by the counterparties and, accordingly, do not require collateral. Credit losses and write-offs of accounts receivable balances historically have not been material. No single client owed more than 10% of accounts receivable balance as on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5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56" w:lineRule="exact"/>
        <w:rPr>
          <w:sz w:val="20"/>
          <w:szCs w:val="20"/>
          <w:color w:val="auto"/>
        </w:rPr>
      </w:pPr>
    </w:p>
    <w:p>
      <w:pPr>
        <w:ind w:right="180" w:firstLine="433"/>
        <w:spacing w:after="0" w:line="273" w:lineRule="auto"/>
        <w:rPr>
          <w:sz w:val="20"/>
          <w:szCs w:val="20"/>
          <w:color w:val="auto"/>
        </w:rPr>
      </w:pPr>
      <w:r>
        <w:rPr>
          <w:rFonts w:ascii="Arial" w:cs="Arial" w:eastAsia="Arial" w:hAnsi="Arial"/>
          <w:sz w:val="17"/>
          <w:szCs w:val="17"/>
          <w:color w:val="auto"/>
        </w:rPr>
        <w:t>The financial statements required to be filed pursuant to this Item 8 are appended to this Annual Report on Form 10-K. A list of the financial statements filed herewith is found at Part IV, Item 15, “Exhibits and Financial Statement Schedules.”</w:t>
      </w:r>
    </w:p>
    <w:p>
      <w:pPr>
        <w:spacing w:after="0" w:line="28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 with Accountants on Accounting and Financial Disclosure</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0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72"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the Company files or submits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2021. Based upon that evaluation, the CEO and CFO have concluded that the Company’s disclosure controls and procedures, as of December 31, 2021, were effective.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Responsibility for Financial Statements</w:t>
      </w:r>
    </w:p>
    <w:p>
      <w:pPr>
        <w:spacing w:after="0" w:line="172"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124"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Deloitte &amp; Touche LLP, an independent registered public accounting firm, is retained to audit the Company’s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120" w:lineRule="exact"/>
        <w:rPr>
          <w:sz w:val="20"/>
          <w:szCs w:val="20"/>
          <w:color w:val="auto"/>
        </w:rPr>
      </w:pPr>
    </w:p>
    <w:p>
      <w:pPr>
        <w:jc w:val="both"/>
        <w:ind w:firstLine="433"/>
        <w:spacing w:after="0" w:line="298" w:lineRule="auto"/>
        <w:rPr>
          <w:sz w:val="20"/>
          <w:szCs w:val="20"/>
          <w:color w:val="auto"/>
        </w:rPr>
      </w:pPr>
      <w:r>
        <w:rPr>
          <w:rFonts w:ascii="Arial" w:cs="Arial" w:eastAsia="Arial" w:hAnsi="Arial"/>
          <w:sz w:val="16"/>
          <w:szCs w:val="16"/>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172"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107" w:lineRule="exact"/>
        <w:rPr>
          <w:sz w:val="20"/>
          <w:szCs w:val="20"/>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7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accounting principles generally accepted in the U.S.;</w:t>
      </w:r>
    </w:p>
    <w:p>
      <w:pPr>
        <w:spacing w:after="0" w:line="10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reasonable assurance that receipts and expenditures are being made only in accordance with the authorization of our management and our board of directors; and</w:t>
      </w:r>
    </w:p>
    <w:p>
      <w:pPr>
        <w:spacing w:after="0" w:line="10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Our management, under the supervision and with the participation of the CEO and CFO, assessed the effectiveness of our internal control over financial reporting as of December 31, 2021. In making this assessment, management used the criteria described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issued by the Committee of Sponsoring Organizations of the Treadway Commission (2013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2021. See Deloitte &amp; Touche LLP’s accompanying report on their audit of our internal controls over financial reporting.</w:t>
      </w:r>
    </w:p>
    <w:p>
      <w:pPr>
        <w:spacing w:after="0" w:line="132"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color w:val="auto"/>
        </w:rPr>
        <w:t>We acquired Clairvoyant AI Inc. (“Clairvoyant”) on December 16, 2021, as discussed in Note 9 to our consolidated financial statements. As permitted by the SEC staff’s Frequently Asked Question 3 on Management’s Report on Internal Control Over Financial Reporting and Certification of Disclosure in Exchange Act Periodic Reports (revised September 24, 2007), our management excluded Clairvoyant from its assessment of internal control over financial reporting, which was acquired on December 16, 2021, and whose financial statements constitute 7.4% of total assets and 0.1% of revenues of the consolidated financial statement amounts as of and for the year ended December 31, 2021. We will include Clairvoyant in our assessment of the effectiveness of internal control over financial reporting starting fiscal 2022.</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72" w:lineRule="exact"/>
        <w:rPr>
          <w:sz w:val="20"/>
          <w:szCs w:val="20"/>
          <w:color w:val="auto"/>
        </w:rPr>
      </w:pPr>
    </w:p>
    <w:p>
      <w:pPr>
        <w:jc w:val="both"/>
        <w:ind w:firstLine="433"/>
        <w:spacing w:after="0" w:line="322" w:lineRule="auto"/>
        <w:rPr>
          <w:sz w:val="20"/>
          <w:szCs w:val="20"/>
          <w:color w:val="auto"/>
        </w:rPr>
      </w:pPr>
      <w:r>
        <w:rPr>
          <w:rFonts w:ascii="Arial" w:cs="Arial" w:eastAsia="Arial" w:hAnsi="Arial"/>
          <w:sz w:val="16"/>
          <w:szCs w:val="16"/>
          <w:color w:val="auto"/>
        </w:rPr>
        <w:t>During the three months ended December 31, 2021,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1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4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5"/>
          <w:szCs w:val="15"/>
          <w:b w:val="1"/>
          <w:bCs w:val="1"/>
          <w:color w:val="auto"/>
        </w:rPr>
        <w:t>Disclosure Regarding Foreign Jurisdictions that Prevent Inspections.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29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Code of Ethics.</w:t>
      </w:r>
    </w:p>
    <w:p>
      <w:pPr>
        <w:spacing w:after="0" w:line="17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http://ir.exlservice.com/corporate-governance.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127"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The additional information required by this Item 10 will be set forth in the definitive proxy statement for our 2022 Annual Meeting of Stockholders (the “Proxy Statement”), including under the headings “Our Board of Directors,” “Our Executive Officers” and “Corporate Governance — Committees — Audit Committee,” “— Committees — Nominating and Governance Committee” and, to the extent included, “— Delinquent Section 16(a) Reports,” and is incorporated herein by reference. We intend to file the Proxy Statement with the SEC within 120 days after the fiscal year end of December 31, 2021.</w:t>
      </w:r>
    </w:p>
    <w:p>
      <w:pPr>
        <w:spacing w:after="0" w:line="10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5"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We incorporate by reference the information responsive to this Item appearing in our Proxy Statement, including under the headings “Executive Compensation — Compensation Discussion and Analysis,” “— Compensation Committee Report,” “— Summary Compensation Table for Fiscal Year 2021,” “— Grants of Plan-Based Awards Table for Fiscal Year 2021,” “Outstanding Equity Awards at Fiscal 2021 Year-End,” “Option Exercises and Stock Vested During Fiscal Year 2021,” “— Pension Benefits for Fiscal Year 2021,” “— Potential Payments upon Termination or Change in Control at Fiscal 2021 Year-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End,” “— Director Compensation for Fiscal Year 2021,” “— Risk and Compensation Policies” and “Corporate Governance —Compensation Committee Interlocks and Insider Participation.”</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12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We incorporate by reference the information responsive to this Item appearing in our Proxy Statement, including under the heading “Principal Stockholders.”</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2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We incorporate by reference the information responsive to this Item appearing in our Proxy Statement, including under the headings “Certain Relationships and Related Person Transactions” and “Corporate Governance — Director Independence.”</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We incorporate by reference the information responsive to this Item appearing in our Proxy Statement, including under the heading “Ratification of the Appointment of Independent Registered Public Accounting Firm — Audit and Non-Audit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29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178" w:lineRule="exact"/>
        <w:rPr>
          <w:sz w:val="20"/>
          <w:szCs w:val="20"/>
          <w:color w:val="auto"/>
        </w:rPr>
      </w:pPr>
    </w:p>
    <w:p>
      <w:pPr>
        <w:ind w:left="400" w:hanging="395"/>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1.  Consolidated Financial Statements.</w:t>
      </w:r>
    </w:p>
    <w:p>
      <w:pPr>
        <w:spacing w:after="0" w:line="172" w:lineRule="exact"/>
        <w:rPr>
          <w:sz w:val="20"/>
          <w:szCs w:val="20"/>
          <w:color w:val="auto"/>
        </w:rPr>
      </w:pPr>
    </w:p>
    <w:p>
      <w:pPr>
        <w:ind w:left="800"/>
        <w:spacing w:after="0" w:line="289" w:lineRule="auto"/>
        <w:rPr>
          <w:sz w:val="20"/>
          <w:szCs w:val="20"/>
          <w:color w:val="auto"/>
        </w:rPr>
      </w:pPr>
      <w:r>
        <w:rPr>
          <w:rFonts w:ascii="Arial" w:cs="Arial" w:eastAsia="Arial" w:hAnsi="Arial"/>
          <w:sz w:val="17"/>
          <w:szCs w:val="17"/>
          <w:color w:val="auto"/>
        </w:rPr>
        <w:t>The consolidated financial statements required to be filed in the Annual Report on Form 10-K are listed on page F-1 hereof. The required financial statements appear on pages F-5 through F-60 hereof.</w:t>
      </w:r>
    </w:p>
    <w:p>
      <w:pPr>
        <w:spacing w:after="0" w:line="106" w:lineRule="exact"/>
        <w:rPr>
          <w:sz w:val="20"/>
          <w:szCs w:val="20"/>
          <w:color w:val="auto"/>
        </w:rPr>
      </w:pPr>
    </w:p>
    <w:p>
      <w:pPr>
        <w:ind w:left="800" w:hanging="402"/>
        <w:spacing w:after="0"/>
        <w:tabs>
          <w:tab w:leader="none" w:pos="8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171" w:lineRule="exact"/>
        <w:rPr>
          <w:rFonts w:ascii="Arial" w:cs="Arial" w:eastAsia="Arial" w:hAnsi="Arial"/>
          <w:sz w:val="17"/>
          <w:szCs w:val="17"/>
          <w:color w:val="auto"/>
        </w:rPr>
      </w:pPr>
    </w:p>
    <w:p>
      <w:pPr>
        <w:ind w:left="800"/>
        <w:spacing w:after="0" w:line="289" w:lineRule="auto"/>
        <w:rPr>
          <w:rFonts w:ascii="Arial" w:cs="Arial" w:eastAsia="Arial" w:hAnsi="Arial"/>
          <w:sz w:val="17"/>
          <w:szCs w:val="17"/>
          <w:color w:val="auto"/>
        </w:rPr>
      </w:pPr>
      <w:r>
        <w:rPr>
          <w:rFonts w:ascii="Arial" w:cs="Arial" w:eastAsia="Arial" w:hAnsi="Arial"/>
          <w:sz w:val="17"/>
          <w:szCs w:val="17"/>
          <w:color w:val="auto"/>
        </w:rPr>
        <w:t>Financial statement schedules have been omitted since they are either not required, not material or the information is otherwise included in our consolidated financial statements or the notes to our consolidated financial statements.</w:t>
      </w:r>
    </w:p>
    <w:p>
      <w:pPr>
        <w:spacing w:after="0" w:line="106" w:lineRule="exact"/>
        <w:rPr>
          <w:rFonts w:ascii="Arial" w:cs="Arial" w:eastAsia="Arial" w:hAnsi="Arial"/>
          <w:sz w:val="17"/>
          <w:szCs w:val="17"/>
          <w:color w:val="auto"/>
        </w:rPr>
      </w:pPr>
    </w:p>
    <w:p>
      <w:pPr>
        <w:ind w:left="800" w:hanging="402"/>
        <w:spacing w:after="0"/>
        <w:tabs>
          <w:tab w:leader="none" w:pos="8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Exhibits.</w:t>
      </w:r>
    </w:p>
    <w:p>
      <w:pPr>
        <w:spacing w:after="0" w:line="171" w:lineRule="exact"/>
        <w:rPr>
          <w:rFonts w:ascii="Arial" w:cs="Arial" w:eastAsia="Arial" w:hAnsi="Arial"/>
          <w:sz w:val="17"/>
          <w:szCs w:val="17"/>
          <w:color w:val="auto"/>
        </w:rPr>
      </w:pPr>
    </w:p>
    <w:p>
      <w:pPr>
        <w:ind w:left="800"/>
        <w:spacing w:after="0" w:line="289" w:lineRule="auto"/>
        <w:rPr>
          <w:rFonts w:ascii="Arial" w:cs="Arial" w:eastAsia="Arial" w:hAnsi="Arial"/>
          <w:sz w:val="17"/>
          <w:szCs w:val="17"/>
          <w:color w:val="auto"/>
        </w:rPr>
      </w:pPr>
      <w:r>
        <w:rPr>
          <w:rFonts w:ascii="Arial" w:cs="Arial" w:eastAsia="Arial" w:hAnsi="Arial"/>
          <w:sz w:val="17"/>
          <w:szCs w:val="17"/>
          <w:color w:val="auto"/>
        </w:rPr>
        <w:t>The Exhibits filed as part of this Annual Report on Form 10-K are listed on the Exhibit Index immediately preceding such Exhibits, which Exhibit Index is incorporated in this Annual Report on Form 10-K by reference.</w:t>
      </w:r>
    </w:p>
    <w:p>
      <w:pPr>
        <w:spacing w:after="0" w:line="106" w:lineRule="exact"/>
        <w:rPr>
          <w:rFonts w:ascii="Arial" w:cs="Arial" w:eastAsia="Arial" w:hAnsi="Arial"/>
          <w:sz w:val="17"/>
          <w:szCs w:val="17"/>
          <w:color w:val="auto"/>
        </w:rPr>
      </w:pPr>
    </w:p>
    <w:p>
      <w:pPr>
        <w:ind w:left="400" w:hanging="395"/>
        <w:spacing w:after="0"/>
        <w:tabs>
          <w:tab w:leader="none" w:pos="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Exhibits. See Item 15(a)(3) above.</w:t>
      </w:r>
    </w:p>
    <w:p>
      <w:pPr>
        <w:spacing w:after="0" w:line="171" w:lineRule="exact"/>
        <w:rPr>
          <w:rFonts w:ascii="Arial" w:cs="Arial" w:eastAsia="Arial" w:hAnsi="Arial"/>
          <w:sz w:val="17"/>
          <w:szCs w:val="17"/>
          <w:color w:val="auto"/>
        </w:rPr>
      </w:pPr>
    </w:p>
    <w:p>
      <w:pPr>
        <w:ind w:left="400" w:hanging="395"/>
        <w:spacing w:after="0"/>
        <w:tabs>
          <w:tab w:leader="none" w:pos="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Financial Statement Schedules. See Item 15(a)(2)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55"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192" w:lineRule="exact"/>
        <w:rPr>
          <w:sz w:val="20"/>
          <w:szCs w:val="20"/>
          <w:color w:val="auto"/>
        </w:rPr>
      </w:pPr>
    </w:p>
    <w:p>
      <w:pPr>
        <w:ind w:left="880"/>
        <w:spacing w:after="0"/>
        <w:tabs>
          <w:tab w:leader="none" w:pos="5480" w:val="left"/>
        </w:tabs>
        <w:rPr>
          <w:sz w:val="20"/>
          <w:szCs w:val="20"/>
          <w:color w:val="auto"/>
        </w:rPr>
      </w:pPr>
      <w:r>
        <w:rPr>
          <w:rFonts w:ascii="Arial" w:cs="Arial" w:eastAsia="Arial" w:hAnsi="Arial"/>
          <w:sz w:val="17"/>
          <w:szCs w:val="17"/>
          <w:color w:val="auto"/>
        </w:rPr>
        <w:t>Date: February 24, 2022</w:t>
      </w:r>
      <w:r>
        <w:rPr>
          <w:sz w:val="20"/>
          <w:szCs w:val="20"/>
          <w:color w:val="auto"/>
        </w:rPr>
        <w:tab/>
      </w:r>
      <w:r>
        <w:rPr>
          <w:rFonts w:ascii="Arial" w:cs="Arial" w:eastAsia="Arial" w:hAnsi="Arial"/>
          <w:sz w:val="17"/>
          <w:szCs w:val="17"/>
          <w:b w:val="1"/>
          <w:bCs w:val="1"/>
          <w:color w:val="auto"/>
        </w:rPr>
        <w:t>EXLSERVICE HOLDINGS, INC.</w:t>
      </w:r>
    </w:p>
    <w:p>
      <w:pPr>
        <w:spacing w:after="0" w:line="279" w:lineRule="exact"/>
        <w:rPr>
          <w:sz w:val="20"/>
          <w:szCs w:val="20"/>
          <w:color w:val="auto"/>
        </w:rPr>
      </w:pPr>
    </w:p>
    <w:p>
      <w:pPr>
        <w:ind w:left="5500"/>
        <w:spacing w:after="0"/>
        <w:tabs>
          <w:tab w:leader="none" w:pos="67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27940</wp:posOffset>
            </wp:positionV>
            <wp:extent cx="32175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17545" cy="8255"/>
                    </a:xfrm>
                    <a:prstGeom prst="rect">
                      <a:avLst/>
                    </a:prstGeom>
                    <a:noFill/>
                  </pic:spPr>
                </pic:pic>
              </a:graphicData>
            </a:graphic>
          </wp:anchor>
        </w:drawing>
      </w:r>
    </w:p>
    <w:p>
      <w:pPr>
        <w:spacing w:after="0" w:line="13"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MAURIZIO NICOLELLI</w:t>
      </w:r>
    </w:p>
    <w:p>
      <w:pPr>
        <w:ind w:left="6300"/>
        <w:spacing w:after="0" w:line="195" w:lineRule="auto"/>
        <w:rPr>
          <w:sz w:val="20"/>
          <w:szCs w:val="20"/>
          <w:color w:val="auto"/>
        </w:rPr>
      </w:pPr>
      <w:r>
        <w:rPr>
          <w:rFonts w:ascii="Arial" w:cs="Arial" w:eastAsia="Arial" w:hAnsi="Arial"/>
          <w:sz w:val="14"/>
          <w:szCs w:val="14"/>
          <w:b w:val="1"/>
          <w:bCs w:val="1"/>
          <w:color w:val="auto"/>
        </w:rPr>
        <w:t>Chief Financial Officer</w:t>
      </w:r>
    </w:p>
    <w:p>
      <w:pPr>
        <w:ind w:left="6300"/>
        <w:spacing w:after="0"/>
        <w:rPr>
          <w:sz w:val="20"/>
          <w:szCs w:val="20"/>
          <w:color w:val="auto"/>
        </w:rPr>
      </w:pPr>
      <w:r>
        <w:rPr>
          <w:rFonts w:ascii="Arial" w:cs="Arial" w:eastAsia="Arial" w:hAnsi="Arial"/>
          <w:sz w:val="13"/>
          <w:szCs w:val="13"/>
          <w:b w:val="1"/>
          <w:bCs w:val="1"/>
          <w:color w:val="auto"/>
        </w:rPr>
        <w:t>(Duly Authorized Signatory, Principal Financial and Accounting Officer)</w:t>
      </w:r>
    </w:p>
    <w:p>
      <w:pPr>
        <w:spacing w:after="0" w:line="225" w:lineRule="exact"/>
        <w:rPr>
          <w:sz w:val="20"/>
          <w:szCs w:val="20"/>
          <w:color w:val="auto"/>
        </w:rPr>
      </w:pPr>
    </w:p>
    <w:p>
      <w:pPr>
        <w:ind w:right="10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900" w:type="dxa"/>
            <w:vAlign w:val="bottom"/>
          </w:tcPr>
          <w:p>
            <w:pPr>
              <w:spacing w:after="0"/>
              <w:rPr>
                <w:sz w:val="14"/>
                <w:szCs w:val="14"/>
                <w:color w:val="auto"/>
              </w:rPr>
            </w:pPr>
          </w:p>
        </w:tc>
        <w:tc>
          <w:tcPr>
            <w:tcW w:w="4320" w:type="dxa"/>
            <w:vAlign w:val="bottom"/>
            <w:gridSpan w:val="3"/>
          </w:tcPr>
          <w:p>
            <w:pPr>
              <w:ind w:left="2080"/>
              <w:spacing w:after="0"/>
              <w:rPr>
                <w:sz w:val="20"/>
                <w:szCs w:val="20"/>
                <w:color w:val="auto"/>
              </w:rPr>
            </w:pPr>
            <w:r>
              <w:rPr>
                <w:rFonts w:ascii="Arial" w:cs="Arial" w:eastAsia="Arial" w:hAnsi="Arial"/>
                <w:sz w:val="14"/>
                <w:szCs w:val="14"/>
                <w:b w:val="1"/>
                <w:bCs w:val="1"/>
                <w:color w:val="auto"/>
              </w:rPr>
              <w:t>Title</w:t>
            </w:r>
          </w:p>
        </w:tc>
        <w:tc>
          <w:tcPr>
            <w:tcW w:w="1740" w:type="dxa"/>
            <w:vAlign w:val="bottom"/>
            <w:gridSpan w:val="3"/>
          </w:tcPr>
          <w:p>
            <w:pPr>
              <w:ind w:left="13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4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w:t>
            </w:r>
          </w:p>
        </w:tc>
        <w:tc>
          <w:tcPr>
            <w:tcW w:w="100" w:type="dxa"/>
            <w:vAlign w:val="bottom"/>
          </w:tcPr>
          <w:p>
            <w:pPr>
              <w:spacing w:after="0"/>
              <w:rPr>
                <w:sz w:val="24"/>
                <w:szCs w:val="24"/>
                <w:color w:val="auto"/>
              </w:rPr>
            </w:pPr>
          </w:p>
        </w:tc>
        <w:tc>
          <w:tcPr>
            <w:tcW w:w="2640" w:type="dxa"/>
            <w:vAlign w:val="bottom"/>
            <w:gridSpan w:val="3"/>
          </w:tcPr>
          <w:p>
            <w:pPr>
              <w:jc w:val="center"/>
              <w:ind w:right="1420"/>
              <w:spacing w:after="0"/>
              <w:rPr>
                <w:sz w:val="20"/>
                <w:szCs w:val="20"/>
                <w:color w:val="auto"/>
              </w:rPr>
            </w:pPr>
            <w:r>
              <w:rPr>
                <w:rFonts w:ascii="Arial" w:cs="Arial" w:eastAsia="Arial" w:hAnsi="Arial"/>
                <w:sz w:val="17"/>
                <w:szCs w:val="17"/>
                <w:color w:val="auto"/>
              </w:rPr>
              <w:t>R</w:t>
            </w:r>
            <w:r>
              <w:rPr>
                <w:rFonts w:ascii="Arial" w:cs="Arial" w:eastAsia="Arial" w:hAnsi="Arial"/>
                <w:sz w:val="13"/>
                <w:szCs w:val="13"/>
                <w:color w:val="auto"/>
              </w:rPr>
              <w:t>OHIT</w:t>
            </w:r>
            <w:r>
              <w:rPr>
                <w:rFonts w:ascii="Arial" w:cs="Arial" w:eastAsia="Arial" w:hAnsi="Arial"/>
                <w:sz w:val="17"/>
                <w:szCs w:val="17"/>
                <w:color w:val="auto"/>
              </w:rPr>
              <w:t xml:space="preserve"> K</w:t>
            </w:r>
            <w:r>
              <w:rPr>
                <w:rFonts w:ascii="Arial" w:cs="Arial" w:eastAsia="Arial" w:hAnsi="Arial"/>
                <w:sz w:val="13"/>
                <w:szCs w:val="13"/>
                <w:color w:val="auto"/>
              </w:rPr>
              <w:t>APOOR</w:t>
            </w:r>
          </w:p>
        </w:tc>
        <w:tc>
          <w:tcPr>
            <w:tcW w:w="4320" w:type="dxa"/>
            <w:vAlign w:val="bottom"/>
            <w:gridSpan w:val="3"/>
          </w:tcPr>
          <w:p>
            <w:pPr>
              <w:ind w:left="120"/>
              <w:spacing w:after="0"/>
              <w:rPr>
                <w:sz w:val="20"/>
                <w:szCs w:val="20"/>
                <w:color w:val="auto"/>
              </w:rPr>
            </w:pPr>
            <w:r>
              <w:rPr>
                <w:rFonts w:ascii="Arial" w:cs="Arial" w:eastAsia="Arial" w:hAnsi="Arial"/>
                <w:sz w:val="17"/>
                <w:szCs w:val="17"/>
                <w:color w:val="auto"/>
              </w:rPr>
              <w:t>Chief Executive Officer, Vice-Chairman and Director</w:t>
            </w:r>
          </w:p>
        </w:tc>
        <w:tc>
          <w:tcPr>
            <w:tcW w:w="1740" w:type="dxa"/>
            <w:vAlign w:val="bottom"/>
            <w:gridSpan w:val="3"/>
          </w:tcPr>
          <w:p>
            <w:pPr>
              <w:ind w:left="460"/>
              <w:spacing w:after="0"/>
              <w:rPr>
                <w:sz w:val="20"/>
                <w:szCs w:val="20"/>
                <w:color w:val="auto"/>
              </w:rPr>
            </w:pPr>
            <w:r>
              <w:rPr>
                <w:rFonts w:ascii="Arial" w:cs="Arial" w:eastAsia="Arial" w:hAnsi="Arial"/>
                <w:sz w:val="17"/>
                <w:szCs w:val="17"/>
                <w:color w:val="auto"/>
                <w:w w:val="90"/>
              </w:rPr>
              <w:t>February 24, 2022</w:t>
            </w:r>
          </w:p>
        </w:tc>
        <w:tc>
          <w:tcPr>
            <w:tcW w:w="0" w:type="dxa"/>
            <w:vAlign w:val="bottom"/>
          </w:tcPr>
          <w:p>
            <w:pPr>
              <w:spacing w:after="0"/>
              <w:rPr>
                <w:sz w:val="1"/>
                <w:szCs w:val="1"/>
                <w:color w:val="auto"/>
              </w:rPr>
            </w:pPr>
          </w:p>
        </w:tc>
      </w:tr>
      <w:tr>
        <w:trPr>
          <w:trHeight w:val="52"/>
        </w:trPr>
        <w:tc>
          <w:tcPr>
            <w:tcW w:w="1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320" w:type="dxa"/>
            <w:vAlign w:val="bottom"/>
            <w:gridSpan w:val="3"/>
            <w:vMerge w:val="restart"/>
          </w:tcPr>
          <w:p>
            <w:pPr>
              <w:ind w:left="120"/>
              <w:spacing w:after="0"/>
              <w:rPr>
                <w:sz w:val="20"/>
                <w:szCs w:val="20"/>
                <w:color w:val="auto"/>
              </w:rPr>
            </w:pPr>
            <w:r>
              <w:rPr>
                <w:rFonts w:ascii="Arial" w:cs="Arial" w:eastAsia="Arial" w:hAnsi="Arial"/>
                <w:sz w:val="17"/>
                <w:szCs w:val="17"/>
                <w:color w:val="auto"/>
              </w:rPr>
              <w:t>(Principal Executive Officer)</w:t>
            </w:r>
          </w:p>
        </w:tc>
        <w:tc>
          <w:tcPr>
            <w:tcW w:w="1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2"/>
              </w:rPr>
              <w:t>Rohit Kapoor</w:t>
            </w:r>
          </w:p>
        </w:tc>
        <w:tc>
          <w:tcPr>
            <w:tcW w:w="4320" w:type="dxa"/>
            <w:vAlign w:val="bottom"/>
            <w:gridSpan w:val="3"/>
            <w:vMerge w:val="continue"/>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5"/>
        </w:trPr>
        <w:tc>
          <w:tcPr>
            <w:tcW w:w="1440" w:type="dxa"/>
            <w:vAlign w:val="bottom"/>
          </w:tcPr>
          <w:p>
            <w:pPr>
              <w:ind w:left="1240"/>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w:t>
            </w:r>
          </w:p>
        </w:tc>
        <w:tc>
          <w:tcPr>
            <w:tcW w:w="2940" w:type="dxa"/>
            <w:vAlign w:val="bottom"/>
            <w:gridSpan w:val="5"/>
          </w:tcPr>
          <w:p>
            <w:pPr>
              <w:jc w:val="center"/>
              <w:ind w:right="1100"/>
              <w:spacing w:after="0"/>
              <w:rPr>
                <w:sz w:val="20"/>
                <w:szCs w:val="20"/>
                <w:color w:val="auto"/>
              </w:rPr>
            </w:pPr>
            <w:r>
              <w:rPr>
                <w:rFonts w:ascii="Arial" w:cs="Arial" w:eastAsia="Arial" w:hAnsi="Arial"/>
                <w:sz w:val="17"/>
                <w:szCs w:val="17"/>
                <w:color w:val="auto"/>
              </w:rPr>
              <w:t>M</w:t>
            </w:r>
            <w:r>
              <w:rPr>
                <w:rFonts w:ascii="Arial" w:cs="Arial" w:eastAsia="Arial" w:hAnsi="Arial"/>
                <w:sz w:val="13"/>
                <w:szCs w:val="13"/>
                <w:color w:val="auto"/>
              </w:rPr>
              <w:t>AURIZIO</w:t>
            </w:r>
            <w:r>
              <w:rPr>
                <w:rFonts w:ascii="Arial" w:cs="Arial" w:eastAsia="Arial" w:hAnsi="Arial"/>
                <w:sz w:val="17"/>
                <w:szCs w:val="17"/>
                <w:color w:val="auto"/>
              </w:rPr>
              <w:t xml:space="preserve"> N</w:t>
            </w:r>
            <w:r>
              <w:rPr>
                <w:rFonts w:ascii="Arial" w:cs="Arial" w:eastAsia="Arial" w:hAnsi="Arial"/>
                <w:sz w:val="13"/>
                <w:szCs w:val="13"/>
                <w:color w:val="auto"/>
              </w:rPr>
              <w:t>ICOLELLI</w:t>
            </w:r>
          </w:p>
        </w:tc>
        <w:tc>
          <w:tcPr>
            <w:tcW w:w="4320" w:type="dxa"/>
            <w:vAlign w:val="bottom"/>
            <w:gridSpan w:val="3"/>
          </w:tcPr>
          <w:p>
            <w:pPr>
              <w:ind w:left="120"/>
              <w:spacing w:after="0"/>
              <w:rPr>
                <w:sz w:val="20"/>
                <w:szCs w:val="20"/>
                <w:color w:val="auto"/>
              </w:rPr>
            </w:pPr>
            <w:r>
              <w:rPr>
                <w:rFonts w:ascii="Arial" w:cs="Arial" w:eastAsia="Arial" w:hAnsi="Arial"/>
                <w:sz w:val="17"/>
                <w:szCs w:val="17"/>
                <w:color w:val="auto"/>
              </w:rPr>
              <w:t>Chief Financial Officer (Principal Financial and</w:t>
            </w:r>
          </w:p>
        </w:tc>
        <w:tc>
          <w:tcPr>
            <w:tcW w:w="1740" w:type="dxa"/>
            <w:vAlign w:val="bottom"/>
            <w:gridSpan w:val="3"/>
          </w:tcPr>
          <w:p>
            <w:pPr>
              <w:ind w:left="460"/>
              <w:spacing w:after="0"/>
              <w:rPr>
                <w:sz w:val="20"/>
                <w:szCs w:val="20"/>
                <w:color w:val="auto"/>
              </w:rPr>
            </w:pPr>
            <w:r>
              <w:rPr>
                <w:rFonts w:ascii="Arial" w:cs="Arial" w:eastAsia="Arial" w:hAnsi="Arial"/>
                <w:sz w:val="17"/>
                <w:szCs w:val="17"/>
                <w:color w:val="auto"/>
                <w:w w:val="90"/>
              </w:rPr>
              <w:t>February 24, 2022</w:t>
            </w:r>
          </w:p>
        </w:tc>
        <w:tc>
          <w:tcPr>
            <w:tcW w:w="0" w:type="dxa"/>
            <w:vAlign w:val="bottom"/>
          </w:tcPr>
          <w:p>
            <w:pPr>
              <w:spacing w:after="0"/>
              <w:rPr>
                <w:sz w:val="1"/>
                <w:szCs w:val="1"/>
                <w:color w:val="auto"/>
              </w:rPr>
            </w:pPr>
          </w:p>
        </w:tc>
      </w:tr>
      <w:tr>
        <w:trPr>
          <w:trHeight w:val="52"/>
        </w:trPr>
        <w:tc>
          <w:tcPr>
            <w:tcW w:w="1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320" w:type="dxa"/>
            <w:vAlign w:val="bottom"/>
            <w:gridSpan w:val="3"/>
            <w:vMerge w:val="restart"/>
          </w:tcPr>
          <w:p>
            <w:pPr>
              <w:ind w:left="120"/>
              <w:spacing w:after="0"/>
              <w:rPr>
                <w:sz w:val="20"/>
                <w:szCs w:val="20"/>
                <w:color w:val="auto"/>
              </w:rPr>
            </w:pPr>
            <w:r>
              <w:rPr>
                <w:rFonts w:ascii="Arial" w:cs="Arial" w:eastAsia="Arial" w:hAnsi="Arial"/>
                <w:sz w:val="17"/>
                <w:szCs w:val="17"/>
                <w:color w:val="auto"/>
              </w:rPr>
              <w:t>Accounting Officer)</w:t>
            </w:r>
          </w:p>
        </w:tc>
        <w:tc>
          <w:tcPr>
            <w:tcW w:w="1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w w:val="92"/>
              </w:rPr>
              <w:t>Maurizio Nicolelli</w:t>
            </w:r>
          </w:p>
        </w:tc>
        <w:tc>
          <w:tcPr>
            <w:tcW w:w="4320" w:type="dxa"/>
            <w:vAlign w:val="bottom"/>
            <w:gridSpan w:val="3"/>
            <w:vMerge w:val="continue"/>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7"/>
        </w:trPr>
        <w:tc>
          <w:tcPr>
            <w:tcW w:w="1640" w:type="dxa"/>
            <w:vAlign w:val="bottom"/>
            <w:tcBorders>
              <w:bottom w:val="single" w:sz="8" w:color="auto"/>
            </w:tcBorders>
            <w:gridSpan w:val="2"/>
          </w:tcPr>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740" w:type="dxa"/>
            <w:vAlign w:val="bottom"/>
            <w:tcBorders>
              <w:bottom w:val="single" w:sz="8" w:color="auto"/>
            </w:tcBorders>
            <w:gridSpan w:val="4"/>
          </w:tcPr>
          <w:p>
            <w:pPr>
              <w:jc w:val="center"/>
              <w:ind w:right="1300"/>
              <w:spacing w:after="0"/>
              <w:rPr>
                <w:sz w:val="20"/>
                <w:szCs w:val="20"/>
                <w:color w:val="auto"/>
              </w:rPr>
            </w:pPr>
            <w:r>
              <w:rPr>
                <w:rFonts w:ascii="Arial" w:cs="Arial" w:eastAsia="Arial" w:hAnsi="Arial"/>
                <w:sz w:val="17"/>
                <w:szCs w:val="17"/>
                <w:color w:val="auto"/>
              </w:rPr>
              <w:t>V</w:t>
            </w:r>
            <w:r>
              <w:rPr>
                <w:rFonts w:ascii="Arial" w:cs="Arial" w:eastAsia="Arial" w:hAnsi="Arial"/>
                <w:sz w:val="13"/>
                <w:szCs w:val="13"/>
                <w:color w:val="auto"/>
              </w:rPr>
              <w:t>IKRAM</w:t>
            </w:r>
            <w:r>
              <w:rPr>
                <w:rFonts w:ascii="Arial" w:cs="Arial" w:eastAsia="Arial" w:hAnsi="Arial"/>
                <w:sz w:val="17"/>
                <w:szCs w:val="17"/>
                <w:color w:val="auto"/>
              </w:rPr>
              <w:t xml:space="preserve"> S. P</w:t>
            </w:r>
            <w:r>
              <w:rPr>
                <w:rFonts w:ascii="Arial" w:cs="Arial" w:eastAsia="Arial" w:hAnsi="Arial"/>
                <w:sz w:val="13"/>
                <w:szCs w:val="13"/>
                <w:color w:val="auto"/>
              </w:rPr>
              <w:t>ANDIT</w:t>
            </w:r>
          </w:p>
        </w:tc>
        <w:tc>
          <w:tcPr>
            <w:tcW w:w="4320" w:type="dxa"/>
            <w:vAlign w:val="bottom"/>
            <w:gridSpan w:val="3"/>
          </w:tcPr>
          <w:p>
            <w:pPr>
              <w:ind w:left="120"/>
              <w:spacing w:after="0"/>
              <w:rPr>
                <w:sz w:val="20"/>
                <w:szCs w:val="20"/>
                <w:color w:val="auto"/>
              </w:rPr>
            </w:pPr>
            <w:r>
              <w:rPr>
                <w:rFonts w:ascii="Arial" w:cs="Arial" w:eastAsia="Arial" w:hAnsi="Arial"/>
                <w:sz w:val="17"/>
                <w:szCs w:val="17"/>
                <w:color w:val="auto"/>
              </w:rPr>
              <w:t>Chairman of the Board</w:t>
            </w:r>
          </w:p>
        </w:tc>
        <w:tc>
          <w:tcPr>
            <w:tcW w:w="1740" w:type="dxa"/>
            <w:vAlign w:val="bottom"/>
            <w:gridSpan w:val="3"/>
          </w:tcPr>
          <w:p>
            <w:pPr>
              <w:ind w:left="460"/>
              <w:spacing w:after="0"/>
              <w:rPr>
                <w:sz w:val="20"/>
                <w:szCs w:val="20"/>
                <w:color w:val="auto"/>
              </w:rPr>
            </w:pPr>
            <w:r>
              <w:rPr>
                <w:rFonts w:ascii="Arial" w:cs="Arial" w:eastAsia="Arial" w:hAnsi="Arial"/>
                <w:sz w:val="17"/>
                <w:szCs w:val="17"/>
                <w:color w:val="auto"/>
                <w:w w:val="90"/>
              </w:rPr>
              <w:t>February 24, 2022</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4"/>
          </w:tcPr>
          <w:p>
            <w:pPr>
              <w:jc w:val="center"/>
              <w:ind w:right="1660"/>
              <w:spacing w:after="0"/>
              <w:rPr>
                <w:sz w:val="20"/>
                <w:szCs w:val="20"/>
                <w:color w:val="auto"/>
              </w:rPr>
            </w:pPr>
            <w:r>
              <w:rPr>
                <w:rFonts w:ascii="Arial" w:cs="Arial" w:eastAsia="Arial" w:hAnsi="Arial"/>
                <w:sz w:val="14"/>
                <w:szCs w:val="14"/>
                <w:b w:val="1"/>
                <w:bCs w:val="1"/>
                <w:color w:val="auto"/>
                <w:w w:val="94"/>
              </w:rPr>
              <w:t>Vikram S. Pandit</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7"/>
        </w:trPr>
        <w:tc>
          <w:tcPr>
            <w:tcW w:w="1640" w:type="dxa"/>
            <w:vAlign w:val="bottom"/>
            <w:tcBorders>
              <w:bottom w:val="single" w:sz="8" w:color="auto"/>
            </w:tcBorders>
            <w:gridSpan w:val="2"/>
          </w:tcPr>
          <w:p>
            <w:pPr>
              <w:ind w:left="13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740" w:type="dxa"/>
            <w:vAlign w:val="bottom"/>
            <w:tcBorders>
              <w:bottom w:val="single" w:sz="8" w:color="auto"/>
            </w:tcBorders>
            <w:gridSpan w:val="4"/>
          </w:tcPr>
          <w:p>
            <w:pPr>
              <w:jc w:val="center"/>
              <w:ind w:right="1300"/>
              <w:spacing w:after="0"/>
              <w:rPr>
                <w:sz w:val="20"/>
                <w:szCs w:val="20"/>
                <w:color w:val="auto"/>
              </w:rPr>
            </w:pPr>
            <w:r>
              <w:rPr>
                <w:rFonts w:ascii="Arial" w:cs="Arial" w:eastAsia="Arial" w:hAnsi="Arial"/>
                <w:sz w:val="17"/>
                <w:szCs w:val="17"/>
                <w:color w:val="auto"/>
              </w:rPr>
              <w:t>G</w:t>
            </w:r>
            <w:r>
              <w:rPr>
                <w:rFonts w:ascii="Arial" w:cs="Arial" w:eastAsia="Arial" w:hAnsi="Arial"/>
                <w:sz w:val="13"/>
                <w:szCs w:val="13"/>
                <w:color w:val="auto"/>
              </w:rPr>
              <w:t>AREN</w:t>
            </w:r>
            <w:r>
              <w:rPr>
                <w:rFonts w:ascii="Arial" w:cs="Arial" w:eastAsia="Arial" w:hAnsi="Arial"/>
                <w:sz w:val="17"/>
                <w:szCs w:val="17"/>
                <w:color w:val="auto"/>
              </w:rPr>
              <w:t xml:space="preserve"> K. S</w:t>
            </w:r>
            <w:r>
              <w:rPr>
                <w:rFonts w:ascii="Arial" w:cs="Arial" w:eastAsia="Arial" w:hAnsi="Arial"/>
                <w:sz w:val="13"/>
                <w:szCs w:val="13"/>
                <w:color w:val="auto"/>
              </w:rPr>
              <w:t>TAGLIN</w:t>
            </w:r>
          </w:p>
        </w:tc>
        <w:tc>
          <w:tcPr>
            <w:tcW w:w="43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740" w:type="dxa"/>
            <w:vAlign w:val="bottom"/>
            <w:gridSpan w:val="3"/>
          </w:tcPr>
          <w:p>
            <w:pPr>
              <w:ind w:left="460"/>
              <w:spacing w:after="0"/>
              <w:rPr>
                <w:sz w:val="20"/>
                <w:szCs w:val="20"/>
                <w:color w:val="auto"/>
              </w:rPr>
            </w:pPr>
            <w:r>
              <w:rPr>
                <w:rFonts w:ascii="Arial" w:cs="Arial" w:eastAsia="Arial" w:hAnsi="Arial"/>
                <w:sz w:val="17"/>
                <w:szCs w:val="17"/>
                <w:color w:val="auto"/>
                <w:w w:val="90"/>
              </w:rPr>
              <w:t>February 24, 2022</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w w:val="93"/>
              </w:rPr>
              <w:t>Garen K. Staglin</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7"/>
        </w:trPr>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8"/>
              </w:rPr>
              <w:t>/</w:t>
            </w:r>
            <w:r>
              <w:rPr>
                <w:rFonts w:ascii="Arial" w:cs="Arial" w:eastAsia="Arial" w:hAnsi="Arial"/>
                <w:sz w:val="13"/>
                <w:szCs w:val="13"/>
                <w:color w:val="auto"/>
                <w:w w:val="88"/>
              </w:rPr>
              <w:t>S</w:t>
            </w:r>
            <w:r>
              <w:rPr>
                <w:rFonts w:ascii="Arial" w:cs="Arial" w:eastAsia="Arial" w:hAnsi="Arial"/>
                <w:sz w:val="17"/>
                <w:szCs w:val="17"/>
                <w:color w:val="auto"/>
                <w:w w:val="88"/>
              </w:rPr>
              <w:t>/</w:t>
            </w: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7"/>
                <w:szCs w:val="17"/>
                <w:color w:val="auto"/>
              </w:rPr>
              <w:t>A</w:t>
            </w:r>
            <w:r>
              <w:rPr>
                <w:rFonts w:ascii="Arial" w:cs="Arial" w:eastAsia="Arial" w:hAnsi="Arial"/>
                <w:sz w:val="13"/>
                <w:szCs w:val="13"/>
                <w:color w:val="auto"/>
              </w:rPr>
              <w:t>NNE E.</w:t>
            </w:r>
            <w:r>
              <w:rPr>
                <w:rFonts w:ascii="Arial" w:cs="Arial" w:eastAsia="Arial" w:hAnsi="Arial"/>
                <w:sz w:val="17"/>
                <w:szCs w:val="17"/>
                <w:color w:val="auto"/>
              </w:rPr>
              <w:t xml:space="preserve"> M</w:t>
            </w:r>
            <w:r>
              <w:rPr>
                <w:rFonts w:ascii="Arial" w:cs="Arial" w:eastAsia="Arial" w:hAnsi="Arial"/>
                <w:sz w:val="13"/>
                <w:szCs w:val="13"/>
                <w:color w:val="auto"/>
              </w:rPr>
              <w:t>INTO</w:t>
            </w:r>
          </w:p>
        </w:tc>
        <w:tc>
          <w:tcPr>
            <w:tcW w:w="43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740" w:type="dxa"/>
            <w:vAlign w:val="bottom"/>
            <w:gridSpan w:val="3"/>
          </w:tcPr>
          <w:p>
            <w:pPr>
              <w:ind w:left="460"/>
              <w:spacing w:after="0"/>
              <w:rPr>
                <w:sz w:val="20"/>
                <w:szCs w:val="20"/>
                <w:color w:val="auto"/>
              </w:rPr>
            </w:pPr>
            <w:r>
              <w:rPr>
                <w:rFonts w:ascii="Arial" w:cs="Arial" w:eastAsia="Arial" w:hAnsi="Arial"/>
                <w:sz w:val="17"/>
                <w:szCs w:val="17"/>
                <w:color w:val="auto"/>
                <w:w w:val="90"/>
              </w:rPr>
              <w:t>February 24, 2022</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4"/>
              </w:rPr>
              <w:t>Anne E. Minto</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7"/>
        </w:trPr>
        <w:tc>
          <w:tcPr>
            <w:tcW w:w="1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w w:val="88"/>
              </w:rPr>
              <w:t>/</w:t>
            </w:r>
            <w:r>
              <w:rPr>
                <w:rFonts w:ascii="Arial" w:cs="Arial" w:eastAsia="Arial" w:hAnsi="Arial"/>
                <w:sz w:val="13"/>
                <w:szCs w:val="13"/>
                <w:color w:val="auto"/>
                <w:w w:val="88"/>
              </w:rPr>
              <w:t>S</w:t>
            </w:r>
            <w:r>
              <w:rPr>
                <w:rFonts w:ascii="Arial" w:cs="Arial" w:eastAsia="Arial" w:hAnsi="Arial"/>
                <w:sz w:val="17"/>
                <w:szCs w:val="17"/>
                <w:color w:val="auto"/>
                <w:w w:val="88"/>
              </w:rPr>
              <w:t>/</w:t>
            </w: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center"/>
              <w:ind w:right="1560"/>
              <w:spacing w:after="0"/>
              <w:rPr>
                <w:sz w:val="20"/>
                <w:szCs w:val="20"/>
                <w:color w:val="auto"/>
              </w:rPr>
            </w:pPr>
            <w:r>
              <w:rPr>
                <w:rFonts w:ascii="Arial" w:cs="Arial" w:eastAsia="Arial" w:hAnsi="Arial"/>
                <w:sz w:val="17"/>
                <w:szCs w:val="17"/>
                <w:color w:val="auto"/>
              </w:rPr>
              <w:t>S</w:t>
            </w:r>
            <w:r>
              <w:rPr>
                <w:rFonts w:ascii="Arial" w:cs="Arial" w:eastAsia="Arial" w:hAnsi="Arial"/>
                <w:sz w:val="13"/>
                <w:szCs w:val="13"/>
                <w:color w:val="auto"/>
              </w:rPr>
              <w:t>OM</w:t>
            </w:r>
            <w:r>
              <w:rPr>
                <w:rFonts w:ascii="Arial" w:cs="Arial" w:eastAsia="Arial" w:hAnsi="Arial"/>
                <w:sz w:val="17"/>
                <w:szCs w:val="17"/>
                <w:color w:val="auto"/>
              </w:rPr>
              <w:t xml:space="preserve"> M</w:t>
            </w:r>
            <w:r>
              <w:rPr>
                <w:rFonts w:ascii="Arial" w:cs="Arial" w:eastAsia="Arial" w:hAnsi="Arial"/>
                <w:sz w:val="13"/>
                <w:szCs w:val="13"/>
                <w:color w:val="auto"/>
              </w:rPr>
              <w:t>ITTAL</w:t>
            </w:r>
          </w:p>
        </w:tc>
        <w:tc>
          <w:tcPr>
            <w:tcW w:w="43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740" w:type="dxa"/>
            <w:vAlign w:val="bottom"/>
            <w:gridSpan w:val="3"/>
          </w:tcPr>
          <w:p>
            <w:pPr>
              <w:ind w:left="460"/>
              <w:spacing w:after="0"/>
              <w:rPr>
                <w:sz w:val="20"/>
                <w:szCs w:val="20"/>
                <w:color w:val="auto"/>
              </w:rPr>
            </w:pPr>
            <w:r>
              <w:rPr>
                <w:rFonts w:ascii="Arial" w:cs="Arial" w:eastAsia="Arial" w:hAnsi="Arial"/>
                <w:sz w:val="17"/>
                <w:szCs w:val="17"/>
                <w:color w:val="auto"/>
                <w:w w:val="90"/>
              </w:rPr>
              <w:t>February 24, 2022</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3"/>
              </w:rPr>
              <w:t>Som Mittal</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7"/>
        </w:trPr>
        <w:tc>
          <w:tcPr>
            <w:tcW w:w="1640" w:type="dxa"/>
            <w:vAlign w:val="bottom"/>
            <w:tcBorders>
              <w:bottom w:val="single" w:sz="8" w:color="auto"/>
            </w:tcBorders>
            <w:gridSpan w:val="2"/>
          </w:tcPr>
          <w:p>
            <w:pPr>
              <w:ind w:left="136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740" w:type="dxa"/>
            <w:vAlign w:val="bottom"/>
            <w:tcBorders>
              <w:bottom w:val="single" w:sz="8" w:color="auto"/>
            </w:tcBorders>
            <w:gridSpan w:val="4"/>
          </w:tcPr>
          <w:p>
            <w:pPr>
              <w:jc w:val="center"/>
              <w:ind w:right="1280"/>
              <w:spacing w:after="0"/>
              <w:rPr>
                <w:sz w:val="20"/>
                <w:szCs w:val="20"/>
                <w:color w:val="auto"/>
              </w:rPr>
            </w:pPr>
            <w:r>
              <w:rPr>
                <w:rFonts w:ascii="Arial" w:cs="Arial" w:eastAsia="Arial" w:hAnsi="Arial"/>
                <w:sz w:val="17"/>
                <w:szCs w:val="17"/>
                <w:color w:val="auto"/>
                <w:w w:val="98"/>
              </w:rPr>
              <w:t>C</w:t>
            </w:r>
            <w:r>
              <w:rPr>
                <w:rFonts w:ascii="Arial" w:cs="Arial" w:eastAsia="Arial" w:hAnsi="Arial"/>
                <w:sz w:val="13"/>
                <w:szCs w:val="13"/>
                <w:color w:val="auto"/>
                <w:w w:val="98"/>
              </w:rPr>
              <w:t>LYDE</w:t>
            </w:r>
            <w:r>
              <w:rPr>
                <w:rFonts w:ascii="Arial" w:cs="Arial" w:eastAsia="Arial" w:hAnsi="Arial"/>
                <w:sz w:val="17"/>
                <w:szCs w:val="17"/>
                <w:color w:val="auto"/>
                <w:w w:val="98"/>
              </w:rPr>
              <w:t xml:space="preserve"> W. O</w:t>
            </w:r>
            <w:r>
              <w:rPr>
                <w:rFonts w:ascii="Arial" w:cs="Arial" w:eastAsia="Arial" w:hAnsi="Arial"/>
                <w:sz w:val="13"/>
                <w:szCs w:val="13"/>
                <w:color w:val="auto"/>
                <w:w w:val="98"/>
              </w:rPr>
              <w:t>STLER</w:t>
            </w:r>
          </w:p>
        </w:tc>
        <w:tc>
          <w:tcPr>
            <w:tcW w:w="43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740" w:type="dxa"/>
            <w:vAlign w:val="bottom"/>
            <w:gridSpan w:val="3"/>
          </w:tcPr>
          <w:p>
            <w:pPr>
              <w:ind w:left="460"/>
              <w:spacing w:after="0"/>
              <w:rPr>
                <w:sz w:val="20"/>
                <w:szCs w:val="20"/>
                <w:color w:val="auto"/>
              </w:rPr>
            </w:pPr>
            <w:r>
              <w:rPr>
                <w:rFonts w:ascii="Arial" w:cs="Arial" w:eastAsia="Arial" w:hAnsi="Arial"/>
                <w:sz w:val="17"/>
                <w:szCs w:val="17"/>
                <w:color w:val="auto"/>
                <w:w w:val="90"/>
              </w:rPr>
              <w:t>February 24, 2022</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w w:val="90"/>
              </w:rPr>
              <w:t>Clyde W. Ostler</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7"/>
        </w:trPr>
        <w:tc>
          <w:tcPr>
            <w:tcW w:w="1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w:t>
            </w:r>
          </w:p>
        </w:tc>
        <w:tc>
          <w:tcPr>
            <w:tcW w:w="264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7"/>
                <w:szCs w:val="17"/>
                <w:color w:val="auto"/>
              </w:rPr>
              <w:t>K</w:t>
            </w:r>
            <w:r>
              <w:rPr>
                <w:rFonts w:ascii="Arial" w:cs="Arial" w:eastAsia="Arial" w:hAnsi="Arial"/>
                <w:sz w:val="13"/>
                <w:szCs w:val="13"/>
                <w:color w:val="auto"/>
              </w:rPr>
              <w:t>RISTY</w:t>
            </w:r>
            <w:r>
              <w:rPr>
                <w:rFonts w:ascii="Arial" w:cs="Arial" w:eastAsia="Arial" w:hAnsi="Arial"/>
                <w:sz w:val="17"/>
                <w:szCs w:val="17"/>
                <w:color w:val="auto"/>
              </w:rPr>
              <w:t xml:space="preserve"> P</w:t>
            </w:r>
            <w:r>
              <w:rPr>
                <w:rFonts w:ascii="Arial" w:cs="Arial" w:eastAsia="Arial" w:hAnsi="Arial"/>
                <w:sz w:val="13"/>
                <w:szCs w:val="13"/>
                <w:color w:val="auto"/>
              </w:rPr>
              <w:t>IPES</w:t>
            </w:r>
          </w:p>
        </w:tc>
        <w:tc>
          <w:tcPr>
            <w:tcW w:w="43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740" w:type="dxa"/>
            <w:vAlign w:val="bottom"/>
            <w:gridSpan w:val="3"/>
          </w:tcPr>
          <w:p>
            <w:pPr>
              <w:ind w:left="460"/>
              <w:spacing w:after="0"/>
              <w:rPr>
                <w:sz w:val="20"/>
                <w:szCs w:val="20"/>
                <w:color w:val="auto"/>
              </w:rPr>
            </w:pPr>
            <w:r>
              <w:rPr>
                <w:rFonts w:ascii="Arial" w:cs="Arial" w:eastAsia="Arial" w:hAnsi="Arial"/>
                <w:sz w:val="17"/>
                <w:szCs w:val="17"/>
                <w:color w:val="auto"/>
                <w:w w:val="90"/>
              </w:rPr>
              <w:t>February 24, 2022</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Kristy Pipes</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7"/>
        </w:trPr>
        <w:tc>
          <w:tcPr>
            <w:tcW w:w="1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/S/</w:t>
            </w:r>
          </w:p>
        </w:tc>
        <w:tc>
          <w:tcPr>
            <w:tcW w:w="264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7"/>
                <w:szCs w:val="17"/>
                <w:color w:val="auto"/>
              </w:rPr>
              <w:t>N</w:t>
            </w:r>
            <w:r>
              <w:rPr>
                <w:rFonts w:ascii="Arial" w:cs="Arial" w:eastAsia="Arial" w:hAnsi="Arial"/>
                <w:sz w:val="13"/>
                <w:szCs w:val="13"/>
                <w:color w:val="auto"/>
              </w:rPr>
              <w:t>ITIN</w:t>
            </w:r>
            <w:r>
              <w:rPr>
                <w:rFonts w:ascii="Arial" w:cs="Arial" w:eastAsia="Arial" w:hAnsi="Arial"/>
                <w:sz w:val="17"/>
                <w:szCs w:val="17"/>
                <w:color w:val="auto"/>
              </w:rPr>
              <w:t xml:space="preserve"> S</w:t>
            </w:r>
            <w:r>
              <w:rPr>
                <w:rFonts w:ascii="Arial" w:cs="Arial" w:eastAsia="Arial" w:hAnsi="Arial"/>
                <w:sz w:val="13"/>
                <w:szCs w:val="13"/>
                <w:color w:val="auto"/>
              </w:rPr>
              <w:t>AHNEY</w:t>
            </w:r>
          </w:p>
        </w:tc>
        <w:tc>
          <w:tcPr>
            <w:tcW w:w="43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740" w:type="dxa"/>
            <w:vAlign w:val="bottom"/>
            <w:gridSpan w:val="3"/>
          </w:tcPr>
          <w:p>
            <w:pPr>
              <w:ind w:left="460"/>
              <w:spacing w:after="0"/>
              <w:rPr>
                <w:sz w:val="20"/>
                <w:szCs w:val="20"/>
                <w:color w:val="auto"/>
              </w:rPr>
            </w:pPr>
            <w:r>
              <w:rPr>
                <w:rFonts w:ascii="Arial" w:cs="Arial" w:eastAsia="Arial" w:hAnsi="Arial"/>
                <w:sz w:val="17"/>
                <w:szCs w:val="17"/>
                <w:color w:val="auto"/>
                <w:w w:val="90"/>
              </w:rPr>
              <w:t>February 24, 2022</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Nitin Sahney</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7"/>
        </w:trPr>
        <w:tc>
          <w:tcPr>
            <w:tcW w:w="1440" w:type="dxa"/>
            <w:vAlign w:val="bottom"/>
            <w:tcBorders>
              <w:bottom w:val="single" w:sz="8" w:color="auto"/>
            </w:tcBorders>
          </w:tcPr>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2940" w:type="dxa"/>
            <w:vAlign w:val="bottom"/>
            <w:tcBorders>
              <w:bottom w:val="single" w:sz="8" w:color="auto"/>
            </w:tcBorders>
            <w:gridSpan w:val="5"/>
          </w:tcPr>
          <w:p>
            <w:pPr>
              <w:jc w:val="center"/>
              <w:ind w:right="1100"/>
              <w:spacing w:after="0"/>
              <w:rPr>
                <w:sz w:val="20"/>
                <w:szCs w:val="20"/>
                <w:color w:val="auto"/>
              </w:rPr>
            </w:pPr>
            <w:r>
              <w:rPr>
                <w:rFonts w:ascii="Arial" w:cs="Arial" w:eastAsia="Arial" w:hAnsi="Arial"/>
                <w:sz w:val="17"/>
                <w:szCs w:val="17"/>
                <w:color w:val="auto"/>
              </w:rPr>
              <w:t>J</w:t>
            </w:r>
            <w:r>
              <w:rPr>
                <w:rFonts w:ascii="Arial" w:cs="Arial" w:eastAsia="Arial" w:hAnsi="Arial"/>
                <w:sz w:val="13"/>
                <w:szCs w:val="13"/>
                <w:color w:val="auto"/>
              </w:rPr>
              <w:t>AYNIE</w:t>
            </w:r>
            <w:r>
              <w:rPr>
                <w:rFonts w:ascii="Arial" w:cs="Arial" w:eastAsia="Arial" w:hAnsi="Arial"/>
                <w:sz w:val="17"/>
                <w:szCs w:val="17"/>
                <w:color w:val="auto"/>
              </w:rPr>
              <w:t xml:space="preserve"> M. S</w:t>
            </w:r>
            <w:r>
              <w:rPr>
                <w:rFonts w:ascii="Arial" w:cs="Arial" w:eastAsia="Arial" w:hAnsi="Arial"/>
                <w:sz w:val="13"/>
                <w:szCs w:val="13"/>
                <w:color w:val="auto"/>
              </w:rPr>
              <w:t>TUDENMUND</w:t>
            </w:r>
          </w:p>
        </w:tc>
        <w:tc>
          <w:tcPr>
            <w:tcW w:w="4320" w:type="dxa"/>
            <w:vAlign w:val="bottom"/>
            <w:gridSpan w:val="3"/>
          </w:tcPr>
          <w:p>
            <w:pPr>
              <w:ind w:left="120"/>
              <w:spacing w:after="0"/>
              <w:rPr>
                <w:sz w:val="20"/>
                <w:szCs w:val="20"/>
                <w:color w:val="auto"/>
              </w:rPr>
            </w:pPr>
            <w:r>
              <w:rPr>
                <w:rFonts w:ascii="Arial" w:cs="Arial" w:eastAsia="Arial" w:hAnsi="Arial"/>
                <w:sz w:val="17"/>
                <w:szCs w:val="17"/>
                <w:color w:val="auto"/>
              </w:rPr>
              <w:t>Director</w:t>
            </w:r>
          </w:p>
        </w:tc>
        <w:tc>
          <w:tcPr>
            <w:tcW w:w="1740" w:type="dxa"/>
            <w:vAlign w:val="bottom"/>
            <w:gridSpan w:val="3"/>
          </w:tcPr>
          <w:p>
            <w:pPr>
              <w:ind w:left="460"/>
              <w:spacing w:after="0"/>
              <w:rPr>
                <w:sz w:val="20"/>
                <w:szCs w:val="20"/>
                <w:color w:val="auto"/>
              </w:rPr>
            </w:pPr>
            <w:r>
              <w:rPr>
                <w:rFonts w:ascii="Arial" w:cs="Arial" w:eastAsia="Arial" w:hAnsi="Arial"/>
                <w:sz w:val="17"/>
                <w:szCs w:val="17"/>
                <w:color w:val="auto"/>
                <w:w w:val="90"/>
              </w:rPr>
              <w:t>February 24, 2022</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940" w:type="dxa"/>
            <w:vAlign w:val="bottom"/>
            <w:gridSpan w:val="5"/>
          </w:tcPr>
          <w:p>
            <w:pPr>
              <w:jc w:val="center"/>
              <w:ind w:right="1440"/>
              <w:spacing w:after="0"/>
              <w:rPr>
                <w:sz w:val="20"/>
                <w:szCs w:val="20"/>
                <w:color w:val="auto"/>
              </w:rPr>
            </w:pPr>
            <w:r>
              <w:rPr>
                <w:rFonts w:ascii="Arial" w:cs="Arial" w:eastAsia="Arial" w:hAnsi="Arial"/>
                <w:sz w:val="14"/>
                <w:szCs w:val="14"/>
                <w:b w:val="1"/>
                <w:bCs w:val="1"/>
                <w:color w:val="auto"/>
                <w:w w:val="90"/>
              </w:rPr>
              <w:t>Jaynie M. Studenmund</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00"/>
          </w:cols>
          <w:pgMar w:left="320" w:top="357" w:right="779" w:bottom="1440" w:gutter="0" w:footer="0" w:header="0"/>
        </w:sectPr>
      </w:pPr>
    </w:p>
    <w:bookmarkStart w:id="66" w:name="page67"/>
    <w:bookmarkEnd w:id="6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55"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340" w:type="dxa"/>
            <w:vAlign w:val="bottom"/>
            <w:gridSpan w:val="11"/>
          </w:tcPr>
          <w:p>
            <w:pPr>
              <w:ind w:left="740"/>
              <w:spacing w:after="0"/>
              <w:rPr>
                <w:sz w:val="20"/>
                <w:szCs w:val="20"/>
                <w:color w:val="auto"/>
              </w:rPr>
            </w:pPr>
            <w:r>
              <w:rPr>
                <w:rFonts w:ascii="Arial" w:cs="Arial" w:eastAsia="Arial" w:hAnsi="Arial"/>
                <w:sz w:val="17"/>
                <w:szCs w:val="17"/>
                <w:b w:val="1"/>
                <w:bCs w:val="1"/>
                <w:color w:val="auto"/>
              </w:rPr>
              <w:t>INDEX TO EXHIBITS</w:t>
            </w:r>
          </w:p>
        </w:tc>
        <w:tc>
          <w:tcPr>
            <w:tcW w:w="0" w:type="dxa"/>
            <w:vAlign w:val="bottom"/>
          </w:tcPr>
          <w:p>
            <w:pPr>
              <w:spacing w:after="0"/>
              <w:rPr>
                <w:sz w:val="1"/>
                <w:szCs w:val="1"/>
                <w:color w:val="auto"/>
              </w:rPr>
            </w:pPr>
          </w:p>
        </w:tc>
      </w:tr>
      <w:tr>
        <w:trPr>
          <w:trHeight w:val="420"/>
        </w:trPr>
        <w:tc>
          <w:tcPr>
            <w:tcW w:w="10920" w:type="dxa"/>
            <w:vAlign w:val="bottom"/>
            <w:gridSpan w:val="17"/>
          </w:tcPr>
          <w:p>
            <w:pPr>
              <w:spacing w:after="0"/>
              <w:rPr>
                <w:sz w:val="20"/>
                <w:szCs w:val="20"/>
                <w:color w:val="auto"/>
              </w:rPr>
            </w:pPr>
            <w:r>
              <w:rPr>
                <w:rFonts w:ascii="Arial" w:cs="Arial" w:eastAsia="Arial" w:hAnsi="Arial"/>
                <w:sz w:val="17"/>
                <w:szCs w:val="17"/>
                <w:color w:val="auto"/>
              </w:rPr>
              <w:t>The following exhibits are being filed as part of this report or incorporated by reference as indicated therein:</w:t>
            </w:r>
          </w:p>
        </w:tc>
        <w:tc>
          <w:tcPr>
            <w:tcW w:w="0" w:type="dxa"/>
            <w:vAlign w:val="bottom"/>
          </w:tcPr>
          <w:p>
            <w:pPr>
              <w:spacing w:after="0"/>
              <w:rPr>
                <w:sz w:val="1"/>
                <w:szCs w:val="1"/>
                <w:color w:val="auto"/>
              </w:rPr>
            </w:pPr>
          </w:p>
        </w:tc>
      </w:tr>
      <w:tr>
        <w:trPr>
          <w:trHeight w:val="420"/>
        </w:trPr>
        <w:tc>
          <w:tcPr>
            <w:tcW w:w="1080" w:type="dxa"/>
            <w:vAlign w:val="bottom"/>
          </w:tcPr>
          <w:p>
            <w:pPr>
              <w:ind w:left="440"/>
              <w:spacing w:after="0"/>
              <w:rPr>
                <w:sz w:val="20"/>
                <w:szCs w:val="20"/>
                <w:color w:val="auto"/>
              </w:rPr>
            </w:pPr>
            <w:r>
              <w:rPr>
                <w:rFonts w:ascii="Arial" w:cs="Arial" w:eastAsia="Arial" w:hAnsi="Arial"/>
                <w:sz w:val="17"/>
                <w:szCs w:val="17"/>
                <w:color w:val="auto"/>
              </w:rPr>
              <w:t>3.1</w:t>
            </w:r>
          </w:p>
        </w:tc>
        <w:tc>
          <w:tcPr>
            <w:tcW w:w="420" w:type="dxa"/>
            <w:vAlign w:val="bottom"/>
            <w:gridSpan w:val="2"/>
            <w:vMerge w:val="restart"/>
          </w:tcPr>
          <w:p>
            <w:pPr>
              <w:spacing w:after="0"/>
              <w:rPr>
                <w:rFonts w:ascii="Arial" w:cs="Arial" w:eastAsia="Arial" w:hAnsi="Arial"/>
                <w:sz w:val="17"/>
                <w:szCs w:val="17"/>
                <w:color w:val="0000FF"/>
                <w:w w:val="78"/>
              </w:rPr>
            </w:pPr>
            <w:hyperlink r:id="rId84">
              <w:r>
                <w:rPr>
                  <w:rFonts w:ascii="Arial" w:cs="Arial" w:eastAsia="Arial" w:hAnsi="Arial"/>
                  <w:sz w:val="17"/>
                  <w:szCs w:val="17"/>
                  <w:color w:val="0000FF"/>
                  <w:w w:val="78"/>
                </w:rPr>
                <w:t>Report</w:t>
              </w:r>
            </w:hyperlink>
          </w:p>
        </w:tc>
        <w:tc>
          <w:tcPr>
            <w:tcW w:w="9420" w:type="dxa"/>
            <w:vAlign w:val="bottom"/>
            <w:gridSpan w:val="14"/>
          </w:tcPr>
          <w:p>
            <w:pPr>
              <w:ind w:left="20"/>
              <w:spacing w:after="0"/>
              <w:rPr>
                <w:rFonts w:ascii="Arial" w:cs="Arial" w:eastAsia="Arial" w:hAnsi="Arial"/>
                <w:sz w:val="17"/>
                <w:szCs w:val="17"/>
                <w:color w:val="0000FF"/>
                <w:w w:val="93"/>
              </w:rPr>
            </w:pPr>
            <w:hyperlink r:id="rId84">
              <w:r>
                <w:rPr>
                  <w:rFonts w:ascii="Arial" w:cs="Arial" w:eastAsia="Arial" w:hAnsi="Arial"/>
                  <w:sz w:val="17"/>
                  <w:szCs w:val="17"/>
                  <w:color w:val="0000FF"/>
                  <w:w w:val="93"/>
                </w:rPr>
                <w:t>Amended and Restated Certificate of Incorporation of the Company (incorporated by reference to Exhibit 3.1 of the Company’s Curre</w:t>
              </w:r>
            </w:hyperlink>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380" w:type="dxa"/>
            <w:vAlign w:val="bottom"/>
            <w:tcBorders>
              <w:top w:val="single" w:sz="8" w:color="0000FF"/>
            </w:tcBorders>
            <w:gridSpan w:val="12"/>
          </w:tcPr>
          <w:p>
            <w:pPr>
              <w:ind w:left="80"/>
              <w:spacing w:after="0" w:line="150" w:lineRule="exact"/>
              <w:rPr>
                <w:rFonts w:ascii="Arial" w:cs="Arial" w:eastAsia="Arial" w:hAnsi="Arial"/>
                <w:sz w:val="17"/>
                <w:szCs w:val="17"/>
                <w:color w:val="0000FF"/>
              </w:rPr>
            </w:pPr>
            <w:hyperlink r:id="rId84">
              <w:r>
                <w:rPr>
                  <w:rFonts w:ascii="Arial" w:cs="Arial" w:eastAsia="Arial" w:hAnsi="Arial"/>
                  <w:sz w:val="17"/>
                  <w:szCs w:val="17"/>
                  <w:color w:val="0000FF"/>
                </w:rPr>
                <w:t>on Form 8-K (File No. 1-33089) filed on October 25, 2006).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80" w:type="dxa"/>
            <w:vAlign w:val="bottom"/>
          </w:tcPr>
          <w:p>
            <w:pPr>
              <w:ind w:left="440"/>
              <w:spacing w:after="0"/>
              <w:rPr>
                <w:sz w:val="20"/>
                <w:szCs w:val="20"/>
                <w:color w:val="auto"/>
              </w:rPr>
            </w:pPr>
            <w:r>
              <w:rPr>
                <w:rFonts w:ascii="Arial" w:cs="Arial" w:eastAsia="Arial" w:hAnsi="Arial"/>
                <w:sz w:val="17"/>
                <w:szCs w:val="17"/>
                <w:color w:val="auto"/>
              </w:rPr>
              <w:t>3.2</w:t>
            </w:r>
          </w:p>
        </w:tc>
        <w:tc>
          <w:tcPr>
            <w:tcW w:w="420" w:type="dxa"/>
            <w:vAlign w:val="bottom"/>
            <w:gridSpan w:val="2"/>
            <w:vMerge w:val="restart"/>
          </w:tcPr>
          <w:p>
            <w:pPr>
              <w:spacing w:after="0"/>
              <w:rPr>
                <w:rFonts w:ascii="Arial" w:cs="Arial" w:eastAsia="Arial" w:hAnsi="Arial"/>
                <w:sz w:val="17"/>
                <w:szCs w:val="17"/>
                <w:color w:val="0000FF"/>
                <w:w w:val="93"/>
              </w:rPr>
            </w:pPr>
            <w:hyperlink r:id="rId85">
              <w:r>
                <w:rPr>
                  <w:rFonts w:ascii="Arial" w:cs="Arial" w:eastAsia="Arial" w:hAnsi="Arial"/>
                  <w:sz w:val="17"/>
                  <w:szCs w:val="17"/>
                  <w:color w:val="0000FF"/>
                  <w:w w:val="93"/>
                </w:rPr>
                <w:t>to the</w:t>
              </w:r>
            </w:hyperlink>
          </w:p>
        </w:tc>
        <w:tc>
          <w:tcPr>
            <w:tcW w:w="9420" w:type="dxa"/>
            <w:vAlign w:val="bottom"/>
            <w:gridSpan w:val="14"/>
          </w:tcPr>
          <w:p>
            <w:pPr>
              <w:ind w:left="20"/>
              <w:spacing w:after="0"/>
              <w:rPr>
                <w:rFonts w:ascii="Arial" w:cs="Arial" w:eastAsia="Arial" w:hAnsi="Arial"/>
                <w:sz w:val="17"/>
                <w:szCs w:val="17"/>
                <w:color w:val="0000FF"/>
                <w:w w:val="93"/>
              </w:rPr>
            </w:pPr>
            <w:hyperlink r:id="rId85">
              <w:r>
                <w:rPr>
                  <w:rFonts w:ascii="Arial" w:cs="Arial" w:eastAsia="Arial" w:hAnsi="Arial"/>
                  <w:sz w:val="17"/>
                  <w:szCs w:val="17"/>
                  <w:color w:val="0000FF"/>
                  <w:w w:val="93"/>
                </w:rPr>
                <w:t>Certificate of Amendment to Amended and Restated Certificate of Incorporation of the Company (incorporated by reference to Annex</w:t>
              </w:r>
            </w:hyperlink>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9400" w:type="dxa"/>
            <w:vAlign w:val="bottom"/>
            <w:tcBorders>
              <w:top w:val="single" w:sz="8" w:color="0000FF"/>
            </w:tcBorders>
            <w:gridSpan w:val="13"/>
          </w:tcPr>
          <w:p>
            <w:pPr>
              <w:ind w:left="20"/>
              <w:spacing w:after="0" w:line="150" w:lineRule="exact"/>
              <w:rPr>
                <w:rFonts w:ascii="Arial" w:cs="Arial" w:eastAsia="Arial" w:hAnsi="Arial"/>
                <w:sz w:val="17"/>
                <w:szCs w:val="17"/>
                <w:color w:val="0000FF"/>
              </w:rPr>
            </w:pPr>
            <w:hyperlink r:id="rId85">
              <w:r>
                <w:rPr>
                  <w:rFonts w:ascii="Arial" w:cs="Arial" w:eastAsia="Arial" w:hAnsi="Arial"/>
                  <w:sz w:val="17"/>
                  <w:szCs w:val="17"/>
                  <w:color w:val="0000FF"/>
                </w:rPr>
                <w:t>Company’s Definitive Proxy Statement on Schedule 14A (File No. 1-33089) filed on April 26, 2019).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80" w:type="dxa"/>
            <w:vAlign w:val="bottom"/>
          </w:tcPr>
          <w:p>
            <w:pPr>
              <w:ind w:left="440"/>
              <w:spacing w:after="0"/>
              <w:rPr>
                <w:sz w:val="20"/>
                <w:szCs w:val="20"/>
                <w:color w:val="auto"/>
              </w:rPr>
            </w:pPr>
            <w:r>
              <w:rPr>
                <w:rFonts w:ascii="Arial" w:cs="Arial" w:eastAsia="Arial" w:hAnsi="Arial"/>
                <w:sz w:val="17"/>
                <w:szCs w:val="17"/>
                <w:color w:val="auto"/>
              </w:rPr>
              <w:t>3.3</w:t>
            </w:r>
          </w:p>
        </w:tc>
        <w:tc>
          <w:tcPr>
            <w:tcW w:w="420" w:type="dxa"/>
            <w:vAlign w:val="bottom"/>
            <w:gridSpan w:val="2"/>
            <w:vMerge w:val="restart"/>
          </w:tcPr>
          <w:p>
            <w:pPr>
              <w:spacing w:after="0"/>
              <w:rPr>
                <w:rFonts w:ascii="Arial" w:cs="Arial" w:eastAsia="Arial" w:hAnsi="Arial"/>
                <w:sz w:val="17"/>
                <w:szCs w:val="17"/>
                <w:color w:val="0000FF"/>
              </w:rPr>
            </w:pPr>
            <w:hyperlink r:id="rId86">
              <w:r>
                <w:rPr>
                  <w:rFonts w:ascii="Arial" w:cs="Arial" w:eastAsia="Arial" w:hAnsi="Arial"/>
                  <w:sz w:val="17"/>
                  <w:szCs w:val="17"/>
                  <w:color w:val="0000FF"/>
                </w:rPr>
                <w:t>Form</w:t>
              </w:r>
            </w:hyperlink>
          </w:p>
        </w:tc>
        <w:tc>
          <w:tcPr>
            <w:tcW w:w="9420" w:type="dxa"/>
            <w:vAlign w:val="bottom"/>
            <w:gridSpan w:val="14"/>
          </w:tcPr>
          <w:p>
            <w:pPr>
              <w:ind w:left="20"/>
              <w:spacing w:after="0"/>
              <w:rPr>
                <w:rFonts w:ascii="Arial" w:cs="Arial" w:eastAsia="Arial" w:hAnsi="Arial"/>
                <w:sz w:val="17"/>
                <w:szCs w:val="17"/>
                <w:color w:val="0000FF"/>
                <w:w w:val="94"/>
              </w:rPr>
            </w:pPr>
            <w:hyperlink r:id="rId86">
              <w:r>
                <w:rPr>
                  <w:rFonts w:ascii="Arial" w:cs="Arial" w:eastAsia="Arial" w:hAnsi="Arial"/>
                  <w:sz w:val="17"/>
                  <w:szCs w:val="17"/>
                  <w:color w:val="0000FF"/>
                  <w:w w:val="94"/>
                </w:rPr>
                <w:t>Fifth Amended and Restated By-laws of the Company (incorporated by reference to Exhibit 3.2 of the Company’s Current Report on</w:t>
              </w:r>
            </w:hyperlink>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9300" w:type="dxa"/>
            <w:vAlign w:val="bottom"/>
            <w:tcBorders>
              <w:top w:val="single" w:sz="8" w:color="0000FF"/>
            </w:tcBorders>
            <w:gridSpan w:val="11"/>
          </w:tcPr>
          <w:p>
            <w:pPr>
              <w:spacing w:after="0" w:line="150" w:lineRule="exact"/>
              <w:rPr>
                <w:rFonts w:ascii="Arial" w:cs="Arial" w:eastAsia="Arial" w:hAnsi="Arial"/>
                <w:sz w:val="17"/>
                <w:szCs w:val="17"/>
                <w:color w:val="0000FF"/>
              </w:rPr>
            </w:pPr>
            <w:hyperlink r:id="rId86">
              <w:r>
                <w:rPr>
                  <w:rFonts w:ascii="Arial" w:cs="Arial" w:eastAsia="Arial" w:hAnsi="Arial"/>
                  <w:sz w:val="17"/>
                  <w:szCs w:val="17"/>
                  <w:color w:val="0000FF"/>
                </w:rPr>
                <w:t>8-K (File No. 1-33089) filed on June 19, 2019).</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80" w:type="dxa"/>
            <w:vAlign w:val="bottom"/>
          </w:tcPr>
          <w:p>
            <w:pPr>
              <w:ind w:left="440"/>
              <w:spacing w:after="0"/>
              <w:rPr>
                <w:sz w:val="20"/>
                <w:szCs w:val="20"/>
                <w:color w:val="auto"/>
              </w:rPr>
            </w:pPr>
            <w:r>
              <w:rPr>
                <w:rFonts w:ascii="Arial" w:cs="Arial" w:eastAsia="Arial" w:hAnsi="Arial"/>
                <w:sz w:val="17"/>
                <w:szCs w:val="17"/>
                <w:color w:val="auto"/>
              </w:rPr>
              <w:t>4.1</w:t>
            </w:r>
          </w:p>
        </w:tc>
        <w:tc>
          <w:tcPr>
            <w:tcW w:w="420" w:type="dxa"/>
            <w:vAlign w:val="bottom"/>
            <w:gridSpan w:val="2"/>
            <w:vMerge w:val="restart"/>
          </w:tcPr>
          <w:p>
            <w:pPr>
              <w:spacing w:after="0"/>
              <w:rPr>
                <w:rFonts w:ascii="Arial" w:cs="Arial" w:eastAsia="Arial" w:hAnsi="Arial"/>
                <w:sz w:val="17"/>
                <w:szCs w:val="17"/>
                <w:color w:val="0000FF"/>
                <w:w w:val="75"/>
              </w:rPr>
            </w:pPr>
            <w:hyperlink r:id="rId87">
              <w:r>
                <w:rPr>
                  <w:rFonts w:ascii="Arial" w:cs="Arial" w:eastAsia="Arial" w:hAnsi="Arial"/>
                  <w:sz w:val="17"/>
                  <w:szCs w:val="17"/>
                  <w:color w:val="0000FF"/>
                  <w:w w:val="75"/>
                </w:rPr>
                <w:t>33089)</w:t>
              </w:r>
            </w:hyperlink>
          </w:p>
        </w:tc>
        <w:tc>
          <w:tcPr>
            <w:tcW w:w="9420" w:type="dxa"/>
            <w:vAlign w:val="bottom"/>
            <w:gridSpan w:val="14"/>
          </w:tcPr>
          <w:p>
            <w:pPr>
              <w:ind w:left="20"/>
              <w:spacing w:after="0"/>
              <w:rPr>
                <w:rFonts w:ascii="Arial" w:cs="Arial" w:eastAsia="Arial" w:hAnsi="Arial"/>
                <w:sz w:val="17"/>
                <w:szCs w:val="17"/>
                <w:color w:val="0000FF"/>
                <w:w w:val="95"/>
              </w:rPr>
            </w:pPr>
            <w:hyperlink r:id="rId87">
              <w:r>
                <w:rPr>
                  <w:rFonts w:ascii="Arial" w:cs="Arial" w:eastAsia="Arial" w:hAnsi="Arial"/>
                  <w:sz w:val="17"/>
                  <w:szCs w:val="17"/>
                  <w:color w:val="0000FF"/>
                  <w:w w:val="95"/>
                </w:rPr>
                <w:t>Registration Rights Agreement (incorporated by reference to Exhibit 4.1 of the Company’s Current Report on Form 8-K (File No. 1-</w:t>
              </w:r>
            </w:hyperlink>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260" w:type="dxa"/>
            <w:vAlign w:val="bottom"/>
            <w:tcBorders>
              <w:top w:val="single" w:sz="8" w:color="0000FF"/>
            </w:tcBorders>
            <w:gridSpan w:val="9"/>
          </w:tcPr>
          <w:p>
            <w:pPr>
              <w:ind w:left="100"/>
              <w:spacing w:after="0" w:line="150" w:lineRule="exact"/>
              <w:rPr>
                <w:rFonts w:ascii="Arial" w:cs="Arial" w:eastAsia="Arial" w:hAnsi="Arial"/>
                <w:sz w:val="17"/>
                <w:szCs w:val="17"/>
                <w:color w:val="0000FF"/>
              </w:rPr>
            </w:pPr>
            <w:hyperlink r:id="rId87">
              <w:r>
                <w:rPr>
                  <w:rFonts w:ascii="Arial" w:cs="Arial" w:eastAsia="Arial" w:hAnsi="Arial"/>
                  <w:sz w:val="17"/>
                  <w:szCs w:val="17"/>
                  <w:color w:val="0000FF"/>
                </w:rPr>
                <w:t>filed on October 25, 2006).</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80" w:type="dxa"/>
            <w:vAlign w:val="bottom"/>
          </w:tcPr>
          <w:p>
            <w:pPr>
              <w:ind w:left="440"/>
              <w:spacing w:after="0"/>
              <w:rPr>
                <w:sz w:val="20"/>
                <w:szCs w:val="20"/>
                <w:color w:val="auto"/>
              </w:rPr>
            </w:pPr>
            <w:r>
              <w:rPr>
                <w:rFonts w:ascii="Arial" w:cs="Arial" w:eastAsia="Arial" w:hAnsi="Arial"/>
                <w:sz w:val="17"/>
                <w:szCs w:val="17"/>
                <w:color w:val="auto"/>
              </w:rPr>
              <w:t>4.2</w:t>
            </w:r>
          </w:p>
        </w:tc>
        <w:tc>
          <w:tcPr>
            <w:tcW w:w="420" w:type="dxa"/>
            <w:vAlign w:val="bottom"/>
            <w:gridSpan w:val="2"/>
            <w:vMerge w:val="restart"/>
          </w:tcPr>
          <w:p>
            <w:pPr>
              <w:spacing w:after="0"/>
              <w:rPr>
                <w:rFonts w:ascii="Arial" w:cs="Arial" w:eastAsia="Arial" w:hAnsi="Arial"/>
                <w:sz w:val="17"/>
                <w:szCs w:val="17"/>
                <w:color w:val="0000FF"/>
                <w:w w:val="93"/>
              </w:rPr>
            </w:pPr>
            <w:hyperlink r:id="rId88">
              <w:r>
                <w:rPr>
                  <w:rFonts w:ascii="Arial" w:cs="Arial" w:eastAsia="Arial" w:hAnsi="Arial"/>
                  <w:sz w:val="17"/>
                  <w:szCs w:val="17"/>
                  <w:color w:val="0000FF"/>
                  <w:w w:val="93"/>
                </w:rPr>
                <w:t>4.</w:t>
              </w:r>
              <w:r>
                <w:rPr>
                  <w:rFonts w:ascii="Arial" w:cs="Arial" w:eastAsia="Arial" w:hAnsi="Arial"/>
                  <w:sz w:val="17"/>
                  <w:szCs w:val="17"/>
                  <w:u w:val="single" w:color="auto"/>
                  <w:color w:val="0000FF"/>
                  <w:w w:val="93"/>
                </w:rPr>
                <w:t>1</w:t>
              </w:r>
              <w:r>
                <w:rPr>
                  <w:rFonts w:ascii="Arial" w:cs="Arial" w:eastAsia="Arial" w:hAnsi="Arial"/>
                  <w:sz w:val="17"/>
                  <w:szCs w:val="17"/>
                  <w:color w:val="0000FF"/>
                  <w:w w:val="93"/>
                </w:rPr>
                <w:t xml:space="preserve"> to</w:t>
              </w:r>
            </w:hyperlink>
          </w:p>
        </w:tc>
        <w:tc>
          <w:tcPr>
            <w:tcW w:w="9420" w:type="dxa"/>
            <w:vAlign w:val="bottom"/>
            <w:gridSpan w:val="14"/>
          </w:tcPr>
          <w:p>
            <w:pPr>
              <w:ind w:left="20"/>
              <w:spacing w:after="0"/>
              <w:rPr>
                <w:rFonts w:ascii="Arial" w:cs="Arial" w:eastAsia="Arial" w:hAnsi="Arial"/>
                <w:sz w:val="17"/>
                <w:szCs w:val="17"/>
                <w:color w:val="0000FF"/>
                <w:w w:val="92"/>
              </w:rPr>
            </w:pPr>
            <w:hyperlink r:id="rId88">
              <w:r>
                <w:rPr>
                  <w:rFonts w:ascii="Arial" w:cs="Arial" w:eastAsia="Arial" w:hAnsi="Arial"/>
                  <w:sz w:val="17"/>
                  <w:szCs w:val="17"/>
                  <w:color w:val="0000FF"/>
                  <w:w w:val="92"/>
                </w:rPr>
                <w:t>Indenture, dated as of October 4, 2018, by and between the Company and Citibank, N.A., as trustee (incorporated by reference to Exh</w:t>
              </w:r>
            </w:hyperlink>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9400" w:type="dxa"/>
            <w:vAlign w:val="bottom"/>
            <w:tcBorders>
              <w:top w:val="single" w:sz="8" w:color="0000FF"/>
            </w:tcBorders>
            <w:gridSpan w:val="13"/>
          </w:tcPr>
          <w:p>
            <w:pPr>
              <w:ind w:left="20"/>
              <w:spacing w:after="0" w:line="150" w:lineRule="exact"/>
              <w:rPr>
                <w:rFonts w:ascii="Arial" w:cs="Arial" w:eastAsia="Arial" w:hAnsi="Arial"/>
                <w:sz w:val="17"/>
                <w:szCs w:val="17"/>
                <w:color w:val="0000FF"/>
              </w:rPr>
            </w:pPr>
            <w:hyperlink r:id="rId88">
              <w:r>
                <w:rPr>
                  <w:rFonts w:ascii="Arial" w:cs="Arial" w:eastAsia="Arial" w:hAnsi="Arial"/>
                  <w:sz w:val="17"/>
                  <w:szCs w:val="17"/>
                  <w:color w:val="0000FF"/>
                </w:rPr>
                <w:t>the Company’s Current Report on Form 8-K (File No. 1-33089) filed on October 4,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80" w:type="dxa"/>
            <w:vAlign w:val="bottom"/>
          </w:tcPr>
          <w:p>
            <w:pPr>
              <w:ind w:left="440"/>
              <w:spacing w:after="0"/>
              <w:rPr>
                <w:sz w:val="20"/>
                <w:szCs w:val="20"/>
                <w:color w:val="auto"/>
              </w:rPr>
            </w:pPr>
            <w:r>
              <w:rPr>
                <w:rFonts w:ascii="Arial" w:cs="Arial" w:eastAsia="Arial" w:hAnsi="Arial"/>
                <w:sz w:val="17"/>
                <w:szCs w:val="17"/>
                <w:color w:val="auto"/>
              </w:rPr>
              <w:t>4.3</w:t>
            </w:r>
          </w:p>
        </w:tc>
        <w:tc>
          <w:tcPr>
            <w:tcW w:w="420" w:type="dxa"/>
            <w:vAlign w:val="bottom"/>
            <w:gridSpan w:val="2"/>
            <w:vMerge w:val="restart"/>
          </w:tcPr>
          <w:p>
            <w:pPr>
              <w:spacing w:after="0"/>
              <w:rPr>
                <w:rFonts w:ascii="Arial" w:cs="Arial" w:eastAsia="Arial" w:hAnsi="Arial"/>
                <w:sz w:val="17"/>
                <w:szCs w:val="17"/>
                <w:color w:val="0000FF"/>
                <w:w w:val="75"/>
              </w:rPr>
            </w:pPr>
            <w:hyperlink r:id="rId89">
              <w:r>
                <w:rPr>
                  <w:rFonts w:ascii="Arial" w:cs="Arial" w:eastAsia="Arial" w:hAnsi="Arial"/>
                  <w:sz w:val="17"/>
                  <w:szCs w:val="17"/>
                  <w:color w:val="0000FF"/>
                  <w:w w:val="75"/>
                </w:rPr>
                <w:t>33089)</w:t>
              </w:r>
            </w:hyperlink>
          </w:p>
        </w:tc>
        <w:tc>
          <w:tcPr>
            <w:tcW w:w="9420" w:type="dxa"/>
            <w:vAlign w:val="bottom"/>
            <w:gridSpan w:val="14"/>
          </w:tcPr>
          <w:p>
            <w:pPr>
              <w:ind w:left="20"/>
              <w:spacing w:after="0"/>
              <w:rPr>
                <w:rFonts w:ascii="Arial" w:cs="Arial" w:eastAsia="Arial" w:hAnsi="Arial"/>
                <w:sz w:val="17"/>
                <w:szCs w:val="17"/>
                <w:color w:val="0000FF"/>
                <w:w w:val="95"/>
              </w:rPr>
            </w:pPr>
            <w:hyperlink r:id="rId89">
              <w:r>
                <w:rPr>
                  <w:rFonts w:ascii="Arial" w:cs="Arial" w:eastAsia="Arial" w:hAnsi="Arial"/>
                  <w:sz w:val="17"/>
                  <w:szCs w:val="17"/>
                  <w:color w:val="0000FF"/>
                  <w:w w:val="95"/>
                </w:rPr>
                <w:t>Description of Common Stock (incorporated by reference to Exhibit 4.3 to the Company’s Annual Report on Form 10-K (File No. 1-</w:t>
              </w:r>
            </w:hyperlink>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300" w:type="dxa"/>
            <w:vAlign w:val="bottom"/>
            <w:tcBorders>
              <w:top w:val="single" w:sz="8" w:color="0000FF"/>
            </w:tcBorders>
            <w:gridSpan w:val="11"/>
          </w:tcPr>
          <w:p>
            <w:pPr>
              <w:ind w:left="100"/>
              <w:spacing w:after="0" w:line="150" w:lineRule="exact"/>
              <w:rPr>
                <w:rFonts w:ascii="Arial" w:cs="Arial" w:eastAsia="Arial" w:hAnsi="Arial"/>
                <w:sz w:val="17"/>
                <w:szCs w:val="17"/>
                <w:color w:val="0000FF"/>
              </w:rPr>
            </w:pPr>
            <w:hyperlink r:id="rId89">
              <w:r>
                <w:rPr>
                  <w:rFonts w:ascii="Arial" w:cs="Arial" w:eastAsia="Arial" w:hAnsi="Arial"/>
                  <w:sz w:val="17"/>
                  <w:szCs w:val="17"/>
                  <w:color w:val="0000FF"/>
                </w:rPr>
                <w:t>filed on February 27, 2020).</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80" w:type="dxa"/>
            <w:vAlign w:val="bottom"/>
          </w:tcPr>
          <w:p>
            <w:pPr>
              <w:ind w:left="440"/>
              <w:spacing w:after="0"/>
              <w:rPr>
                <w:sz w:val="20"/>
                <w:szCs w:val="20"/>
                <w:color w:val="auto"/>
              </w:rPr>
            </w:pPr>
            <w:r>
              <w:rPr>
                <w:rFonts w:ascii="Arial" w:cs="Arial" w:eastAsia="Arial" w:hAnsi="Arial"/>
                <w:sz w:val="17"/>
                <w:szCs w:val="17"/>
                <w:color w:val="auto"/>
              </w:rPr>
              <w:t>10.1+</w:t>
            </w:r>
          </w:p>
        </w:tc>
        <w:tc>
          <w:tcPr>
            <w:tcW w:w="420" w:type="dxa"/>
            <w:vAlign w:val="bottom"/>
            <w:gridSpan w:val="2"/>
            <w:vMerge w:val="restart"/>
          </w:tcPr>
          <w:p>
            <w:pPr>
              <w:spacing w:after="0"/>
              <w:rPr>
                <w:rFonts w:ascii="Arial" w:cs="Arial" w:eastAsia="Arial" w:hAnsi="Arial"/>
                <w:sz w:val="17"/>
                <w:szCs w:val="17"/>
                <w:color w:val="0000FF"/>
                <w:w w:val="72"/>
              </w:rPr>
            </w:pPr>
            <w:hyperlink r:id="rId90">
              <w:r>
                <w:rPr>
                  <w:rFonts w:ascii="Arial" w:cs="Arial" w:eastAsia="Arial" w:hAnsi="Arial"/>
                  <w:sz w:val="17"/>
                  <w:szCs w:val="17"/>
                  <w:color w:val="0000FF"/>
                  <w:w w:val="72"/>
                </w:rPr>
                <w:t>Kapoor</w:t>
              </w:r>
            </w:hyperlink>
          </w:p>
        </w:tc>
        <w:tc>
          <w:tcPr>
            <w:tcW w:w="9420" w:type="dxa"/>
            <w:vAlign w:val="bottom"/>
            <w:gridSpan w:val="14"/>
          </w:tcPr>
          <w:p>
            <w:pPr>
              <w:ind w:left="20"/>
              <w:spacing w:after="0"/>
              <w:rPr>
                <w:rFonts w:ascii="Arial" w:cs="Arial" w:eastAsia="Arial" w:hAnsi="Arial"/>
                <w:sz w:val="17"/>
                <w:szCs w:val="17"/>
                <w:color w:val="0000FF"/>
                <w:w w:val="92"/>
              </w:rPr>
            </w:pPr>
            <w:hyperlink r:id="rId90">
              <w:r>
                <w:rPr>
                  <w:rFonts w:ascii="Arial" w:cs="Arial" w:eastAsia="Arial" w:hAnsi="Arial"/>
                  <w:sz w:val="17"/>
                  <w:szCs w:val="17"/>
                  <w:color w:val="0000FF"/>
                  <w:w w:val="92"/>
                </w:rPr>
                <w:t>Second Amended and Restated Employment and Non-Competition Agreement, dated August 3, 2020, between the Company and Roh</w:t>
              </w:r>
            </w:hyperlink>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380" w:type="dxa"/>
            <w:vAlign w:val="bottom"/>
            <w:tcBorders>
              <w:top w:val="single" w:sz="8" w:color="0000FF"/>
            </w:tcBorders>
            <w:gridSpan w:val="12"/>
          </w:tcPr>
          <w:p>
            <w:pPr>
              <w:ind w:left="120"/>
              <w:spacing w:after="0" w:line="150" w:lineRule="exact"/>
              <w:rPr>
                <w:rFonts w:ascii="Arial" w:cs="Arial" w:eastAsia="Arial" w:hAnsi="Arial"/>
                <w:sz w:val="17"/>
                <w:szCs w:val="17"/>
                <w:color w:val="0000FF"/>
                <w:w w:val="94"/>
              </w:rPr>
            </w:pPr>
            <w:hyperlink r:id="rId90">
              <w:r>
                <w:rPr>
                  <w:rFonts w:ascii="Arial" w:cs="Arial" w:eastAsia="Arial" w:hAnsi="Arial"/>
                  <w:sz w:val="17"/>
                  <w:szCs w:val="17"/>
                  <w:color w:val="0000FF"/>
                  <w:w w:val="94"/>
                </w:rPr>
                <w:t>(incorporated by reference to Exhibit 10.1 to the Company’s Quarterly Report on Form 10-Q (File No. 1-33089) filed on October 29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82"/>
              </w:rPr>
            </w:pPr>
            <w:hyperlink r:id="rId90">
              <w:r>
                <w:rPr>
                  <w:rFonts w:ascii="Arial" w:cs="Arial" w:eastAsia="Arial" w:hAnsi="Arial"/>
                  <w:sz w:val="17"/>
                  <w:szCs w:val="17"/>
                  <w:color w:val="0000FF"/>
                  <w:w w:val="82"/>
                </w:rPr>
                <w:t>2020).</w:t>
              </w:r>
            </w:hyperlink>
          </w:p>
        </w:tc>
        <w:tc>
          <w:tcPr>
            <w:tcW w:w="20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080" w:type="dxa"/>
            <w:vAlign w:val="bottom"/>
          </w:tcPr>
          <w:p>
            <w:pPr>
              <w:ind w:left="440"/>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0" w:type="dxa"/>
            <w:vAlign w:val="bottom"/>
            <w:tcBorders>
              <w:bottom w:val="single" w:sz="8" w:color="0000FF"/>
            </w:tcBorders>
            <w:gridSpan w:val="13"/>
          </w:tcPr>
          <w:p>
            <w:pPr>
              <w:ind w:left="20"/>
              <w:spacing w:after="0"/>
              <w:rPr>
                <w:rFonts w:ascii="Arial" w:cs="Arial" w:eastAsia="Arial" w:hAnsi="Arial"/>
                <w:sz w:val="17"/>
                <w:szCs w:val="17"/>
                <w:color w:val="0000FF"/>
                <w:w w:val="94"/>
              </w:rPr>
            </w:pPr>
            <w:hyperlink r:id="rId91">
              <w:r>
                <w:rPr>
                  <w:rFonts w:ascii="Arial" w:cs="Arial" w:eastAsia="Arial" w:hAnsi="Arial"/>
                  <w:sz w:val="17"/>
                  <w:szCs w:val="17"/>
                  <w:color w:val="0000FF"/>
                  <w:w w:val="94"/>
                </w:rPr>
                <w:t>Employment Agreement, effective as of February 3, 2020, between ExlService Holdings, Inc. and Maurizio Nicolelli (incorporated by</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9820" w:type="dxa"/>
            <w:vAlign w:val="bottom"/>
            <w:gridSpan w:val="15"/>
          </w:tcPr>
          <w:p>
            <w:pPr>
              <w:spacing w:after="0" w:line="150" w:lineRule="exact"/>
              <w:rPr>
                <w:rFonts w:ascii="Arial" w:cs="Arial" w:eastAsia="Arial" w:hAnsi="Arial"/>
                <w:sz w:val="17"/>
                <w:szCs w:val="17"/>
                <w:color w:val="0000FF"/>
              </w:rPr>
            </w:pPr>
            <w:hyperlink r:id="rId91">
              <w:r>
                <w:rPr>
                  <w:rFonts w:ascii="Arial" w:cs="Arial" w:eastAsia="Arial" w:hAnsi="Arial"/>
                  <w:sz w:val="17"/>
                  <w:szCs w:val="17"/>
                  <w:color w:val="0000FF"/>
                </w:rPr>
                <w:t>reference to Exhibit 10.4 to the Company’s Annual Report on Form 10-K (File No. 1-33089) filed on February 25,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980" w:type="dxa"/>
            <w:vAlign w:val="bottom"/>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80" w:type="dxa"/>
            <w:vAlign w:val="bottom"/>
          </w:tcPr>
          <w:p>
            <w:pPr>
              <w:ind w:left="440"/>
              <w:spacing w:after="0"/>
              <w:rPr>
                <w:sz w:val="20"/>
                <w:szCs w:val="20"/>
                <w:color w:val="auto"/>
              </w:rPr>
            </w:pPr>
            <w:r>
              <w:rPr>
                <w:rFonts w:ascii="Arial" w:cs="Arial" w:eastAsia="Arial" w:hAnsi="Arial"/>
                <w:sz w:val="17"/>
                <w:szCs w:val="17"/>
                <w:color w:val="auto"/>
              </w:rPr>
              <w:t>10.3+</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0" w:type="dxa"/>
            <w:vAlign w:val="bottom"/>
            <w:tcBorders>
              <w:bottom w:val="single" w:sz="8" w:color="0000FF"/>
            </w:tcBorders>
            <w:gridSpan w:val="13"/>
          </w:tcPr>
          <w:p>
            <w:pPr>
              <w:ind w:left="20"/>
              <w:spacing w:after="0"/>
              <w:rPr>
                <w:rFonts w:ascii="Arial" w:cs="Arial" w:eastAsia="Arial" w:hAnsi="Arial"/>
                <w:sz w:val="17"/>
                <w:szCs w:val="17"/>
                <w:color w:val="0000FF"/>
                <w:w w:val="93"/>
              </w:rPr>
            </w:pPr>
            <w:hyperlink r:id="rId92">
              <w:r>
                <w:rPr>
                  <w:rFonts w:ascii="Arial" w:cs="Arial" w:eastAsia="Arial" w:hAnsi="Arial"/>
                  <w:sz w:val="17"/>
                  <w:szCs w:val="17"/>
                  <w:color w:val="0000FF"/>
                  <w:w w:val="93"/>
                </w:rPr>
                <w:t>Employment Agreement, dated as of September 15, 2014, between ExlService Holdings, Inc. and Nalin Kumar Miglani (incorporated</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8400" w:type="dxa"/>
            <w:vAlign w:val="bottom"/>
            <w:tcBorders>
              <w:bottom w:val="single" w:sz="8" w:color="0000FF"/>
            </w:tcBorders>
            <w:gridSpan w:val="10"/>
          </w:tcPr>
          <w:p>
            <w:pPr>
              <w:spacing w:after="0" w:line="150" w:lineRule="exact"/>
              <w:rPr>
                <w:rFonts w:ascii="Arial" w:cs="Arial" w:eastAsia="Arial" w:hAnsi="Arial"/>
                <w:sz w:val="17"/>
                <w:szCs w:val="17"/>
                <w:color w:val="0000FF"/>
                <w:w w:val="94"/>
              </w:rPr>
            </w:pPr>
            <w:hyperlink r:id="rId92">
              <w:r>
                <w:rPr>
                  <w:rFonts w:ascii="Arial" w:cs="Arial" w:eastAsia="Arial" w:hAnsi="Arial"/>
                  <w:sz w:val="17"/>
                  <w:szCs w:val="17"/>
                  <w:color w:val="0000FF"/>
                  <w:w w:val="94"/>
                </w:rPr>
                <w:t>reference to Exhibit 10.1 to the Company’s Quarterly Report on Form 10-Q (File No. 1-33089) filed on April 29, 2016).</w:t>
              </w:r>
            </w:hyperlink>
          </w:p>
        </w:tc>
        <w:tc>
          <w:tcPr>
            <w:tcW w:w="14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1900" w:h="16838" w:orient="portrait"/>
          <w:cols w:equalWidth="0" w:num="1">
            <w:col w:w="11340"/>
          </w:cols>
          <w:pgMar w:left="320" w:top="357" w:right="239" w:bottom="1440" w:gutter="0" w:footer="0" w:header="0"/>
        </w:sectPr>
      </w:pPr>
    </w:p>
    <w:p>
      <w:pPr>
        <w:ind w:left="880"/>
        <w:spacing w:after="0"/>
        <w:rPr>
          <w:sz w:val="20"/>
          <w:szCs w:val="20"/>
          <w:color w:val="auto"/>
        </w:rPr>
      </w:pPr>
      <w:r>
        <w:rPr>
          <w:rFonts w:ascii="Arial" w:cs="Arial" w:eastAsia="Arial" w:hAnsi="Arial"/>
          <w:sz w:val="16"/>
          <w:szCs w:val="16"/>
          <w:color w:val="auto"/>
        </w:rPr>
        <w:t>10.4+</w:t>
      </w:r>
    </w:p>
    <w:p>
      <w:pPr>
        <w:spacing w:after="0" w:line="3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10.5+</w:t>
      </w:r>
    </w:p>
    <w:p>
      <w:pPr>
        <w:spacing w:after="0" w:line="31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br w:type="column"/>
      </w:r>
    </w:p>
    <w:p>
      <w:pPr>
        <w:ind w:firstLine="433"/>
        <w:spacing w:after="0" w:line="273" w:lineRule="auto"/>
        <w:rPr>
          <w:rFonts w:ascii="Arial" w:cs="Arial" w:eastAsia="Arial" w:hAnsi="Arial"/>
          <w:sz w:val="17"/>
          <w:szCs w:val="17"/>
          <w:u w:val="single" w:color="auto"/>
          <w:color w:val="0000FF"/>
        </w:rPr>
      </w:pPr>
      <w:hyperlink r:id="rId93">
        <w:r>
          <w:rPr>
            <w:rFonts w:ascii="Arial" w:cs="Arial" w:eastAsia="Arial" w:hAnsi="Arial"/>
            <w:sz w:val="17"/>
            <w:szCs w:val="17"/>
            <w:u w:val="single" w:color="auto"/>
            <w:color w:val="0000FF"/>
          </w:rPr>
          <w:t>Employment Agreement, dated April 28, 2001, between ExlService Holdings, Inc. and Vikas Bhalla (incorporated by reference to Exh</w:t>
        </w:r>
      </w:hyperlink>
      <w:r>
        <w:rPr>
          <w:rFonts w:ascii="Arial" w:cs="Arial" w:eastAsia="Arial" w:hAnsi="Arial"/>
          <w:sz w:val="17"/>
          <w:szCs w:val="17"/>
          <w:u w:val="single" w:color="auto"/>
          <w:color w:val="0000FF"/>
        </w:rPr>
        <w:t xml:space="preserve"> </w:t>
      </w:r>
      <w:hyperlink r:id="rId93">
        <w:r>
          <w:rPr>
            <w:rFonts w:ascii="Arial" w:cs="Arial" w:eastAsia="Arial" w:hAnsi="Arial"/>
            <w:sz w:val="17"/>
            <w:szCs w:val="17"/>
            <w:u w:val="single" w:color="auto"/>
            <w:color w:val="0000FF"/>
          </w:rPr>
          <w:t>10.6 to the Company’s Annual Report on Form 10-K (File No. 1-33089) filed on February 25, 2021).</w:t>
        </w:r>
      </w:hyperlink>
    </w:p>
    <w:p>
      <w:pPr>
        <w:spacing w:after="0" w:line="54" w:lineRule="exact"/>
        <w:rPr>
          <w:sz w:val="20"/>
          <w:szCs w:val="20"/>
          <w:color w:val="auto"/>
        </w:rPr>
      </w:pPr>
    </w:p>
    <w:p>
      <w:pPr>
        <w:ind w:firstLine="433"/>
        <w:spacing w:after="0" w:line="273" w:lineRule="auto"/>
        <w:rPr>
          <w:rFonts w:ascii="Arial" w:cs="Arial" w:eastAsia="Arial" w:hAnsi="Arial"/>
          <w:sz w:val="17"/>
          <w:szCs w:val="17"/>
          <w:u w:val="single" w:color="auto"/>
          <w:color w:val="0000FF"/>
        </w:rPr>
      </w:pPr>
      <w:hyperlink r:id="rId94">
        <w:r>
          <w:rPr>
            <w:rFonts w:ascii="Arial" w:cs="Arial" w:eastAsia="Arial" w:hAnsi="Arial"/>
            <w:sz w:val="17"/>
            <w:szCs w:val="17"/>
            <w:u w:val="single" w:color="auto"/>
            <w:color w:val="0000FF"/>
          </w:rPr>
          <w:t>Employment Agreement, effective November 5, 2018, between ExlService Holdings, Inc. and Samuel Meckey (incorporated by refere</w:t>
        </w:r>
      </w:hyperlink>
      <w:r>
        <w:rPr>
          <w:rFonts w:ascii="Arial" w:cs="Arial" w:eastAsia="Arial" w:hAnsi="Arial"/>
          <w:sz w:val="17"/>
          <w:szCs w:val="17"/>
          <w:u w:val="single" w:color="auto"/>
          <w:color w:val="0000FF"/>
        </w:rPr>
        <w:t xml:space="preserve"> </w:t>
      </w:r>
      <w:hyperlink r:id="rId94">
        <w:r>
          <w:rPr>
            <w:rFonts w:ascii="Arial" w:cs="Arial" w:eastAsia="Arial" w:hAnsi="Arial"/>
            <w:sz w:val="17"/>
            <w:szCs w:val="17"/>
            <w:u w:val="single" w:color="auto"/>
            <w:color w:val="0000FF"/>
          </w:rPr>
          <w:t>to Exhibit 10.7 to the Company’s Annual Report on Form 10-K (File No. 1-33089).</w:t>
        </w:r>
      </w:hyperlink>
    </w:p>
    <w:p>
      <w:pPr>
        <w:spacing w:after="0" w:line="40" w:lineRule="exact"/>
        <w:rPr>
          <w:sz w:val="20"/>
          <w:szCs w:val="20"/>
          <w:color w:val="auto"/>
        </w:rPr>
      </w:pPr>
    </w:p>
    <w:p>
      <w:pPr>
        <w:ind w:right="580" w:firstLine="433"/>
        <w:spacing w:after="0" w:line="241" w:lineRule="auto"/>
        <w:rPr>
          <w:rFonts w:ascii="Arial" w:cs="Arial" w:eastAsia="Arial" w:hAnsi="Arial"/>
          <w:sz w:val="17"/>
          <w:szCs w:val="17"/>
          <w:u w:val="single" w:color="auto"/>
          <w:color w:val="0000FF"/>
        </w:rPr>
      </w:pPr>
      <w:hyperlink r:id="rId95">
        <w:r>
          <w:rPr>
            <w:rFonts w:ascii="Arial" w:cs="Arial" w:eastAsia="Arial" w:hAnsi="Arial"/>
            <w:sz w:val="17"/>
            <w:szCs w:val="17"/>
            <w:u w:val="single" w:color="auto"/>
            <w:color w:val="0000FF"/>
          </w:rPr>
          <w:t>ExlService Holdings, Inc. 2006 Omnibus Plan (incorporated by reference to Exhibit 10.20 of Amendment 3 to the Company’s</w:t>
        </w:r>
      </w:hyperlink>
      <w:r>
        <w:rPr>
          <w:rFonts w:ascii="Arial" w:cs="Arial" w:eastAsia="Arial" w:hAnsi="Arial"/>
          <w:sz w:val="17"/>
          <w:szCs w:val="17"/>
          <w:u w:val="single" w:color="auto"/>
          <w:color w:val="0000FF"/>
        </w:rPr>
        <w:t xml:space="preserve"> </w:t>
      </w:r>
      <w:hyperlink r:id="rId95">
        <w:r>
          <w:rPr>
            <w:rFonts w:ascii="Arial" w:cs="Arial" w:eastAsia="Arial" w:hAnsi="Arial"/>
            <w:sz w:val="17"/>
            <w:szCs w:val="17"/>
            <w:u w:val="single" w:color="auto"/>
            <w:color w:val="0000FF"/>
          </w:rPr>
          <w:t>Registration Statement on Form S-1 (Registration No. 333-121001) filed July 28, 2006).</w:t>
        </w:r>
      </w:hyperlink>
    </w:p>
    <w:p>
      <w:pPr>
        <w:spacing w:after="0" w:line="41" w:lineRule="exact"/>
        <w:rPr>
          <w:sz w:val="20"/>
          <w:szCs w:val="20"/>
          <w:color w:val="auto"/>
        </w:rPr>
      </w:pPr>
    </w:p>
    <w:p>
      <w:pPr>
        <w:sectPr>
          <w:pgSz w:w="11900" w:h="16838" w:orient="portrait"/>
          <w:cols w:equalWidth="0" w:num="2">
            <w:col w:w="1300" w:space="220"/>
            <w:col w:w="9820"/>
          </w:cols>
          <w:pgMar w:left="320" w:top="357" w:right="239" w:bottom="1440" w:gutter="0" w:footer="0" w:header="0"/>
          <w:type w:val="continuous"/>
        </w:sectPr>
      </w:pPr>
    </w:p>
    <w:tbl>
      <w:tblPr>
        <w:tblLayout w:type="fixed"/>
        <w:tblInd w:w="880" w:type="dxa"/>
        <w:tblCellMar>
          <w:top w:w="0" w:type="dxa"/>
          <w:left w:w="0" w:type="dxa"/>
          <w:bottom w:w="0" w:type="dxa"/>
          <w:right w:w="0" w:type="dxa"/>
        </w:tblCellMar>
      </w:tblPr>
      <w:tr>
        <w:trPr>
          <w:trHeight w:val="195"/>
        </w:trPr>
        <w:tc>
          <w:tcPr>
            <w:tcW w:w="640" w:type="dxa"/>
            <w:vAlign w:val="bottom"/>
          </w:tcPr>
          <w:p>
            <w:pPr>
              <w:jc w:val="right"/>
              <w:ind w:right="133"/>
              <w:spacing w:after="0"/>
              <w:rPr>
                <w:sz w:val="20"/>
                <w:szCs w:val="20"/>
                <w:color w:val="auto"/>
              </w:rPr>
            </w:pPr>
            <w:r>
              <w:rPr>
                <w:rFonts w:ascii="Arial" w:cs="Arial" w:eastAsia="Arial" w:hAnsi="Arial"/>
                <w:sz w:val="17"/>
                <w:szCs w:val="17"/>
                <w:color w:val="auto"/>
                <w:w w:val="92"/>
              </w:rPr>
              <w:t>10.7+</w:t>
            </w:r>
          </w:p>
        </w:tc>
        <w:tc>
          <w:tcPr>
            <w:tcW w:w="420" w:type="dxa"/>
            <w:vAlign w:val="bottom"/>
          </w:tcPr>
          <w:p>
            <w:pPr>
              <w:spacing w:after="0"/>
              <w:rPr>
                <w:sz w:val="16"/>
                <w:szCs w:val="16"/>
                <w:color w:val="auto"/>
              </w:rPr>
            </w:pPr>
          </w:p>
        </w:tc>
        <w:tc>
          <w:tcPr>
            <w:tcW w:w="9420" w:type="dxa"/>
            <w:vAlign w:val="bottom"/>
            <w:gridSpan w:val="5"/>
          </w:tcPr>
          <w:p>
            <w:pPr>
              <w:ind w:left="20"/>
              <w:spacing w:after="0"/>
              <w:rPr>
                <w:rFonts w:ascii="Arial" w:cs="Arial" w:eastAsia="Arial" w:hAnsi="Arial"/>
                <w:sz w:val="17"/>
                <w:szCs w:val="17"/>
                <w:color w:val="0000FF"/>
                <w:w w:val="95"/>
              </w:rPr>
            </w:pPr>
            <w:hyperlink r:id="rId96">
              <w:r>
                <w:rPr>
                  <w:rFonts w:ascii="Arial" w:cs="Arial" w:eastAsia="Arial" w:hAnsi="Arial"/>
                  <w:sz w:val="17"/>
                  <w:szCs w:val="17"/>
                  <w:color w:val="0000FF"/>
                  <w:w w:val="95"/>
                </w:rPr>
                <w:t>Form of Non-Qualified Stock Option Agreement under the 2006 Omnibus Award Plan (incorporated by reference to Exhibit 10.32 of</w:t>
              </w:r>
            </w:hyperlink>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640" w:type="dxa"/>
            <w:vAlign w:val="bottom"/>
          </w:tcPr>
          <w:p>
            <w:pPr>
              <w:spacing w:after="0"/>
              <w:rPr>
                <w:sz w:val="13"/>
                <w:szCs w:val="13"/>
                <w:color w:val="auto"/>
              </w:rPr>
            </w:pPr>
          </w:p>
        </w:tc>
        <w:tc>
          <w:tcPr>
            <w:tcW w:w="9740" w:type="dxa"/>
            <w:vAlign w:val="bottom"/>
            <w:gridSpan w:val="4"/>
          </w:tcPr>
          <w:p>
            <w:pPr>
              <w:spacing w:after="0" w:line="150" w:lineRule="exact"/>
              <w:rPr>
                <w:rFonts w:ascii="Arial" w:cs="Arial" w:eastAsia="Arial" w:hAnsi="Arial"/>
                <w:sz w:val="17"/>
                <w:szCs w:val="17"/>
                <w:color w:val="0000FF"/>
              </w:rPr>
            </w:pPr>
            <w:hyperlink r:id="rId96">
              <w:r>
                <w:rPr>
                  <w:rFonts w:ascii="Arial" w:cs="Arial" w:eastAsia="Arial" w:hAnsi="Arial"/>
                  <w:sz w:val="17"/>
                  <w:szCs w:val="17"/>
                  <w:color w:val="0000FF"/>
                </w:rPr>
                <w:t>Amendment 5 to the Company’s Registration Statement on Form S-1 (Registration No. 333-121001) filed October 4, 2006).</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640" w:type="dxa"/>
            <w:vAlign w:val="bottom"/>
          </w:tcPr>
          <w:p>
            <w:pPr>
              <w:jc w:val="right"/>
              <w:ind w:right="133"/>
              <w:spacing w:after="0"/>
              <w:rPr>
                <w:sz w:val="20"/>
                <w:szCs w:val="20"/>
                <w:color w:val="auto"/>
              </w:rPr>
            </w:pPr>
            <w:r>
              <w:rPr>
                <w:rFonts w:ascii="Arial" w:cs="Arial" w:eastAsia="Arial" w:hAnsi="Arial"/>
                <w:sz w:val="17"/>
                <w:szCs w:val="17"/>
                <w:color w:val="auto"/>
                <w:w w:val="92"/>
              </w:rPr>
              <w:t>10.8+</w:t>
            </w:r>
          </w:p>
        </w:tc>
        <w:tc>
          <w:tcPr>
            <w:tcW w:w="420" w:type="dxa"/>
            <w:vAlign w:val="bottom"/>
          </w:tcPr>
          <w:p>
            <w:pPr>
              <w:spacing w:after="0"/>
              <w:rPr>
                <w:sz w:val="22"/>
                <w:szCs w:val="22"/>
                <w:color w:val="auto"/>
              </w:rPr>
            </w:pPr>
          </w:p>
        </w:tc>
        <w:tc>
          <w:tcPr>
            <w:tcW w:w="9400" w:type="dxa"/>
            <w:vAlign w:val="bottom"/>
            <w:tcBorders>
              <w:bottom w:val="single" w:sz="8" w:color="0000FF"/>
            </w:tcBorders>
            <w:gridSpan w:val="4"/>
          </w:tcPr>
          <w:p>
            <w:pPr>
              <w:ind w:left="20"/>
              <w:spacing w:after="0"/>
              <w:rPr>
                <w:rFonts w:ascii="Arial" w:cs="Arial" w:eastAsia="Arial" w:hAnsi="Arial"/>
                <w:sz w:val="17"/>
                <w:szCs w:val="17"/>
                <w:color w:val="0000FF"/>
                <w:w w:val="93"/>
              </w:rPr>
            </w:pPr>
            <w:hyperlink r:id="rId97">
              <w:r>
                <w:rPr>
                  <w:rFonts w:ascii="Arial" w:cs="Arial" w:eastAsia="Arial" w:hAnsi="Arial"/>
                  <w:sz w:val="17"/>
                  <w:szCs w:val="17"/>
                  <w:color w:val="0000FF"/>
                  <w:w w:val="93"/>
                </w:rPr>
                <w:t>ExlService Holdings, Inc. 2006 Omnibus India Subplan 2 (incorporated by reference to Exhibit 10.38 of Amendment 6 to the Compan</w:t>
              </w:r>
            </w:hyperlink>
          </w:p>
        </w:tc>
        <w:tc>
          <w:tcPr>
            <w:tcW w:w="20" w:type="dxa"/>
            <w:vAlign w:val="bottom"/>
          </w:tcPr>
          <w:p>
            <w:pPr>
              <w:spacing w:after="0"/>
              <w:rPr>
                <w:sz w:val="22"/>
                <w:szCs w:val="22"/>
                <w:color w:val="auto"/>
              </w:rPr>
            </w:pPr>
          </w:p>
        </w:tc>
      </w:tr>
      <w:tr>
        <w:trPr>
          <w:trHeight w:val="150"/>
        </w:trPr>
        <w:tc>
          <w:tcPr>
            <w:tcW w:w="640" w:type="dxa"/>
            <w:vAlign w:val="bottom"/>
          </w:tcPr>
          <w:p>
            <w:pPr>
              <w:spacing w:after="0"/>
              <w:rPr>
                <w:sz w:val="13"/>
                <w:szCs w:val="13"/>
                <w:color w:val="auto"/>
              </w:rPr>
            </w:pPr>
          </w:p>
        </w:tc>
        <w:tc>
          <w:tcPr>
            <w:tcW w:w="6460" w:type="dxa"/>
            <w:vAlign w:val="bottom"/>
            <w:tcBorders>
              <w:bottom w:val="single" w:sz="8" w:color="0000FF"/>
            </w:tcBorders>
            <w:gridSpan w:val="2"/>
          </w:tcPr>
          <w:p>
            <w:pPr>
              <w:spacing w:after="0" w:line="150" w:lineRule="exact"/>
              <w:rPr>
                <w:rFonts w:ascii="Arial" w:cs="Arial" w:eastAsia="Arial" w:hAnsi="Arial"/>
                <w:sz w:val="17"/>
                <w:szCs w:val="17"/>
                <w:color w:val="0000FF"/>
                <w:w w:val="93"/>
              </w:rPr>
            </w:pPr>
            <w:hyperlink r:id="rId97">
              <w:r>
                <w:rPr>
                  <w:rFonts w:ascii="Arial" w:cs="Arial" w:eastAsia="Arial" w:hAnsi="Arial"/>
                  <w:sz w:val="17"/>
                  <w:szCs w:val="17"/>
                  <w:color w:val="0000FF"/>
                  <w:w w:val="93"/>
                </w:rPr>
                <w:t>Registration Statement on Form S-1 (Registration No. 333-121001) filed October 17, 2006).</w:t>
              </w:r>
            </w:hyperlink>
          </w:p>
        </w:tc>
        <w:tc>
          <w:tcPr>
            <w:tcW w:w="33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55"/>
        </w:trPr>
        <w:tc>
          <w:tcPr>
            <w:tcW w:w="640" w:type="dxa"/>
            <w:vAlign w:val="bottom"/>
          </w:tcPr>
          <w:p>
            <w:pPr>
              <w:jc w:val="right"/>
              <w:ind w:right="133"/>
              <w:spacing w:after="0"/>
              <w:rPr>
                <w:sz w:val="20"/>
                <w:szCs w:val="20"/>
                <w:color w:val="auto"/>
              </w:rPr>
            </w:pPr>
            <w:r>
              <w:rPr>
                <w:rFonts w:ascii="Arial" w:cs="Arial" w:eastAsia="Arial" w:hAnsi="Arial"/>
                <w:sz w:val="17"/>
                <w:szCs w:val="17"/>
                <w:color w:val="auto"/>
                <w:w w:val="92"/>
              </w:rPr>
              <w:t>10.9+</w:t>
            </w:r>
          </w:p>
        </w:tc>
        <w:tc>
          <w:tcPr>
            <w:tcW w:w="420" w:type="dxa"/>
            <w:vAlign w:val="bottom"/>
          </w:tcPr>
          <w:p>
            <w:pPr>
              <w:spacing w:after="0"/>
              <w:rPr>
                <w:sz w:val="22"/>
                <w:szCs w:val="22"/>
                <w:color w:val="auto"/>
              </w:rPr>
            </w:pPr>
          </w:p>
        </w:tc>
        <w:tc>
          <w:tcPr>
            <w:tcW w:w="9400" w:type="dxa"/>
            <w:vAlign w:val="bottom"/>
            <w:tcBorders>
              <w:bottom w:val="single" w:sz="8" w:color="0000FF"/>
            </w:tcBorders>
            <w:gridSpan w:val="4"/>
          </w:tcPr>
          <w:p>
            <w:pPr>
              <w:ind w:left="20"/>
              <w:spacing w:after="0"/>
              <w:rPr>
                <w:rFonts w:ascii="Arial" w:cs="Arial" w:eastAsia="Arial" w:hAnsi="Arial"/>
                <w:sz w:val="17"/>
                <w:szCs w:val="17"/>
                <w:color w:val="0000FF"/>
                <w:w w:val="93"/>
              </w:rPr>
            </w:pPr>
            <w:hyperlink r:id="rId98">
              <w:r>
                <w:rPr>
                  <w:rFonts w:ascii="Arial" w:cs="Arial" w:eastAsia="Arial" w:hAnsi="Arial"/>
                  <w:sz w:val="17"/>
                  <w:szCs w:val="17"/>
                  <w:color w:val="0000FF"/>
                  <w:w w:val="93"/>
                </w:rPr>
                <w:t>Form of Non-Qualified Stock Option Agreement under the 2006 Omnibus India Subplan 2 (incorporated by reference to Exhibit 10.39</w:t>
              </w:r>
            </w:hyperlink>
          </w:p>
        </w:tc>
        <w:tc>
          <w:tcPr>
            <w:tcW w:w="20" w:type="dxa"/>
            <w:vAlign w:val="bottom"/>
          </w:tcPr>
          <w:p>
            <w:pPr>
              <w:spacing w:after="0"/>
              <w:rPr>
                <w:sz w:val="22"/>
                <w:szCs w:val="22"/>
                <w:color w:val="auto"/>
              </w:rPr>
            </w:pPr>
          </w:p>
        </w:tc>
      </w:tr>
      <w:tr>
        <w:trPr>
          <w:trHeight w:val="150"/>
        </w:trPr>
        <w:tc>
          <w:tcPr>
            <w:tcW w:w="640" w:type="dxa"/>
            <w:vAlign w:val="bottom"/>
          </w:tcPr>
          <w:p>
            <w:pPr>
              <w:spacing w:after="0"/>
              <w:rPr>
                <w:sz w:val="13"/>
                <w:szCs w:val="13"/>
                <w:color w:val="auto"/>
              </w:rPr>
            </w:pPr>
          </w:p>
        </w:tc>
        <w:tc>
          <w:tcPr>
            <w:tcW w:w="9820" w:type="dxa"/>
            <w:vAlign w:val="bottom"/>
            <w:gridSpan w:val="5"/>
          </w:tcPr>
          <w:p>
            <w:pPr>
              <w:spacing w:after="0" w:line="150" w:lineRule="exact"/>
              <w:rPr>
                <w:rFonts w:ascii="Arial" w:cs="Arial" w:eastAsia="Arial" w:hAnsi="Arial"/>
                <w:sz w:val="17"/>
                <w:szCs w:val="17"/>
                <w:color w:val="0000FF"/>
              </w:rPr>
            </w:pPr>
            <w:hyperlink r:id="rId98">
              <w:r>
                <w:rPr>
                  <w:rFonts w:ascii="Arial" w:cs="Arial" w:eastAsia="Arial" w:hAnsi="Arial"/>
                  <w:sz w:val="17"/>
                  <w:szCs w:val="17"/>
                  <w:color w:val="0000FF"/>
                </w:rPr>
                <w:t>Amendment 5 to the Company’s Registration Statement on Form S-1 (Registration No. 333-121001) filed October 4, 2006).</w:t>
              </w:r>
            </w:hyperlink>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9" w:lineRule="exact"/>
        <w:rPr>
          <w:sz w:val="20"/>
          <w:szCs w:val="20"/>
          <w:color w:val="auto"/>
        </w:rPr>
      </w:pPr>
    </w:p>
    <w:p>
      <w:pPr>
        <w:jc w:val="both"/>
        <w:ind w:left="1520" w:hanging="628"/>
        <w:spacing w:after="0" w:line="241" w:lineRule="auto"/>
        <w:tabs>
          <w:tab w:leader="none" w:pos="1500" w:val="left"/>
        </w:tabs>
        <w:rPr>
          <w:rFonts w:ascii="Arial" w:cs="Arial" w:eastAsia="Arial" w:hAnsi="Arial"/>
          <w:sz w:val="17"/>
          <w:szCs w:val="17"/>
          <w:u w:val="single" w:color="auto"/>
          <w:color w:val="0000FF"/>
        </w:rPr>
      </w:pPr>
      <w:r>
        <w:rPr>
          <w:rFonts w:ascii="Arial" w:cs="Arial" w:eastAsia="Arial" w:hAnsi="Arial"/>
          <w:sz w:val="17"/>
          <w:szCs w:val="17"/>
          <w:color w:val="auto"/>
        </w:rPr>
        <w:t>10.10+</w:t>
      </w:r>
      <w:r>
        <w:rPr>
          <w:sz w:val="20"/>
          <w:szCs w:val="20"/>
          <w:color w:val="auto"/>
        </w:rPr>
        <w:tab/>
      </w:r>
      <w:hyperlink r:id="rId99">
        <w:r>
          <w:rPr>
            <w:rFonts w:ascii="Arial" w:cs="Arial" w:eastAsia="Arial" w:hAnsi="Arial"/>
            <w:sz w:val="17"/>
            <w:szCs w:val="17"/>
            <w:u w:val="single" w:color="auto"/>
            <w:color w:val="0000FF"/>
          </w:rPr>
          <w:t>Amendment to ExlService Holdings, Inc. 2006 Omnibus Award Plan (incorporated by reference to Exhibit 10.43 of Amendment 5 to t</w:t>
        </w:r>
      </w:hyperlink>
      <w:r>
        <w:rPr>
          <w:rFonts w:ascii="Arial" w:cs="Arial" w:eastAsia="Arial" w:hAnsi="Arial"/>
          <w:sz w:val="17"/>
          <w:szCs w:val="17"/>
          <w:u w:val="single" w:color="auto"/>
          <w:color w:val="0000FF"/>
        </w:rPr>
        <w:t xml:space="preserve"> </w:t>
      </w:r>
      <w:hyperlink r:id="rId99">
        <w:r>
          <w:rPr>
            <w:rFonts w:ascii="Arial" w:cs="Arial" w:eastAsia="Arial" w:hAnsi="Arial"/>
            <w:sz w:val="17"/>
            <w:szCs w:val="17"/>
            <w:u w:val="single" w:color="auto"/>
            <w:color w:val="0000FF"/>
          </w:rPr>
          <w:t>Company’s Registration Statement on Form S-1 (Registration No. 333-121001) filed October 4, 2006).</w:t>
        </w:r>
      </w:hyperlink>
    </w:p>
    <w:p>
      <w:pPr>
        <w:spacing w:after="0" w:line="53" w:lineRule="exact"/>
        <w:rPr>
          <w:sz w:val="20"/>
          <w:szCs w:val="20"/>
          <w:color w:val="auto"/>
        </w:rPr>
      </w:pPr>
    </w:p>
    <w:p>
      <w:pPr>
        <w:jc w:val="both"/>
        <w:ind w:left="1520" w:hanging="628"/>
        <w:spacing w:after="0" w:line="241" w:lineRule="auto"/>
        <w:tabs>
          <w:tab w:leader="none" w:pos="1500" w:val="left"/>
        </w:tabs>
        <w:rPr>
          <w:rFonts w:ascii="Arial" w:cs="Arial" w:eastAsia="Arial" w:hAnsi="Arial"/>
          <w:sz w:val="17"/>
          <w:szCs w:val="17"/>
          <w:u w:val="single" w:color="auto"/>
          <w:color w:val="0000FF"/>
        </w:rPr>
      </w:pPr>
      <w:r>
        <w:rPr>
          <w:rFonts w:ascii="Arial" w:cs="Arial" w:eastAsia="Arial" w:hAnsi="Arial"/>
          <w:sz w:val="17"/>
          <w:szCs w:val="17"/>
          <w:color w:val="auto"/>
        </w:rPr>
        <w:t>10.11+</w:t>
      </w:r>
      <w:r>
        <w:rPr>
          <w:sz w:val="20"/>
          <w:szCs w:val="20"/>
          <w:color w:val="auto"/>
        </w:rPr>
        <w:tab/>
      </w:r>
      <w:hyperlink r:id="rId100">
        <w:r>
          <w:rPr>
            <w:rFonts w:ascii="Arial" w:cs="Arial" w:eastAsia="Arial" w:hAnsi="Arial"/>
            <w:sz w:val="17"/>
            <w:szCs w:val="17"/>
            <w:u w:val="single" w:color="auto"/>
            <w:color w:val="0000FF"/>
          </w:rPr>
          <w:t>Amendment No. 2 to ExlService Holdings, Inc. 2006 Omnibus Award Plan (incorporated by reference to Exhibit 10.46 of Amendmen</w:t>
        </w:r>
      </w:hyperlink>
      <w:r>
        <w:rPr>
          <w:rFonts w:ascii="Arial" w:cs="Arial" w:eastAsia="Arial" w:hAnsi="Arial"/>
          <w:sz w:val="17"/>
          <w:szCs w:val="17"/>
          <w:u w:val="single" w:color="auto"/>
          <w:color w:val="0000FF"/>
        </w:rPr>
        <w:t xml:space="preserve"> </w:t>
      </w:r>
      <w:hyperlink r:id="rId100">
        <w:r>
          <w:rPr>
            <w:rFonts w:ascii="Arial" w:cs="Arial" w:eastAsia="Arial" w:hAnsi="Arial"/>
            <w:sz w:val="17"/>
            <w:szCs w:val="17"/>
            <w:u w:val="single" w:color="auto"/>
            <w:color w:val="0000FF"/>
          </w:rPr>
          <w:t>to the Registration Statement on Form S-1 (Registration No. 333-121001) filed October 17, 2006).</w:t>
        </w:r>
      </w:hyperlink>
    </w:p>
    <w:p>
      <w:pPr>
        <w:spacing w:after="0" w:line="53" w:lineRule="exact"/>
        <w:rPr>
          <w:sz w:val="20"/>
          <w:szCs w:val="20"/>
          <w:color w:val="auto"/>
        </w:rPr>
      </w:pPr>
    </w:p>
    <w:p>
      <w:pPr>
        <w:jc w:val="both"/>
        <w:ind w:left="1520" w:right="20" w:hanging="628"/>
        <w:spacing w:after="0" w:line="241" w:lineRule="auto"/>
        <w:tabs>
          <w:tab w:leader="none" w:pos="1500" w:val="left"/>
        </w:tabs>
        <w:rPr>
          <w:rFonts w:ascii="Arial" w:cs="Arial" w:eastAsia="Arial" w:hAnsi="Arial"/>
          <w:sz w:val="17"/>
          <w:szCs w:val="17"/>
          <w:u w:val="single" w:color="auto"/>
          <w:color w:val="0000FF"/>
        </w:rPr>
      </w:pPr>
      <w:r>
        <w:rPr>
          <w:rFonts w:ascii="Arial" w:cs="Arial" w:eastAsia="Arial" w:hAnsi="Arial"/>
          <w:sz w:val="17"/>
          <w:szCs w:val="17"/>
          <w:color w:val="auto"/>
        </w:rPr>
        <w:t>10.12+</w:t>
      </w:r>
      <w:r>
        <w:rPr>
          <w:sz w:val="20"/>
          <w:szCs w:val="20"/>
          <w:color w:val="auto"/>
        </w:rPr>
        <w:tab/>
      </w:r>
      <w:hyperlink r:id="rId101">
        <w:r>
          <w:rPr>
            <w:rFonts w:ascii="Arial" w:cs="Arial" w:eastAsia="Arial" w:hAnsi="Arial"/>
            <w:sz w:val="17"/>
            <w:szCs w:val="17"/>
            <w:u w:val="single" w:color="auto"/>
            <w:color w:val="0000FF"/>
          </w:rPr>
          <w:t>Amendment No. 3 to ExlService Holdings, Inc. 2006 Omnibus Award Plan (incorporated by reference to Exhibit 4.6 to the Company’</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Registration Statement on Form S-8 (Registration No. 333-157076) filed February 2, 2009).</w:t>
        </w:r>
      </w:hyperlink>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7" w:right="2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tcPr>
          <w:p>
            <w:pPr>
              <w:spacing w:after="0"/>
              <w:rPr>
                <w:rFonts w:ascii="Arial" w:cs="Arial" w:eastAsia="Arial" w:hAnsi="Arial"/>
                <w:sz w:val="17"/>
                <w:szCs w:val="17"/>
                <w:b w:val="1"/>
                <w:bCs w:val="1"/>
                <w:color w:val="0000FF"/>
                <w:w w:val="90"/>
              </w:rPr>
            </w:pPr>
            <w:hyperlink w:anchor="page2">
              <w:r>
                <w:rPr>
                  <w:rFonts w:ascii="Arial" w:cs="Arial" w:eastAsia="Arial" w:hAnsi="Arial"/>
                  <w:sz w:val="17"/>
                  <w:szCs w:val="17"/>
                  <w:b w:val="1"/>
                  <w:bCs w:val="1"/>
                  <w:color w:val="0000FF"/>
                  <w:w w:val="90"/>
                </w:rPr>
                <w:t>Table of Contents</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2"/>
        </w:trPr>
        <w:tc>
          <w:tcPr>
            <w:tcW w:w="1520" w:type="dxa"/>
            <w:vAlign w:val="bottom"/>
            <w:gridSpan w:val="2"/>
          </w:tcPr>
          <w:p>
            <w:pPr>
              <w:ind w:left="880"/>
              <w:spacing w:after="0"/>
              <w:rPr>
                <w:sz w:val="20"/>
                <w:szCs w:val="20"/>
                <w:color w:val="auto"/>
              </w:rPr>
            </w:pPr>
            <w:r>
              <w:rPr>
                <w:rFonts w:ascii="Arial" w:cs="Arial" w:eastAsia="Arial" w:hAnsi="Arial"/>
                <w:sz w:val="17"/>
                <w:szCs w:val="17"/>
                <w:color w:val="auto"/>
              </w:rPr>
              <w:t>10.13+</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20" w:type="dxa"/>
            <w:vAlign w:val="bottom"/>
            <w:tcBorders>
              <w:bottom w:val="single" w:sz="8" w:color="0000FF"/>
            </w:tcBorders>
            <w:gridSpan w:val="26"/>
          </w:tcPr>
          <w:p>
            <w:pPr>
              <w:ind w:left="20"/>
              <w:spacing w:after="0"/>
              <w:rPr>
                <w:rFonts w:ascii="Arial" w:cs="Arial" w:eastAsia="Arial" w:hAnsi="Arial"/>
                <w:sz w:val="17"/>
                <w:szCs w:val="17"/>
                <w:color w:val="0000FF"/>
                <w:w w:val="94"/>
              </w:rPr>
            </w:pPr>
            <w:hyperlink r:id="rId103">
              <w:r>
                <w:rPr>
                  <w:rFonts w:ascii="Arial" w:cs="Arial" w:eastAsia="Arial" w:hAnsi="Arial"/>
                  <w:sz w:val="17"/>
                  <w:szCs w:val="17"/>
                  <w:color w:val="0000FF"/>
                  <w:w w:val="94"/>
                </w:rPr>
                <w:t>Form of Restricted Stock Unit Agreement (U.S.) under the 2006 Omnibus Award Plan (incorporated by reference to Exhibit 10.1 to th</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40" w:type="dxa"/>
            <w:vAlign w:val="bottom"/>
            <w:gridSpan w:val="28"/>
          </w:tcPr>
          <w:p>
            <w:pPr>
              <w:spacing w:after="0" w:line="150" w:lineRule="exact"/>
              <w:rPr>
                <w:rFonts w:ascii="Arial" w:cs="Arial" w:eastAsia="Arial" w:hAnsi="Arial"/>
                <w:sz w:val="17"/>
                <w:szCs w:val="17"/>
                <w:color w:val="0000FF"/>
              </w:rPr>
            </w:pPr>
            <w:hyperlink r:id="rId103">
              <w:r>
                <w:rPr>
                  <w:rFonts w:ascii="Arial" w:cs="Arial" w:eastAsia="Arial" w:hAnsi="Arial"/>
                  <w:sz w:val="17"/>
                  <w:szCs w:val="17"/>
                  <w:color w:val="0000FF"/>
                </w:rPr>
                <w:t>Company’s Quarterly Report on Form 10-Q (File No. 1-33089) filed on May 1, 2014).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520" w:type="dxa"/>
            <w:vAlign w:val="bottom"/>
            <w:gridSpan w:val="2"/>
          </w:tcPr>
          <w:p>
            <w:pPr>
              <w:ind w:left="880"/>
              <w:spacing w:after="0"/>
              <w:rPr>
                <w:sz w:val="20"/>
                <w:szCs w:val="20"/>
                <w:color w:val="auto"/>
              </w:rPr>
            </w:pPr>
            <w:r>
              <w:rPr>
                <w:rFonts w:ascii="Arial" w:cs="Arial" w:eastAsia="Arial" w:hAnsi="Arial"/>
                <w:sz w:val="17"/>
                <w:szCs w:val="17"/>
                <w:color w:val="auto"/>
              </w:rPr>
              <w:t>10.14+</w:t>
            </w:r>
          </w:p>
        </w:tc>
        <w:tc>
          <w:tcPr>
            <w:tcW w:w="420" w:type="dxa"/>
            <w:vAlign w:val="bottom"/>
            <w:gridSpan w:val="2"/>
            <w:vMerge w:val="restart"/>
          </w:tcPr>
          <w:p>
            <w:pPr>
              <w:spacing w:after="0"/>
              <w:rPr>
                <w:rFonts w:ascii="Arial" w:cs="Arial" w:eastAsia="Arial" w:hAnsi="Arial"/>
                <w:sz w:val="17"/>
                <w:szCs w:val="17"/>
                <w:color w:val="0000FF"/>
                <w:w w:val="93"/>
              </w:rPr>
            </w:pPr>
            <w:hyperlink r:id="rId104">
              <w:r>
                <w:rPr>
                  <w:rFonts w:ascii="Arial" w:cs="Arial" w:eastAsia="Arial" w:hAnsi="Arial"/>
                  <w:sz w:val="17"/>
                  <w:szCs w:val="17"/>
                  <w:color w:val="0000FF"/>
                  <w:w w:val="93"/>
                </w:rPr>
                <w:t>to the</w:t>
              </w:r>
            </w:hyperlink>
          </w:p>
        </w:tc>
        <w:tc>
          <w:tcPr>
            <w:tcW w:w="9440" w:type="dxa"/>
            <w:vAlign w:val="bottom"/>
            <w:gridSpan w:val="27"/>
          </w:tcPr>
          <w:p>
            <w:pPr>
              <w:ind w:left="20"/>
              <w:spacing w:after="0"/>
              <w:rPr>
                <w:rFonts w:ascii="Arial" w:cs="Arial" w:eastAsia="Arial" w:hAnsi="Arial"/>
                <w:sz w:val="17"/>
                <w:szCs w:val="17"/>
                <w:color w:val="0000FF"/>
                <w:w w:val="94"/>
              </w:rPr>
            </w:pPr>
            <w:hyperlink r:id="rId104">
              <w:r>
                <w:rPr>
                  <w:rFonts w:ascii="Arial" w:cs="Arial" w:eastAsia="Arial" w:hAnsi="Arial"/>
                  <w:sz w:val="17"/>
                  <w:szCs w:val="17"/>
                  <w:color w:val="0000FF"/>
                  <w:w w:val="94"/>
                </w:rPr>
                <w:t>ExlService Holdings, Inc. 2015 Amendment and Restatement of the 2006 Omnibus Award Plan (incorporated by reference to Exhibit</w:t>
              </w:r>
            </w:hyperlink>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9420" w:type="dxa"/>
            <w:vAlign w:val="bottom"/>
            <w:tcBorders>
              <w:top w:val="single" w:sz="8" w:color="0000FF"/>
            </w:tcBorders>
            <w:gridSpan w:val="26"/>
          </w:tcPr>
          <w:p>
            <w:pPr>
              <w:ind w:left="20"/>
              <w:spacing w:after="0" w:line="150" w:lineRule="exact"/>
              <w:rPr>
                <w:rFonts w:ascii="Arial" w:cs="Arial" w:eastAsia="Arial" w:hAnsi="Arial"/>
                <w:sz w:val="17"/>
                <w:szCs w:val="17"/>
                <w:color w:val="0000FF"/>
              </w:rPr>
            </w:pPr>
            <w:hyperlink r:id="rId104">
              <w:r>
                <w:rPr>
                  <w:rFonts w:ascii="Arial" w:cs="Arial" w:eastAsia="Arial" w:hAnsi="Arial"/>
                  <w:sz w:val="17"/>
                  <w:szCs w:val="17"/>
                  <w:color w:val="0000FF"/>
                </w:rPr>
                <w:t>Company’s Current Report on Form 8-K (File No. 1-33089) filed on June 25,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520" w:type="dxa"/>
            <w:vAlign w:val="bottom"/>
            <w:gridSpan w:val="2"/>
          </w:tcPr>
          <w:p>
            <w:pPr>
              <w:ind w:left="880"/>
              <w:spacing w:after="0"/>
              <w:rPr>
                <w:sz w:val="20"/>
                <w:szCs w:val="20"/>
                <w:color w:val="auto"/>
              </w:rPr>
            </w:pPr>
            <w:r>
              <w:rPr>
                <w:rFonts w:ascii="Arial" w:cs="Arial" w:eastAsia="Arial" w:hAnsi="Arial"/>
                <w:sz w:val="17"/>
                <w:szCs w:val="17"/>
                <w:color w:val="auto"/>
              </w:rPr>
              <w:t>10.15+</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340" w:type="dxa"/>
            <w:vAlign w:val="bottom"/>
            <w:tcBorders>
              <w:bottom w:val="single" w:sz="8" w:color="0000FF"/>
            </w:tcBorders>
            <w:gridSpan w:val="24"/>
          </w:tcPr>
          <w:p>
            <w:pPr>
              <w:ind w:left="20"/>
              <w:spacing w:after="0"/>
              <w:rPr>
                <w:rFonts w:ascii="Arial" w:cs="Arial" w:eastAsia="Arial" w:hAnsi="Arial"/>
                <w:sz w:val="17"/>
                <w:szCs w:val="17"/>
                <w:color w:val="0000FF"/>
                <w:w w:val="93"/>
              </w:rPr>
            </w:pPr>
            <w:hyperlink r:id="rId105">
              <w:r>
                <w:rPr>
                  <w:rFonts w:ascii="Arial" w:cs="Arial" w:eastAsia="Arial" w:hAnsi="Arial"/>
                  <w:sz w:val="17"/>
                  <w:szCs w:val="17"/>
                  <w:color w:val="0000FF"/>
                  <w:w w:val="93"/>
                </w:rPr>
                <w:t>Form of Restricted Stock Unit Agreement (U.S.) under the ExlService Holdings, Inc. 2015 Amendment and Restatement of the 2006</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60" w:type="dxa"/>
            <w:vAlign w:val="bottom"/>
            <w:gridSpan w:val="26"/>
          </w:tcPr>
          <w:p>
            <w:pPr>
              <w:spacing w:after="0" w:line="150" w:lineRule="exact"/>
              <w:rPr>
                <w:rFonts w:ascii="Arial" w:cs="Arial" w:eastAsia="Arial" w:hAnsi="Arial"/>
                <w:sz w:val="17"/>
                <w:szCs w:val="17"/>
                <w:color w:val="0000FF"/>
                <w:w w:val="94"/>
              </w:rPr>
            </w:pPr>
            <w:hyperlink r:id="rId105">
              <w:r>
                <w:rPr>
                  <w:rFonts w:ascii="Arial" w:cs="Arial" w:eastAsia="Arial" w:hAnsi="Arial"/>
                  <w:sz w:val="17"/>
                  <w:szCs w:val="17"/>
                  <w:color w:val="0000FF"/>
                  <w:w w:val="94"/>
                </w:rPr>
                <w:t>Omnibus Award Plan (incorporated by reference to Exhibit 10.1 to the Company’s Quarterly Report on Form 10-Q (File No. 1-33089) filed</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40" w:type="dxa"/>
            <w:vAlign w:val="bottom"/>
            <w:tcBorders>
              <w:top w:val="single" w:sz="8" w:color="0000FF"/>
            </w:tcBorders>
            <w:gridSpan w:val="28"/>
          </w:tcPr>
          <w:p>
            <w:pPr>
              <w:spacing w:after="0" w:line="150" w:lineRule="exact"/>
              <w:rPr>
                <w:rFonts w:ascii="Arial" w:cs="Arial" w:eastAsia="Arial" w:hAnsi="Arial"/>
                <w:sz w:val="17"/>
                <w:szCs w:val="17"/>
                <w:color w:val="0000FF"/>
              </w:rPr>
            </w:pPr>
            <w:hyperlink r:id="rId105">
              <w:r>
                <w:rPr>
                  <w:rFonts w:ascii="Arial" w:cs="Arial" w:eastAsia="Arial" w:hAnsi="Arial"/>
                  <w:sz w:val="17"/>
                  <w:szCs w:val="17"/>
                  <w:color w:val="0000FF"/>
                </w:rPr>
                <w:t>October 27, 2016).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520" w:type="dxa"/>
            <w:vAlign w:val="bottom"/>
            <w:gridSpan w:val="2"/>
          </w:tcPr>
          <w:p>
            <w:pPr>
              <w:ind w:left="880"/>
              <w:spacing w:after="0"/>
              <w:rPr>
                <w:sz w:val="20"/>
                <w:szCs w:val="20"/>
                <w:color w:val="auto"/>
              </w:rPr>
            </w:pPr>
            <w:r>
              <w:rPr>
                <w:rFonts w:ascii="Arial" w:cs="Arial" w:eastAsia="Arial" w:hAnsi="Arial"/>
                <w:sz w:val="17"/>
                <w:szCs w:val="17"/>
                <w:color w:val="auto"/>
              </w:rPr>
              <w:t>10.16+</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340" w:type="dxa"/>
            <w:vAlign w:val="bottom"/>
            <w:tcBorders>
              <w:bottom w:val="single" w:sz="8" w:color="0000FF"/>
            </w:tcBorders>
            <w:gridSpan w:val="24"/>
          </w:tcPr>
          <w:p>
            <w:pPr>
              <w:ind w:left="20"/>
              <w:spacing w:after="0"/>
              <w:rPr>
                <w:rFonts w:ascii="Arial" w:cs="Arial" w:eastAsia="Arial" w:hAnsi="Arial"/>
                <w:sz w:val="17"/>
                <w:szCs w:val="17"/>
                <w:color w:val="0000FF"/>
                <w:w w:val="93"/>
              </w:rPr>
            </w:pPr>
            <w:hyperlink r:id="rId106">
              <w:r>
                <w:rPr>
                  <w:rFonts w:ascii="Arial" w:cs="Arial" w:eastAsia="Arial" w:hAnsi="Arial"/>
                  <w:sz w:val="17"/>
                  <w:szCs w:val="17"/>
                  <w:color w:val="0000FF"/>
                  <w:w w:val="93"/>
                </w:rPr>
                <w:t>Form of Restricted Stock Unit Agreement (U.S.) under the ExlService Holdings, Inc. 2015 Amendment and Restatement of the 2006</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60" w:type="dxa"/>
            <w:vAlign w:val="bottom"/>
            <w:gridSpan w:val="26"/>
          </w:tcPr>
          <w:p>
            <w:pPr>
              <w:spacing w:after="0" w:line="150" w:lineRule="exact"/>
              <w:rPr>
                <w:rFonts w:ascii="Arial" w:cs="Arial" w:eastAsia="Arial" w:hAnsi="Arial"/>
                <w:sz w:val="17"/>
                <w:szCs w:val="17"/>
                <w:color w:val="0000FF"/>
                <w:w w:val="94"/>
              </w:rPr>
            </w:pPr>
            <w:hyperlink r:id="rId106">
              <w:r>
                <w:rPr>
                  <w:rFonts w:ascii="Arial" w:cs="Arial" w:eastAsia="Arial" w:hAnsi="Arial"/>
                  <w:sz w:val="17"/>
                  <w:szCs w:val="17"/>
                  <w:color w:val="0000FF"/>
                  <w:w w:val="94"/>
                </w:rPr>
                <w:t>Omnibus Award Plan “(incorporated by reference to Exhibit 10.40 to the Company’s Annual Report on Form 10-K (File No. 1-33089) filed</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40" w:type="dxa"/>
            <w:vAlign w:val="bottom"/>
            <w:tcBorders>
              <w:top w:val="single" w:sz="8" w:color="0000FF"/>
            </w:tcBorders>
            <w:gridSpan w:val="28"/>
          </w:tcPr>
          <w:p>
            <w:pPr>
              <w:spacing w:after="0" w:line="150" w:lineRule="exact"/>
              <w:rPr>
                <w:rFonts w:ascii="Arial" w:cs="Arial" w:eastAsia="Arial" w:hAnsi="Arial"/>
                <w:sz w:val="17"/>
                <w:szCs w:val="17"/>
                <w:color w:val="0000FF"/>
              </w:rPr>
            </w:pPr>
            <w:hyperlink r:id="rId106">
              <w:r>
                <w:rPr>
                  <w:rFonts w:ascii="Arial" w:cs="Arial" w:eastAsia="Arial" w:hAnsi="Arial"/>
                  <w:sz w:val="17"/>
                  <w:szCs w:val="17"/>
                  <w:color w:val="0000FF"/>
                </w:rPr>
                <w:t>March 15, 2017).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520" w:type="dxa"/>
            <w:vAlign w:val="bottom"/>
            <w:gridSpan w:val="2"/>
          </w:tcPr>
          <w:p>
            <w:pPr>
              <w:ind w:left="880"/>
              <w:spacing w:after="0"/>
              <w:rPr>
                <w:sz w:val="20"/>
                <w:szCs w:val="20"/>
                <w:color w:val="auto"/>
              </w:rPr>
            </w:pPr>
            <w:r>
              <w:rPr>
                <w:rFonts w:ascii="Arial" w:cs="Arial" w:eastAsia="Arial" w:hAnsi="Arial"/>
                <w:sz w:val="17"/>
                <w:szCs w:val="17"/>
                <w:color w:val="auto"/>
              </w:rPr>
              <w:t>10.17+</w:t>
            </w:r>
          </w:p>
        </w:tc>
        <w:tc>
          <w:tcPr>
            <w:tcW w:w="420" w:type="dxa"/>
            <w:vAlign w:val="bottom"/>
            <w:gridSpan w:val="2"/>
            <w:vMerge w:val="restart"/>
          </w:tcPr>
          <w:p>
            <w:pPr>
              <w:spacing w:after="0"/>
              <w:rPr>
                <w:rFonts w:ascii="Arial" w:cs="Arial" w:eastAsia="Arial" w:hAnsi="Arial"/>
                <w:sz w:val="17"/>
                <w:szCs w:val="17"/>
                <w:color w:val="0000FF"/>
              </w:rPr>
            </w:pPr>
            <w:hyperlink r:id="rId107">
              <w:r>
                <w:rPr>
                  <w:rFonts w:ascii="Arial" w:cs="Arial" w:eastAsia="Arial" w:hAnsi="Arial"/>
                  <w:sz w:val="17"/>
                  <w:szCs w:val="17"/>
                  <w:color w:val="0000FF"/>
                </w:rPr>
                <w:t>Form</w:t>
              </w:r>
            </w:hyperlink>
          </w:p>
        </w:tc>
        <w:tc>
          <w:tcPr>
            <w:tcW w:w="9440" w:type="dxa"/>
            <w:vAlign w:val="bottom"/>
            <w:gridSpan w:val="27"/>
          </w:tcPr>
          <w:p>
            <w:pPr>
              <w:ind w:left="20"/>
              <w:spacing w:after="0"/>
              <w:rPr>
                <w:rFonts w:ascii="Arial" w:cs="Arial" w:eastAsia="Arial" w:hAnsi="Arial"/>
                <w:sz w:val="17"/>
                <w:szCs w:val="17"/>
                <w:color w:val="0000FF"/>
                <w:w w:val="94"/>
              </w:rPr>
            </w:pPr>
            <w:hyperlink r:id="rId107">
              <w:r>
                <w:rPr>
                  <w:rFonts w:ascii="Arial" w:cs="Arial" w:eastAsia="Arial" w:hAnsi="Arial"/>
                  <w:sz w:val="17"/>
                  <w:szCs w:val="17"/>
                  <w:color w:val="0000FF"/>
                  <w:w w:val="94"/>
                </w:rPr>
                <w:t>ExlService Holdings, Inc. 2018 Omnibus Incentive Plan (incorporated by reference to Exhibit 10.1 to the Company’s Current Report o</w:t>
              </w:r>
            </w:hyperlink>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9420" w:type="dxa"/>
            <w:vAlign w:val="bottom"/>
            <w:tcBorders>
              <w:top w:val="single" w:sz="8" w:color="0000FF"/>
            </w:tcBorders>
            <w:gridSpan w:val="26"/>
          </w:tcPr>
          <w:p>
            <w:pPr>
              <w:spacing w:after="0" w:line="150" w:lineRule="exact"/>
              <w:rPr>
                <w:rFonts w:ascii="Arial" w:cs="Arial" w:eastAsia="Arial" w:hAnsi="Arial"/>
                <w:sz w:val="17"/>
                <w:szCs w:val="17"/>
                <w:color w:val="0000FF"/>
              </w:rPr>
            </w:pPr>
            <w:hyperlink r:id="rId107">
              <w:r>
                <w:rPr>
                  <w:rFonts w:ascii="Arial" w:cs="Arial" w:eastAsia="Arial" w:hAnsi="Arial"/>
                  <w:sz w:val="17"/>
                  <w:szCs w:val="17"/>
                  <w:color w:val="0000FF"/>
                </w:rPr>
                <w:t>8-K (File No. 1-33089) filed on June 20,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520" w:type="dxa"/>
            <w:vAlign w:val="bottom"/>
            <w:gridSpan w:val="2"/>
          </w:tcPr>
          <w:p>
            <w:pPr>
              <w:ind w:left="880"/>
              <w:spacing w:after="0"/>
              <w:rPr>
                <w:sz w:val="20"/>
                <w:szCs w:val="20"/>
                <w:color w:val="auto"/>
              </w:rPr>
            </w:pPr>
            <w:r>
              <w:rPr>
                <w:rFonts w:ascii="Arial" w:cs="Arial" w:eastAsia="Arial" w:hAnsi="Arial"/>
                <w:sz w:val="17"/>
                <w:szCs w:val="17"/>
                <w:color w:val="auto"/>
              </w:rPr>
              <w:t>10.18+</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20" w:type="dxa"/>
            <w:vAlign w:val="bottom"/>
            <w:tcBorders>
              <w:bottom w:val="single" w:sz="8" w:color="0000FF"/>
            </w:tcBorders>
            <w:gridSpan w:val="26"/>
          </w:tcPr>
          <w:p>
            <w:pPr>
              <w:ind w:left="20"/>
              <w:spacing w:after="0"/>
              <w:rPr>
                <w:rFonts w:ascii="Arial" w:cs="Arial" w:eastAsia="Arial" w:hAnsi="Arial"/>
                <w:sz w:val="17"/>
                <w:szCs w:val="17"/>
                <w:color w:val="0000FF"/>
                <w:w w:val="93"/>
              </w:rPr>
            </w:pPr>
            <w:hyperlink r:id="rId108">
              <w:r>
                <w:rPr>
                  <w:rFonts w:ascii="Arial" w:cs="Arial" w:eastAsia="Arial" w:hAnsi="Arial"/>
                  <w:sz w:val="17"/>
                  <w:szCs w:val="17"/>
                  <w:color w:val="0000FF"/>
                  <w:w w:val="93"/>
                </w:rPr>
                <w:t>Form of Restricted Stock Unit Agreement (applicable to U.S. Executive Officers) under the 2018 Omnibus Incentive Plan (incorporate</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40" w:type="dxa"/>
            <w:vAlign w:val="bottom"/>
            <w:gridSpan w:val="28"/>
          </w:tcPr>
          <w:p>
            <w:pPr>
              <w:spacing w:after="0" w:line="150" w:lineRule="exact"/>
              <w:rPr>
                <w:rFonts w:ascii="Arial" w:cs="Arial" w:eastAsia="Arial" w:hAnsi="Arial"/>
                <w:sz w:val="17"/>
                <w:szCs w:val="17"/>
                <w:color w:val="0000FF"/>
              </w:rPr>
            </w:pPr>
            <w:hyperlink r:id="rId108">
              <w:r>
                <w:rPr>
                  <w:rFonts w:ascii="Arial" w:cs="Arial" w:eastAsia="Arial" w:hAnsi="Arial"/>
                  <w:sz w:val="17"/>
                  <w:szCs w:val="17"/>
                  <w:color w:val="0000FF"/>
                </w:rPr>
                <w:t>by reference to Exhibit 10.2 to the Company’s Quarterly Report on Form 10-Q (File No. 1-33089) filed on April 29,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520" w:type="dxa"/>
            <w:vAlign w:val="bottom"/>
            <w:gridSpan w:val="2"/>
          </w:tcPr>
          <w:p>
            <w:pPr>
              <w:ind w:left="880"/>
              <w:spacing w:after="0"/>
              <w:rPr>
                <w:sz w:val="20"/>
                <w:szCs w:val="20"/>
                <w:color w:val="auto"/>
              </w:rPr>
            </w:pPr>
            <w:r>
              <w:rPr>
                <w:rFonts w:ascii="Arial" w:cs="Arial" w:eastAsia="Arial" w:hAnsi="Arial"/>
                <w:sz w:val="17"/>
                <w:szCs w:val="17"/>
                <w:color w:val="auto"/>
              </w:rPr>
              <w:t>10.19+</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40" w:type="dxa"/>
            <w:vAlign w:val="bottom"/>
            <w:gridSpan w:val="27"/>
          </w:tcPr>
          <w:p>
            <w:pPr>
              <w:ind w:left="20"/>
              <w:spacing w:after="0"/>
              <w:rPr>
                <w:rFonts w:ascii="Arial" w:cs="Arial" w:eastAsia="Arial" w:hAnsi="Arial"/>
                <w:sz w:val="17"/>
                <w:szCs w:val="17"/>
                <w:color w:val="0000FF"/>
                <w:w w:val="97"/>
              </w:rPr>
            </w:pPr>
            <w:hyperlink r:id="rId109">
              <w:r>
                <w:rPr>
                  <w:rFonts w:ascii="Arial" w:cs="Arial" w:eastAsia="Arial" w:hAnsi="Arial"/>
                  <w:sz w:val="17"/>
                  <w:szCs w:val="17"/>
                  <w:color w:val="0000FF"/>
                  <w:w w:val="97"/>
                </w:rPr>
                <w:t>Form of Restricted Stock Unit Agreement (applicable to International Executive Officers) under the 2018 Omnibus Incentive Plan</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vMerge w:val="restart"/>
          </w:tcPr>
          <w:p>
            <w:pPr>
              <w:jc w:val="right"/>
              <w:spacing w:after="0" w:line="171" w:lineRule="exact"/>
              <w:rPr>
                <w:rFonts w:ascii="Arial" w:cs="Arial" w:eastAsia="Arial" w:hAnsi="Arial"/>
                <w:sz w:val="17"/>
                <w:szCs w:val="17"/>
                <w:color w:val="0000FF"/>
                <w:w w:val="83"/>
              </w:rPr>
            </w:pPr>
            <w:hyperlink r:id="rId109">
              <w:r>
                <w:rPr>
                  <w:rFonts w:ascii="Arial" w:cs="Arial" w:eastAsia="Arial" w:hAnsi="Arial"/>
                  <w:sz w:val="17"/>
                  <w:szCs w:val="17"/>
                  <w:color w:val="0000FF"/>
                  <w:w w:val="83"/>
                </w:rPr>
                <w:t>.</w:t>
              </w:r>
            </w:hyperlink>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540" w:type="dxa"/>
            <w:vAlign w:val="bottom"/>
            <w:gridSpan w:val="20"/>
          </w:tcPr>
          <w:p>
            <w:pPr>
              <w:spacing w:after="0" w:line="150" w:lineRule="exact"/>
              <w:rPr>
                <w:rFonts w:ascii="Arial" w:cs="Arial" w:eastAsia="Arial" w:hAnsi="Arial"/>
                <w:sz w:val="17"/>
                <w:szCs w:val="17"/>
                <w:color w:val="0000FF"/>
                <w:w w:val="94"/>
              </w:rPr>
            </w:pPr>
            <w:hyperlink r:id="rId109">
              <w:r>
                <w:rPr>
                  <w:rFonts w:ascii="Arial" w:cs="Arial" w:eastAsia="Arial" w:hAnsi="Arial"/>
                  <w:sz w:val="17"/>
                  <w:szCs w:val="17"/>
                  <w:color w:val="0000FF"/>
                  <w:w w:val="94"/>
                </w:rPr>
                <w:t>(incorporated by reference to Exhibit 10.3 to the Company’s Quarterly Report on Form 10-Q (File No. 1-33089) filed on April 29, 2021)</w:t>
              </w:r>
            </w:hyperlink>
          </w:p>
        </w:tc>
        <w:tc>
          <w:tcPr>
            <w:tcW w:w="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520" w:type="dxa"/>
            <w:vAlign w:val="bottom"/>
            <w:gridSpan w:val="2"/>
          </w:tcPr>
          <w:p>
            <w:pPr>
              <w:ind w:left="880"/>
              <w:spacing w:after="0"/>
              <w:rPr>
                <w:sz w:val="20"/>
                <w:szCs w:val="20"/>
                <w:color w:val="auto"/>
              </w:rPr>
            </w:pPr>
            <w:r>
              <w:rPr>
                <w:rFonts w:ascii="Arial" w:cs="Arial" w:eastAsia="Arial" w:hAnsi="Arial"/>
                <w:sz w:val="17"/>
                <w:szCs w:val="17"/>
                <w:color w:val="auto"/>
              </w:rPr>
              <w:t>10.20+</w:t>
            </w:r>
          </w:p>
        </w:tc>
        <w:tc>
          <w:tcPr>
            <w:tcW w:w="420" w:type="dxa"/>
            <w:vAlign w:val="bottom"/>
            <w:gridSpan w:val="2"/>
            <w:vMerge w:val="restart"/>
          </w:tcPr>
          <w:p>
            <w:pPr>
              <w:spacing w:after="0"/>
              <w:rPr>
                <w:rFonts w:ascii="Arial" w:cs="Arial" w:eastAsia="Arial" w:hAnsi="Arial"/>
                <w:sz w:val="17"/>
                <w:szCs w:val="17"/>
                <w:color w:val="0000FF"/>
                <w:w w:val="93"/>
              </w:rPr>
            </w:pPr>
            <w:hyperlink r:id="rId110">
              <w:r>
                <w:rPr>
                  <w:rFonts w:ascii="Arial" w:cs="Arial" w:eastAsia="Arial" w:hAnsi="Arial"/>
                  <w:sz w:val="17"/>
                  <w:szCs w:val="17"/>
                  <w:color w:val="0000FF"/>
                  <w:w w:val="93"/>
                </w:rPr>
                <w:t>to the</w:t>
              </w:r>
            </w:hyperlink>
          </w:p>
        </w:tc>
        <w:tc>
          <w:tcPr>
            <w:tcW w:w="9440" w:type="dxa"/>
            <w:vAlign w:val="bottom"/>
            <w:gridSpan w:val="27"/>
          </w:tcPr>
          <w:p>
            <w:pPr>
              <w:ind w:left="20"/>
              <w:spacing w:after="0"/>
              <w:rPr>
                <w:rFonts w:ascii="Arial" w:cs="Arial" w:eastAsia="Arial" w:hAnsi="Arial"/>
                <w:sz w:val="17"/>
                <w:szCs w:val="17"/>
                <w:color w:val="0000FF"/>
                <w:w w:val="94"/>
              </w:rPr>
            </w:pPr>
            <w:hyperlink r:id="rId110">
              <w:r>
                <w:rPr>
                  <w:rFonts w:ascii="Arial" w:cs="Arial" w:eastAsia="Arial" w:hAnsi="Arial"/>
                  <w:sz w:val="17"/>
                  <w:szCs w:val="17"/>
                  <w:color w:val="0000FF"/>
                  <w:w w:val="94"/>
                </w:rPr>
                <w:t>Form of Restricted Stock Unit Agreement (Directors) under the 2018 Omnibus Incentive Plan (incorporated by reference to Exhibit 10</w:t>
              </w:r>
            </w:hyperlink>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9420" w:type="dxa"/>
            <w:vAlign w:val="bottom"/>
            <w:tcBorders>
              <w:top w:val="single" w:sz="8" w:color="0000FF"/>
            </w:tcBorders>
            <w:gridSpan w:val="26"/>
          </w:tcPr>
          <w:p>
            <w:pPr>
              <w:ind w:left="20"/>
              <w:spacing w:after="0" w:line="150" w:lineRule="exact"/>
              <w:rPr>
                <w:rFonts w:ascii="Arial" w:cs="Arial" w:eastAsia="Arial" w:hAnsi="Arial"/>
                <w:sz w:val="17"/>
                <w:szCs w:val="17"/>
                <w:color w:val="0000FF"/>
              </w:rPr>
            </w:pPr>
            <w:hyperlink r:id="rId110">
              <w:r>
                <w:rPr>
                  <w:rFonts w:ascii="Arial" w:cs="Arial" w:eastAsia="Arial" w:hAnsi="Arial"/>
                  <w:sz w:val="17"/>
                  <w:szCs w:val="17"/>
                  <w:color w:val="0000FF"/>
                </w:rPr>
                <w:t>Company’s Quarterly Report on Form 10-Q (File No. 1-33089) filed on April 29,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320" w:type="dxa"/>
            <w:vAlign w:val="bottom"/>
          </w:tcPr>
          <w:p>
            <w:pPr>
              <w:ind w:left="880"/>
              <w:spacing w:after="0"/>
              <w:rPr>
                <w:sz w:val="20"/>
                <w:szCs w:val="20"/>
                <w:color w:val="auto"/>
              </w:rPr>
            </w:pPr>
            <w:r>
              <w:rPr>
                <w:rFonts w:ascii="Arial" w:cs="Arial" w:eastAsia="Arial" w:hAnsi="Arial"/>
                <w:sz w:val="17"/>
                <w:szCs w:val="17"/>
                <w:color w:val="auto"/>
                <w:w w:val="98"/>
              </w:rPr>
              <w:t>10.21</w:t>
            </w:r>
          </w:p>
        </w:tc>
        <w:tc>
          <w:tcPr>
            <w:tcW w:w="200" w:type="dxa"/>
            <w:vAlign w:val="bottom"/>
          </w:tcPr>
          <w:p>
            <w:pPr>
              <w:spacing w:after="0"/>
              <w:rPr>
                <w:sz w:val="24"/>
                <w:szCs w:val="24"/>
                <w:color w:val="auto"/>
              </w:rPr>
            </w:pPr>
          </w:p>
        </w:tc>
        <w:tc>
          <w:tcPr>
            <w:tcW w:w="420" w:type="dxa"/>
            <w:vAlign w:val="bottom"/>
            <w:gridSpan w:val="2"/>
            <w:vMerge w:val="restart"/>
          </w:tcPr>
          <w:p>
            <w:pPr>
              <w:spacing w:after="0"/>
              <w:rPr>
                <w:rFonts w:ascii="Arial" w:cs="Arial" w:eastAsia="Arial" w:hAnsi="Arial"/>
                <w:sz w:val="16"/>
                <w:szCs w:val="16"/>
                <w:color w:val="0000FF"/>
                <w:w w:val="73"/>
              </w:rPr>
            </w:pPr>
            <w:hyperlink r:id="rId111">
              <w:r>
                <w:rPr>
                  <w:rFonts w:ascii="Arial" w:cs="Arial" w:eastAsia="Arial" w:hAnsi="Arial"/>
                  <w:sz w:val="16"/>
                  <w:szCs w:val="16"/>
                  <w:color w:val="0000FF"/>
                  <w:w w:val="73"/>
                </w:rPr>
                <w:t>thereto,</w:t>
              </w:r>
            </w:hyperlink>
          </w:p>
        </w:tc>
        <w:tc>
          <w:tcPr>
            <w:tcW w:w="9440" w:type="dxa"/>
            <w:vAlign w:val="bottom"/>
            <w:gridSpan w:val="27"/>
          </w:tcPr>
          <w:p>
            <w:pPr>
              <w:ind w:left="20"/>
              <w:spacing w:after="0"/>
              <w:rPr>
                <w:rFonts w:ascii="Arial" w:cs="Arial" w:eastAsia="Arial" w:hAnsi="Arial"/>
                <w:sz w:val="17"/>
                <w:szCs w:val="17"/>
                <w:color w:val="0000FF"/>
                <w:w w:val="94"/>
              </w:rPr>
            </w:pPr>
            <w:hyperlink r:id="rId111">
              <w:r>
                <w:rPr>
                  <w:rFonts w:ascii="Arial" w:cs="Arial" w:eastAsia="Arial" w:hAnsi="Arial"/>
                  <w:sz w:val="17"/>
                  <w:szCs w:val="17"/>
                  <w:color w:val="0000FF"/>
                  <w:w w:val="94"/>
                </w:rPr>
                <w:t>Credit Agreement, dated as of November 21, 2017, among ExlService Holdings, Inc., the other loan parties thereto, the lenders party</w:t>
              </w:r>
            </w:hyperlink>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9320" w:type="dxa"/>
            <w:vAlign w:val="bottom"/>
            <w:tcBorders>
              <w:top w:val="single" w:sz="8" w:color="0000FF"/>
            </w:tcBorders>
            <w:gridSpan w:val="23"/>
          </w:tcPr>
          <w:p>
            <w:pPr>
              <w:ind w:left="140"/>
              <w:spacing w:after="0" w:line="150" w:lineRule="exact"/>
              <w:rPr>
                <w:rFonts w:ascii="Arial" w:cs="Arial" w:eastAsia="Arial" w:hAnsi="Arial"/>
                <w:sz w:val="17"/>
                <w:szCs w:val="17"/>
                <w:color w:val="0000FF"/>
              </w:rPr>
            </w:pPr>
            <w:hyperlink r:id="rId111">
              <w:r>
                <w:rPr>
                  <w:rFonts w:ascii="Arial" w:cs="Arial" w:eastAsia="Arial" w:hAnsi="Arial"/>
                  <w:sz w:val="17"/>
                  <w:szCs w:val="17"/>
                  <w:color w:val="0000FF"/>
                </w:rPr>
                <w:t>and Citibank, N.A., as administrative agent, Citibank, N.A. and PNC Capital Markets LLC, as joint lead arrangers and joint</w:t>
              </w:r>
            </w:hyperlink>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0" w:lineRule="exact"/>
              <w:rPr>
                <w:rFonts w:ascii="Arial" w:cs="Arial" w:eastAsia="Arial" w:hAnsi="Arial"/>
                <w:sz w:val="17"/>
                <w:szCs w:val="17"/>
                <w:color w:val="0000FF"/>
                <w:w w:val="93"/>
              </w:rPr>
            </w:pPr>
            <w:hyperlink r:id="rId111">
              <w:r>
                <w:rPr>
                  <w:rFonts w:ascii="Arial" w:cs="Arial" w:eastAsia="Arial" w:hAnsi="Arial"/>
                  <w:sz w:val="17"/>
                  <w:szCs w:val="17"/>
                  <w:color w:val="0000FF"/>
                  <w:w w:val="93"/>
                </w:rPr>
                <w:t>bookrunners, and JPMorgan Chase Bank, N.A., as syndication agent (incorporated by reference to Exhibit 10.37 to the Company’s</w:t>
              </w:r>
            </w:hyperlink>
          </w:p>
        </w:tc>
        <w:tc>
          <w:tcPr>
            <w:tcW w:w="640" w:type="dxa"/>
            <w:vAlign w:val="bottom"/>
            <w:gridSpan w:val="10"/>
          </w:tcPr>
          <w:p>
            <w:pPr>
              <w:spacing w:after="0" w:line="150" w:lineRule="exact"/>
              <w:rPr>
                <w:rFonts w:ascii="Arial" w:cs="Arial" w:eastAsia="Arial" w:hAnsi="Arial"/>
                <w:sz w:val="17"/>
                <w:szCs w:val="17"/>
                <w:color w:val="0000FF"/>
              </w:rPr>
            </w:pPr>
            <w:hyperlink r:id="rId111">
              <w:r>
                <w:rPr>
                  <w:rFonts w:ascii="Arial" w:cs="Arial" w:eastAsia="Arial" w:hAnsi="Arial"/>
                  <w:sz w:val="17"/>
                  <w:szCs w:val="17"/>
                  <w:color w:val="0000FF"/>
                </w:rPr>
                <w:t>Annual</w:t>
              </w:r>
            </w:hyperlink>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0" w:lineRule="exact"/>
              <w:rPr>
                <w:rFonts w:ascii="Arial" w:cs="Arial" w:eastAsia="Arial" w:hAnsi="Arial"/>
                <w:sz w:val="17"/>
                <w:szCs w:val="17"/>
                <w:color w:val="0000FF"/>
              </w:rPr>
            </w:pPr>
            <w:hyperlink r:id="rId111">
              <w:r>
                <w:rPr>
                  <w:rFonts w:ascii="Arial" w:cs="Arial" w:eastAsia="Arial" w:hAnsi="Arial"/>
                  <w:sz w:val="17"/>
                  <w:szCs w:val="17"/>
                  <w:color w:val="0000FF"/>
                </w:rPr>
                <w:t>Report on Form 10-K (File No. 1-33089) filed on February 27, 2018).</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20" w:type="dxa"/>
            <w:vAlign w:val="bottom"/>
          </w:tcPr>
          <w:p>
            <w:pPr>
              <w:ind w:left="880"/>
              <w:spacing w:after="0"/>
              <w:rPr>
                <w:sz w:val="20"/>
                <w:szCs w:val="20"/>
                <w:color w:val="auto"/>
              </w:rPr>
            </w:pPr>
            <w:r>
              <w:rPr>
                <w:rFonts w:ascii="Arial" w:cs="Arial" w:eastAsia="Arial" w:hAnsi="Arial"/>
                <w:sz w:val="17"/>
                <w:szCs w:val="17"/>
                <w:color w:val="auto"/>
                <w:w w:val="98"/>
              </w:rPr>
              <w:t>10.22</w:t>
            </w:r>
          </w:p>
        </w:tc>
        <w:tc>
          <w:tcPr>
            <w:tcW w:w="200" w:type="dxa"/>
            <w:vAlign w:val="bottom"/>
          </w:tcPr>
          <w:p>
            <w:pPr>
              <w:spacing w:after="0"/>
              <w:rPr>
                <w:sz w:val="22"/>
                <w:szCs w:val="22"/>
                <w:color w:val="auto"/>
              </w:rPr>
            </w:pPr>
          </w:p>
        </w:tc>
        <w:tc>
          <w:tcPr>
            <w:tcW w:w="420" w:type="dxa"/>
            <w:vAlign w:val="bottom"/>
            <w:gridSpan w:val="2"/>
            <w:vMerge w:val="restart"/>
          </w:tcPr>
          <w:p>
            <w:pPr>
              <w:spacing w:after="0"/>
              <w:rPr>
                <w:rFonts w:ascii="Arial" w:cs="Arial" w:eastAsia="Arial" w:hAnsi="Arial"/>
                <w:sz w:val="17"/>
                <w:szCs w:val="17"/>
                <w:color w:val="0000FF"/>
                <w:w w:val="71"/>
              </w:rPr>
            </w:pPr>
            <w:hyperlink r:id="rId112">
              <w:r>
                <w:rPr>
                  <w:rFonts w:ascii="Arial" w:cs="Arial" w:eastAsia="Arial" w:hAnsi="Arial"/>
                  <w:sz w:val="17"/>
                  <w:szCs w:val="17"/>
                  <w:color w:val="0000FF"/>
                  <w:w w:val="71"/>
                </w:rPr>
                <w:t>lenders</w:t>
              </w:r>
            </w:hyperlink>
          </w:p>
        </w:tc>
        <w:tc>
          <w:tcPr>
            <w:tcW w:w="9440" w:type="dxa"/>
            <w:vAlign w:val="bottom"/>
            <w:gridSpan w:val="27"/>
          </w:tcPr>
          <w:p>
            <w:pPr>
              <w:ind w:left="20"/>
              <w:spacing w:after="0"/>
              <w:rPr>
                <w:rFonts w:ascii="Arial" w:cs="Arial" w:eastAsia="Arial" w:hAnsi="Arial"/>
                <w:sz w:val="17"/>
                <w:szCs w:val="17"/>
                <w:color w:val="0000FF"/>
                <w:w w:val="95"/>
              </w:rPr>
            </w:pPr>
            <w:hyperlink r:id="rId112">
              <w:r>
                <w:rPr>
                  <w:rFonts w:ascii="Arial" w:cs="Arial" w:eastAsia="Arial" w:hAnsi="Arial"/>
                  <w:sz w:val="17"/>
                  <w:szCs w:val="17"/>
                  <w:color w:val="0000FF"/>
                  <w:w w:val="95"/>
                </w:rPr>
                <w:t>First Amendment to Credit Agreement, dated as of July 2, 2018, by and among the Company and the other loan parties thereto, the</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9440" w:type="dxa"/>
            <w:vAlign w:val="bottom"/>
            <w:gridSpan w:val="27"/>
          </w:tcPr>
          <w:p>
            <w:pPr>
              <w:ind w:left="120"/>
              <w:spacing w:after="0" w:line="150" w:lineRule="exact"/>
              <w:rPr>
                <w:rFonts w:ascii="Arial" w:cs="Arial" w:eastAsia="Arial" w:hAnsi="Arial"/>
                <w:sz w:val="17"/>
                <w:szCs w:val="17"/>
                <w:color w:val="0000FF"/>
                <w:w w:val="94"/>
              </w:rPr>
            </w:pPr>
            <w:hyperlink r:id="rId112">
              <w:r>
                <w:rPr>
                  <w:rFonts w:ascii="Arial" w:cs="Arial" w:eastAsia="Arial" w:hAnsi="Arial"/>
                  <w:sz w:val="17"/>
                  <w:szCs w:val="17"/>
                  <w:color w:val="0000FF"/>
                  <w:w w:val="94"/>
                </w:rPr>
                <w:t>party thereto, and Citibank, N.A., as administrative agent (incorporated by reference to Exhibit 10.24 to the Company’s Annual Rep</w:t>
              </w:r>
            </w:hyperlink>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10"/>
          </w:tcPr>
          <w:p>
            <w:pPr>
              <w:spacing w:after="0" w:line="150" w:lineRule="exact"/>
              <w:rPr>
                <w:rFonts w:ascii="Arial" w:cs="Arial" w:eastAsia="Arial" w:hAnsi="Arial"/>
                <w:sz w:val="17"/>
                <w:szCs w:val="17"/>
                <w:color w:val="0000FF"/>
                <w:w w:val="94"/>
              </w:rPr>
            </w:pPr>
            <w:hyperlink r:id="rId112">
              <w:r>
                <w:rPr>
                  <w:rFonts w:ascii="Arial" w:cs="Arial" w:eastAsia="Arial" w:hAnsi="Arial"/>
                  <w:sz w:val="17"/>
                  <w:szCs w:val="17"/>
                  <w:color w:val="0000FF"/>
                  <w:w w:val="94"/>
                </w:rPr>
                <w:t>on Form 10-K (File No. 1-33089) filed on February 28, 2019).</w:t>
              </w:r>
            </w:hyperlink>
          </w:p>
        </w:tc>
        <w:tc>
          <w:tcPr>
            <w:tcW w:w="54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320" w:type="dxa"/>
            <w:vAlign w:val="bottom"/>
          </w:tcPr>
          <w:p>
            <w:pPr>
              <w:ind w:left="880"/>
              <w:spacing w:after="0"/>
              <w:rPr>
                <w:sz w:val="20"/>
                <w:szCs w:val="20"/>
                <w:color w:val="auto"/>
              </w:rPr>
            </w:pPr>
            <w:r>
              <w:rPr>
                <w:rFonts w:ascii="Arial" w:cs="Arial" w:eastAsia="Arial" w:hAnsi="Arial"/>
                <w:sz w:val="17"/>
                <w:szCs w:val="17"/>
                <w:color w:val="auto"/>
                <w:w w:val="98"/>
              </w:rPr>
              <w:t>10.23</w:t>
            </w:r>
          </w:p>
        </w:tc>
        <w:tc>
          <w:tcPr>
            <w:tcW w:w="200" w:type="dxa"/>
            <w:vAlign w:val="bottom"/>
          </w:tcPr>
          <w:p>
            <w:pPr>
              <w:spacing w:after="0"/>
              <w:rPr>
                <w:sz w:val="22"/>
                <w:szCs w:val="22"/>
                <w:color w:val="auto"/>
              </w:rPr>
            </w:pPr>
          </w:p>
        </w:tc>
        <w:tc>
          <w:tcPr>
            <w:tcW w:w="420" w:type="dxa"/>
            <w:vAlign w:val="bottom"/>
            <w:gridSpan w:val="2"/>
            <w:vMerge w:val="restart"/>
          </w:tcPr>
          <w:p>
            <w:pPr>
              <w:spacing w:after="0"/>
              <w:rPr>
                <w:rFonts w:ascii="Arial" w:cs="Arial" w:eastAsia="Arial" w:hAnsi="Arial"/>
                <w:sz w:val="17"/>
                <w:szCs w:val="17"/>
                <w:color w:val="0000FF"/>
                <w:w w:val="71"/>
              </w:rPr>
            </w:pPr>
            <w:hyperlink r:id="rId113">
              <w:r>
                <w:rPr>
                  <w:rFonts w:ascii="Arial" w:cs="Arial" w:eastAsia="Arial" w:hAnsi="Arial"/>
                  <w:sz w:val="17"/>
                  <w:szCs w:val="17"/>
                  <w:color w:val="0000FF"/>
                  <w:w w:val="71"/>
                </w:rPr>
                <w:t>lenders</w:t>
              </w:r>
            </w:hyperlink>
          </w:p>
        </w:tc>
        <w:tc>
          <w:tcPr>
            <w:tcW w:w="9440" w:type="dxa"/>
            <w:vAlign w:val="bottom"/>
            <w:gridSpan w:val="27"/>
          </w:tcPr>
          <w:p>
            <w:pPr>
              <w:ind w:left="20"/>
              <w:spacing w:after="0"/>
              <w:rPr>
                <w:rFonts w:ascii="Arial" w:cs="Arial" w:eastAsia="Arial" w:hAnsi="Arial"/>
                <w:sz w:val="17"/>
                <w:szCs w:val="17"/>
                <w:color w:val="0000FF"/>
                <w:w w:val="92"/>
              </w:rPr>
            </w:pPr>
            <w:hyperlink r:id="rId113">
              <w:r>
                <w:rPr>
                  <w:rFonts w:ascii="Arial" w:cs="Arial" w:eastAsia="Arial" w:hAnsi="Arial"/>
                  <w:sz w:val="17"/>
                  <w:szCs w:val="17"/>
                  <w:color w:val="0000FF"/>
                  <w:w w:val="92"/>
                </w:rPr>
                <w:t>Second Amendment to Credit Agreement, dated as of October 1, 2018, by and among the Company and the other loan parties thereto,</w:t>
              </w:r>
            </w:hyperlink>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9420" w:type="dxa"/>
            <w:vAlign w:val="bottom"/>
            <w:tcBorders>
              <w:top w:val="single" w:sz="8" w:color="0000FF"/>
            </w:tcBorders>
            <w:gridSpan w:val="26"/>
          </w:tcPr>
          <w:p>
            <w:pPr>
              <w:ind w:left="120"/>
              <w:spacing w:after="0" w:line="150" w:lineRule="exact"/>
              <w:rPr>
                <w:rFonts w:ascii="Arial" w:cs="Arial" w:eastAsia="Arial" w:hAnsi="Arial"/>
                <w:sz w:val="17"/>
                <w:szCs w:val="17"/>
                <w:color w:val="0000FF"/>
                <w:w w:val="94"/>
              </w:rPr>
            </w:pPr>
            <w:hyperlink r:id="rId113">
              <w:r>
                <w:rPr>
                  <w:rFonts w:ascii="Arial" w:cs="Arial" w:eastAsia="Arial" w:hAnsi="Arial"/>
                  <w:sz w:val="17"/>
                  <w:szCs w:val="17"/>
                  <w:color w:val="0000FF"/>
                  <w:w w:val="94"/>
                </w:rPr>
                <w:t>party thereto, and Citibank, N.A., as administrative agent (incorporated by reference to Exhibit 10.2 to the Company’s Current Repo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7"/>
          </w:tcPr>
          <w:p>
            <w:pPr>
              <w:spacing w:after="0" w:line="150" w:lineRule="exact"/>
              <w:rPr>
                <w:rFonts w:ascii="Arial" w:cs="Arial" w:eastAsia="Arial" w:hAnsi="Arial"/>
                <w:sz w:val="17"/>
                <w:szCs w:val="17"/>
                <w:color w:val="0000FF"/>
              </w:rPr>
            </w:pPr>
            <w:hyperlink r:id="rId113">
              <w:r>
                <w:rPr>
                  <w:rFonts w:ascii="Arial" w:cs="Arial" w:eastAsia="Arial" w:hAnsi="Arial"/>
                  <w:sz w:val="17"/>
                  <w:szCs w:val="17"/>
                  <w:color w:val="0000FF"/>
                </w:rPr>
                <w:t>on Form 8-K (File No. 1-33089) filed on October 4, 2018).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20" w:type="dxa"/>
            <w:vAlign w:val="bottom"/>
          </w:tcPr>
          <w:p>
            <w:pPr>
              <w:ind w:left="880"/>
              <w:spacing w:after="0"/>
              <w:rPr>
                <w:sz w:val="20"/>
                <w:szCs w:val="20"/>
                <w:color w:val="auto"/>
              </w:rPr>
            </w:pPr>
            <w:r>
              <w:rPr>
                <w:rFonts w:ascii="Arial" w:cs="Arial" w:eastAsia="Arial" w:hAnsi="Arial"/>
                <w:sz w:val="17"/>
                <w:szCs w:val="17"/>
                <w:color w:val="auto"/>
                <w:w w:val="98"/>
              </w:rPr>
              <w:t>10.24</w:t>
            </w:r>
          </w:p>
        </w:tc>
        <w:tc>
          <w:tcPr>
            <w:tcW w:w="200" w:type="dxa"/>
            <w:vAlign w:val="bottom"/>
          </w:tcPr>
          <w:p>
            <w:pPr>
              <w:spacing w:after="0"/>
              <w:rPr>
                <w:sz w:val="22"/>
                <w:szCs w:val="22"/>
                <w:color w:val="auto"/>
              </w:rPr>
            </w:pPr>
          </w:p>
        </w:tc>
        <w:tc>
          <w:tcPr>
            <w:tcW w:w="420" w:type="dxa"/>
            <w:vAlign w:val="bottom"/>
            <w:gridSpan w:val="2"/>
            <w:vMerge w:val="restart"/>
          </w:tcPr>
          <w:p>
            <w:pPr>
              <w:spacing w:after="0"/>
              <w:rPr>
                <w:rFonts w:ascii="Arial" w:cs="Arial" w:eastAsia="Arial" w:hAnsi="Arial"/>
                <w:sz w:val="17"/>
                <w:szCs w:val="17"/>
                <w:color w:val="0000FF"/>
                <w:w w:val="71"/>
              </w:rPr>
            </w:pPr>
            <w:hyperlink r:id="rId114">
              <w:r>
                <w:rPr>
                  <w:rFonts w:ascii="Arial" w:cs="Arial" w:eastAsia="Arial" w:hAnsi="Arial"/>
                  <w:sz w:val="17"/>
                  <w:szCs w:val="17"/>
                  <w:color w:val="0000FF"/>
                  <w:w w:val="71"/>
                </w:rPr>
                <w:t>lenders</w:t>
              </w:r>
            </w:hyperlink>
          </w:p>
        </w:tc>
        <w:tc>
          <w:tcPr>
            <w:tcW w:w="9440" w:type="dxa"/>
            <w:vAlign w:val="bottom"/>
            <w:gridSpan w:val="27"/>
          </w:tcPr>
          <w:p>
            <w:pPr>
              <w:ind w:left="20"/>
              <w:spacing w:after="0"/>
              <w:rPr>
                <w:rFonts w:ascii="Arial" w:cs="Arial" w:eastAsia="Arial" w:hAnsi="Arial"/>
                <w:sz w:val="17"/>
                <w:szCs w:val="17"/>
                <w:color w:val="0000FF"/>
                <w:w w:val="93"/>
              </w:rPr>
            </w:pPr>
            <w:hyperlink r:id="rId114">
              <w:r>
                <w:rPr>
                  <w:rFonts w:ascii="Arial" w:cs="Arial" w:eastAsia="Arial" w:hAnsi="Arial"/>
                  <w:sz w:val="17"/>
                  <w:szCs w:val="17"/>
                  <w:color w:val="0000FF"/>
                  <w:w w:val="93"/>
                </w:rPr>
                <w:t>Third Amendment to Credit Agreement, dated as of April 16, 2021, by and among the Company and the other loan parties thereto, the</w:t>
              </w:r>
            </w:hyperlink>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9400" w:type="dxa"/>
            <w:vAlign w:val="bottom"/>
            <w:tcBorders>
              <w:top w:val="single" w:sz="8" w:color="0000FF"/>
            </w:tcBorders>
            <w:gridSpan w:val="25"/>
          </w:tcPr>
          <w:p>
            <w:pPr>
              <w:ind w:left="120"/>
              <w:spacing w:after="0" w:line="150" w:lineRule="exact"/>
              <w:rPr>
                <w:rFonts w:ascii="Arial" w:cs="Arial" w:eastAsia="Arial" w:hAnsi="Arial"/>
                <w:sz w:val="17"/>
                <w:szCs w:val="17"/>
                <w:color w:val="0000FF"/>
                <w:w w:val="93"/>
              </w:rPr>
            </w:pPr>
            <w:hyperlink r:id="rId114">
              <w:r>
                <w:rPr>
                  <w:rFonts w:ascii="Arial" w:cs="Arial" w:eastAsia="Arial" w:hAnsi="Arial"/>
                  <w:sz w:val="17"/>
                  <w:szCs w:val="17"/>
                  <w:color w:val="0000FF"/>
                  <w:w w:val="93"/>
                </w:rPr>
                <w:t>party thereto, and Citibank, N.A., as administrative agent (incorporated by reference to Exhibit 10.1 to the Company’s Current Repo</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7"/>
          </w:tcPr>
          <w:p>
            <w:pPr>
              <w:spacing w:after="0" w:line="150" w:lineRule="exact"/>
              <w:rPr>
                <w:rFonts w:ascii="Arial" w:cs="Arial" w:eastAsia="Arial" w:hAnsi="Arial"/>
                <w:sz w:val="17"/>
                <w:szCs w:val="17"/>
                <w:color w:val="0000FF"/>
              </w:rPr>
            </w:pPr>
            <w:hyperlink r:id="rId114">
              <w:r>
                <w:rPr>
                  <w:rFonts w:ascii="Arial" w:cs="Arial" w:eastAsia="Arial" w:hAnsi="Arial"/>
                  <w:sz w:val="17"/>
                  <w:szCs w:val="17"/>
                  <w:color w:val="0000FF"/>
                </w:rPr>
                <w:t>on Form 8-K (File No. 1-33089) filed on April 19,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20" w:type="dxa"/>
            <w:vAlign w:val="bottom"/>
          </w:tcPr>
          <w:p>
            <w:pPr>
              <w:ind w:left="880"/>
              <w:spacing w:after="0"/>
              <w:rPr>
                <w:sz w:val="20"/>
                <w:szCs w:val="20"/>
                <w:color w:val="auto"/>
              </w:rPr>
            </w:pPr>
            <w:r>
              <w:rPr>
                <w:rFonts w:ascii="Arial" w:cs="Arial" w:eastAsia="Arial" w:hAnsi="Arial"/>
                <w:sz w:val="17"/>
                <w:szCs w:val="17"/>
                <w:color w:val="auto"/>
                <w:w w:val="98"/>
              </w:rPr>
              <w:t>10.25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20" w:type="dxa"/>
            <w:vAlign w:val="bottom"/>
            <w:tcBorders>
              <w:bottom w:val="single" w:sz="8" w:color="0000FF"/>
            </w:tcBorders>
            <w:gridSpan w:val="26"/>
          </w:tcPr>
          <w:p>
            <w:pPr>
              <w:ind w:left="20"/>
              <w:spacing w:after="0"/>
              <w:rPr>
                <w:rFonts w:ascii="Arial" w:cs="Arial" w:eastAsia="Arial" w:hAnsi="Arial"/>
                <w:sz w:val="17"/>
                <w:szCs w:val="17"/>
                <w:color w:val="0000FF"/>
                <w:w w:val="93"/>
              </w:rPr>
            </w:pPr>
            <w:hyperlink r:id="rId115">
              <w:r>
                <w:rPr>
                  <w:rFonts w:ascii="Arial" w:cs="Arial" w:eastAsia="Arial" w:hAnsi="Arial"/>
                  <w:sz w:val="17"/>
                  <w:szCs w:val="17"/>
                  <w:color w:val="0000FF"/>
                  <w:w w:val="93"/>
                </w:rPr>
                <w:t>Payoff and Termination Agreement between ExlService Holdings, Inc. and Orogen Echo, LLC, dated August 27, 2021 (incorporated b</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40" w:type="dxa"/>
            <w:vAlign w:val="bottom"/>
            <w:gridSpan w:val="28"/>
          </w:tcPr>
          <w:p>
            <w:pPr>
              <w:spacing w:after="0" w:line="150" w:lineRule="exact"/>
              <w:rPr>
                <w:rFonts w:ascii="Arial" w:cs="Arial" w:eastAsia="Arial" w:hAnsi="Arial"/>
                <w:sz w:val="17"/>
                <w:szCs w:val="17"/>
                <w:color w:val="0000FF"/>
              </w:rPr>
            </w:pPr>
            <w:hyperlink r:id="rId115">
              <w:r>
                <w:rPr>
                  <w:rFonts w:ascii="Arial" w:cs="Arial" w:eastAsia="Arial" w:hAnsi="Arial"/>
                  <w:sz w:val="17"/>
                  <w:szCs w:val="17"/>
                  <w:color w:val="0000FF"/>
                </w:rPr>
                <w:t>reference to Exhibit 10.1 of the Company’s Current Report on Form 8-K (File No. 1-33089) filed on August 27,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320" w:type="dxa"/>
            <w:vAlign w:val="bottom"/>
          </w:tcPr>
          <w:p>
            <w:pPr>
              <w:ind w:left="880"/>
              <w:spacing w:after="0"/>
              <w:rPr>
                <w:sz w:val="20"/>
                <w:szCs w:val="20"/>
                <w:color w:val="auto"/>
              </w:rPr>
            </w:pPr>
            <w:r>
              <w:rPr>
                <w:rFonts w:ascii="Arial" w:cs="Arial" w:eastAsia="Arial" w:hAnsi="Arial"/>
                <w:sz w:val="17"/>
                <w:szCs w:val="17"/>
                <w:color w:val="auto"/>
              </w:rPr>
              <w:t>21.1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7900" w:type="dxa"/>
            <w:vAlign w:val="bottom"/>
            <w:tcBorders>
              <w:top w:val="single" w:sz="8" w:color="0000FF"/>
            </w:tcBorders>
            <w:gridSpan w:val="15"/>
          </w:tcPr>
          <w:p>
            <w:pPr>
              <w:ind w:left="20"/>
              <w:spacing w:after="0"/>
              <w:rPr>
                <w:rFonts w:ascii="Arial" w:cs="Arial" w:eastAsia="Arial" w:hAnsi="Arial"/>
                <w:sz w:val="17"/>
                <w:szCs w:val="17"/>
                <w:color w:val="0000FF"/>
              </w:rPr>
            </w:pPr>
            <w:hyperlink w:anchor="page130">
              <w:r>
                <w:rPr>
                  <w:rFonts w:ascii="Arial" w:cs="Arial" w:eastAsia="Arial" w:hAnsi="Arial"/>
                  <w:sz w:val="17"/>
                  <w:szCs w:val="17"/>
                  <w:color w:val="0000FF"/>
                </w:rPr>
                <w:t>Subsidiaries of the Company</w:t>
              </w:r>
            </w:hyperlink>
            <w:r>
              <w:rPr>
                <w:rFonts w:ascii="Arial" w:cs="Arial" w:eastAsia="Arial" w:hAnsi="Arial"/>
                <w:sz w:val="17"/>
                <w:szCs w:val="17"/>
                <w:color w:val="000000"/>
              </w:rPr>
              <w:t>.</w:t>
            </w:r>
          </w:p>
        </w:tc>
        <w:tc>
          <w:tcPr>
            <w:tcW w:w="15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20" w:type="dxa"/>
            <w:vAlign w:val="bottom"/>
          </w:tcPr>
          <w:p>
            <w:pPr>
              <w:ind w:left="880"/>
              <w:spacing w:after="0"/>
              <w:rPr>
                <w:sz w:val="20"/>
                <w:szCs w:val="20"/>
                <w:color w:val="auto"/>
              </w:rPr>
            </w:pPr>
            <w:r>
              <w:rPr>
                <w:rFonts w:ascii="Arial" w:cs="Arial" w:eastAsia="Arial" w:hAnsi="Arial"/>
                <w:sz w:val="17"/>
                <w:szCs w:val="17"/>
                <w:color w:val="auto"/>
              </w:rPr>
              <w:t>23.1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40" w:type="dxa"/>
            <w:vAlign w:val="bottom"/>
            <w:gridSpan w:val="27"/>
          </w:tcPr>
          <w:p>
            <w:pPr>
              <w:ind w:left="20"/>
              <w:spacing w:after="0"/>
              <w:rPr>
                <w:rFonts w:ascii="Arial" w:cs="Arial" w:eastAsia="Arial" w:hAnsi="Arial"/>
                <w:sz w:val="17"/>
                <w:szCs w:val="17"/>
                <w:color w:val="0000FF"/>
              </w:rPr>
            </w:pPr>
            <w:hyperlink w:anchor="page131">
              <w:r>
                <w:rPr>
                  <w:rFonts w:ascii="Arial" w:cs="Arial" w:eastAsia="Arial" w:hAnsi="Arial"/>
                  <w:sz w:val="17"/>
                  <w:szCs w:val="17"/>
                  <w:color w:val="0000FF"/>
                </w:rPr>
                <w:t>Consent of Deloitte &amp; Touche LLP, Independent Registered Public Accounting Firm.</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20" w:type="dxa"/>
            <w:vAlign w:val="bottom"/>
          </w:tcPr>
          <w:p>
            <w:pPr>
              <w:ind w:left="880"/>
              <w:spacing w:after="0"/>
              <w:rPr>
                <w:sz w:val="20"/>
                <w:szCs w:val="20"/>
                <w:color w:val="auto"/>
              </w:rPr>
            </w:pPr>
            <w:r>
              <w:rPr>
                <w:rFonts w:ascii="Arial" w:cs="Arial" w:eastAsia="Arial" w:hAnsi="Arial"/>
                <w:sz w:val="17"/>
                <w:szCs w:val="17"/>
                <w:color w:val="auto"/>
              </w:rPr>
              <w:t>31.1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20" w:type="dxa"/>
            <w:vAlign w:val="bottom"/>
            <w:tcBorders>
              <w:bottom w:val="single" w:sz="8" w:color="0000FF"/>
            </w:tcBorders>
            <w:gridSpan w:val="26"/>
          </w:tcPr>
          <w:p>
            <w:pPr>
              <w:ind w:left="20"/>
              <w:spacing w:after="0"/>
              <w:rPr>
                <w:rFonts w:ascii="Arial" w:cs="Arial" w:eastAsia="Arial" w:hAnsi="Arial"/>
                <w:sz w:val="17"/>
                <w:szCs w:val="17"/>
                <w:color w:val="0000FF"/>
                <w:w w:val="94"/>
              </w:rPr>
            </w:pPr>
            <w:hyperlink w:anchor="page132">
              <w:r>
                <w:rPr>
                  <w:rFonts w:ascii="Arial" w:cs="Arial" w:eastAsia="Arial" w:hAnsi="Arial"/>
                  <w:sz w:val="17"/>
                  <w:szCs w:val="17"/>
                  <w:color w:val="0000FF"/>
                  <w:w w:val="94"/>
                </w:rPr>
                <w:t>Certification of the Chief Executive Officer of ExlService Holdings, pursuant to Rule 13a-14(a) of the Exchange Act, as adopted purs</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40" w:type="dxa"/>
            <w:vAlign w:val="bottom"/>
            <w:gridSpan w:val="28"/>
          </w:tcPr>
          <w:p>
            <w:pPr>
              <w:spacing w:after="0" w:line="150" w:lineRule="exact"/>
              <w:rPr>
                <w:rFonts w:ascii="Arial" w:cs="Arial" w:eastAsia="Arial" w:hAnsi="Arial"/>
                <w:sz w:val="17"/>
                <w:szCs w:val="17"/>
                <w:color w:val="0000FF"/>
              </w:rPr>
            </w:pPr>
            <w:hyperlink w:anchor="page132">
              <w:r>
                <w:rPr>
                  <w:rFonts w:ascii="Arial" w:cs="Arial" w:eastAsia="Arial" w:hAnsi="Arial"/>
                  <w:sz w:val="17"/>
                  <w:szCs w:val="17"/>
                  <w:color w:val="0000FF"/>
                </w:rPr>
                <w:t>to Section 302 of 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48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20" w:type="dxa"/>
            <w:vAlign w:val="bottom"/>
          </w:tcPr>
          <w:p>
            <w:pPr>
              <w:ind w:left="880"/>
              <w:spacing w:after="0"/>
              <w:rPr>
                <w:sz w:val="20"/>
                <w:szCs w:val="20"/>
                <w:color w:val="auto"/>
              </w:rPr>
            </w:pPr>
            <w:r>
              <w:rPr>
                <w:rFonts w:ascii="Arial" w:cs="Arial" w:eastAsia="Arial" w:hAnsi="Arial"/>
                <w:sz w:val="17"/>
                <w:szCs w:val="17"/>
                <w:color w:val="auto"/>
              </w:rPr>
              <w:t>31.2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20" w:type="dxa"/>
            <w:vAlign w:val="bottom"/>
            <w:tcBorders>
              <w:bottom w:val="single" w:sz="8" w:color="0000FF"/>
            </w:tcBorders>
            <w:gridSpan w:val="26"/>
          </w:tcPr>
          <w:p>
            <w:pPr>
              <w:ind w:left="20"/>
              <w:spacing w:after="0"/>
              <w:rPr>
                <w:rFonts w:ascii="Arial" w:cs="Arial" w:eastAsia="Arial" w:hAnsi="Arial"/>
                <w:sz w:val="17"/>
                <w:szCs w:val="17"/>
                <w:color w:val="0000FF"/>
                <w:w w:val="94"/>
              </w:rPr>
            </w:pPr>
            <w:hyperlink w:anchor="page133">
              <w:r>
                <w:rPr>
                  <w:rFonts w:ascii="Arial" w:cs="Arial" w:eastAsia="Arial" w:hAnsi="Arial"/>
                  <w:sz w:val="17"/>
                  <w:szCs w:val="17"/>
                  <w:color w:val="0000FF"/>
                  <w:w w:val="94"/>
                </w:rPr>
                <w:t>Certification of the Chief Financial Officer of ExlService Holdings, pursuant to Rule 13a-14(a) of the Exchange Act, as adopted pursu</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40" w:type="dxa"/>
            <w:vAlign w:val="bottom"/>
            <w:gridSpan w:val="28"/>
          </w:tcPr>
          <w:p>
            <w:pPr>
              <w:spacing w:after="0" w:line="150" w:lineRule="exact"/>
              <w:rPr>
                <w:rFonts w:ascii="Arial" w:cs="Arial" w:eastAsia="Arial" w:hAnsi="Arial"/>
                <w:sz w:val="17"/>
                <w:szCs w:val="17"/>
                <w:color w:val="0000FF"/>
              </w:rPr>
            </w:pPr>
            <w:hyperlink w:anchor="page133">
              <w:r>
                <w:rPr>
                  <w:rFonts w:ascii="Arial" w:cs="Arial" w:eastAsia="Arial" w:hAnsi="Arial"/>
                  <w:sz w:val="17"/>
                  <w:szCs w:val="17"/>
                  <w:color w:val="0000FF"/>
                </w:rPr>
                <w:t>to Section 302 of 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48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20" w:type="dxa"/>
            <w:vAlign w:val="bottom"/>
          </w:tcPr>
          <w:p>
            <w:pPr>
              <w:ind w:left="880"/>
              <w:spacing w:after="0"/>
              <w:rPr>
                <w:sz w:val="20"/>
                <w:szCs w:val="20"/>
                <w:color w:val="auto"/>
              </w:rPr>
            </w:pPr>
            <w:r>
              <w:rPr>
                <w:rFonts w:ascii="Arial" w:cs="Arial" w:eastAsia="Arial" w:hAnsi="Arial"/>
                <w:sz w:val="17"/>
                <w:szCs w:val="17"/>
                <w:color w:val="auto"/>
              </w:rPr>
              <w:t>32.1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300" w:type="dxa"/>
            <w:vAlign w:val="bottom"/>
            <w:tcBorders>
              <w:bottom w:val="single" w:sz="8" w:color="0000FF"/>
            </w:tcBorders>
            <w:gridSpan w:val="22"/>
          </w:tcPr>
          <w:p>
            <w:pPr>
              <w:ind w:left="20"/>
              <w:spacing w:after="0"/>
              <w:rPr>
                <w:rFonts w:ascii="Arial" w:cs="Arial" w:eastAsia="Arial" w:hAnsi="Arial"/>
                <w:sz w:val="17"/>
                <w:szCs w:val="17"/>
                <w:color w:val="0000FF"/>
                <w:w w:val="93"/>
              </w:rPr>
            </w:pPr>
            <w:hyperlink w:anchor="page134">
              <w:r>
                <w:rPr>
                  <w:rFonts w:ascii="Arial" w:cs="Arial" w:eastAsia="Arial" w:hAnsi="Arial"/>
                  <w:sz w:val="17"/>
                  <w:szCs w:val="17"/>
                  <w:color w:val="0000FF"/>
                  <w:w w:val="93"/>
                </w:rPr>
                <w:t>Certification of the Chief Executive Officer pursuant to Rule 13a-14(b) of the Exchange Act and 18 U.S.C. Section 1350, as adopted</w:t>
              </w:r>
            </w:hyperlink>
          </w:p>
        </w:tc>
        <w:tc>
          <w:tcPr>
            <w:tcW w:w="1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20" w:type="dxa"/>
            <w:vAlign w:val="bottom"/>
            <w:gridSpan w:val="24"/>
          </w:tcPr>
          <w:p>
            <w:pPr>
              <w:spacing w:after="0" w:line="150" w:lineRule="exact"/>
              <w:rPr>
                <w:rFonts w:ascii="Arial" w:cs="Arial" w:eastAsia="Arial" w:hAnsi="Arial"/>
                <w:sz w:val="17"/>
                <w:szCs w:val="17"/>
                <w:color w:val="0000FF"/>
              </w:rPr>
            </w:pPr>
            <w:hyperlink w:anchor="page134">
              <w:r>
                <w:rPr>
                  <w:rFonts w:ascii="Arial" w:cs="Arial" w:eastAsia="Arial" w:hAnsi="Arial"/>
                  <w:sz w:val="17"/>
                  <w:szCs w:val="17"/>
                  <w:color w:val="0000FF"/>
                </w:rPr>
                <w:t>pursuant to Section 906 of the Sarbanes-Oxley Act of 2002.</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760" w:type="dxa"/>
            <w:vAlign w:val="bottom"/>
            <w:gridSpan w:val="8"/>
            <w:shd w:val="clear" w:color="auto" w:fill="0000FF"/>
          </w:tcPr>
          <w:p>
            <w:pPr>
              <w:spacing w:after="0" w:line="20" w:lineRule="exact"/>
              <w:rPr>
                <w:sz w:val="1"/>
                <w:szCs w:val="1"/>
                <w:color w:val="auto"/>
              </w:rPr>
            </w:pPr>
          </w:p>
        </w:tc>
        <w:tc>
          <w:tcPr>
            <w:tcW w:w="5480" w:type="dxa"/>
            <w:vAlign w:val="bottom"/>
            <w:gridSpan w:val="12"/>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320" w:type="dxa"/>
            <w:vAlign w:val="bottom"/>
          </w:tcPr>
          <w:p>
            <w:pPr>
              <w:ind w:left="880"/>
              <w:spacing w:after="0"/>
              <w:rPr>
                <w:sz w:val="20"/>
                <w:szCs w:val="20"/>
                <w:color w:val="auto"/>
              </w:rPr>
            </w:pPr>
            <w:r>
              <w:rPr>
                <w:rFonts w:ascii="Arial" w:cs="Arial" w:eastAsia="Arial" w:hAnsi="Arial"/>
                <w:sz w:val="17"/>
                <w:szCs w:val="17"/>
                <w:color w:val="auto"/>
              </w:rPr>
              <w:t>32.2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40" w:type="dxa"/>
            <w:vAlign w:val="bottom"/>
            <w:tcBorders>
              <w:bottom w:val="single" w:sz="8" w:color="0000FF"/>
            </w:tcBorders>
            <w:gridSpan w:val="20"/>
          </w:tcPr>
          <w:p>
            <w:pPr>
              <w:ind w:left="20"/>
              <w:spacing w:after="0"/>
              <w:rPr>
                <w:rFonts w:ascii="Arial" w:cs="Arial" w:eastAsia="Arial" w:hAnsi="Arial"/>
                <w:sz w:val="17"/>
                <w:szCs w:val="17"/>
                <w:color w:val="0000FF"/>
                <w:w w:val="93"/>
              </w:rPr>
            </w:pPr>
            <w:hyperlink w:anchor="page135">
              <w:r>
                <w:rPr>
                  <w:rFonts w:ascii="Arial" w:cs="Arial" w:eastAsia="Arial" w:hAnsi="Arial"/>
                  <w:sz w:val="17"/>
                  <w:szCs w:val="17"/>
                  <w:color w:val="0000FF"/>
                  <w:w w:val="93"/>
                </w:rPr>
                <w:t>Certification of the Chief Financial Officer pursuant to Rule 13a-14(b) of the Exchange Act and 18 U.S.C. Section 1350, as adopted</w:t>
              </w:r>
            </w:hyperlink>
          </w:p>
        </w:tc>
        <w:tc>
          <w:tcPr>
            <w:tcW w:w="20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60" w:type="dxa"/>
            <w:vAlign w:val="bottom"/>
            <w:gridSpan w:val="22"/>
          </w:tcPr>
          <w:p>
            <w:pPr>
              <w:spacing w:after="0" w:line="150" w:lineRule="exact"/>
              <w:rPr>
                <w:rFonts w:ascii="Arial" w:cs="Arial" w:eastAsia="Arial" w:hAnsi="Arial"/>
                <w:sz w:val="17"/>
                <w:szCs w:val="17"/>
                <w:color w:val="0000FF"/>
              </w:rPr>
            </w:pPr>
            <w:hyperlink w:anchor="page135">
              <w:r>
                <w:rPr>
                  <w:rFonts w:ascii="Arial" w:cs="Arial" w:eastAsia="Arial" w:hAnsi="Arial"/>
                  <w:sz w:val="17"/>
                  <w:szCs w:val="17"/>
                  <w:color w:val="0000FF"/>
                </w:rPr>
                <w:t>pursuant to Section 906 of the Sarbanes-Oxley Act of 2002.</w:t>
              </w:r>
            </w:hyperlink>
          </w:p>
        </w:tc>
        <w:tc>
          <w:tcPr>
            <w:tcW w:w="2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9"/>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0"/>
          </w:tcPr>
          <w:p>
            <w:pPr>
              <w:jc w:val="right"/>
              <w:ind w:right="180"/>
              <w:spacing w:after="0"/>
              <w:rPr>
                <w:sz w:val="20"/>
                <w:szCs w:val="20"/>
                <w:color w:val="auto"/>
              </w:rPr>
            </w:pPr>
            <w:r>
              <w:rPr>
                <w:rFonts w:ascii="Arial" w:cs="Arial" w:eastAsia="Arial" w:hAnsi="Arial"/>
                <w:sz w:val="17"/>
                <w:szCs w:val="17"/>
                <w:color w:val="auto"/>
              </w:rPr>
              <w:t>65</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51"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FF"/>
            </w:tcBorders>
            <w:gridSpan w:val="2"/>
          </w:tcPr>
          <w:p>
            <w:pPr>
              <w:spacing w:after="0"/>
              <w:rPr>
                <w:rFonts w:ascii="Arial" w:cs="Arial" w:eastAsia="Arial" w:hAnsi="Arial"/>
                <w:sz w:val="17"/>
                <w:szCs w:val="17"/>
                <w:b w:val="1"/>
                <w:bCs w:val="1"/>
                <w:color w:val="0000FF"/>
                <w:w w:val="90"/>
              </w:rPr>
            </w:pPr>
            <w:hyperlink w:anchor="page2">
              <w:r>
                <w:rPr>
                  <w:rFonts w:ascii="Arial" w:cs="Arial" w:eastAsia="Arial" w:hAnsi="Arial"/>
                  <w:sz w:val="17"/>
                  <w:szCs w:val="17"/>
                  <w:b w:val="1"/>
                  <w:bCs w:val="1"/>
                  <w:color w:val="0000FF"/>
                  <w:w w:val="90"/>
                </w:rPr>
                <w:t>Table of Contents</w:t>
              </w:r>
            </w:hyperlink>
          </w:p>
        </w:tc>
        <w:tc>
          <w:tcPr>
            <w:tcW w:w="240" w:type="dxa"/>
            <w:vAlign w:val="bottom"/>
          </w:tcPr>
          <w:p>
            <w:pPr>
              <w:spacing w:after="0"/>
              <w:rPr>
                <w:sz w:val="16"/>
                <w:szCs w:val="16"/>
                <w:color w:val="auto"/>
              </w:rPr>
            </w:pPr>
          </w:p>
        </w:tc>
        <w:tc>
          <w:tcPr>
            <w:tcW w:w="6880" w:type="dxa"/>
            <w:vAlign w:val="bottom"/>
          </w:tcPr>
          <w:p>
            <w:pPr>
              <w:spacing w:after="0"/>
              <w:rPr>
                <w:sz w:val="16"/>
                <w:szCs w:val="16"/>
                <w:color w:val="auto"/>
              </w:rPr>
            </w:pPr>
          </w:p>
        </w:tc>
      </w:tr>
      <w:tr>
        <w:trPr>
          <w:trHeight w:val="819"/>
        </w:trPr>
        <w:tc>
          <w:tcPr>
            <w:tcW w:w="44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Arial" w:cs="Arial" w:eastAsia="Arial" w:hAnsi="Arial"/>
                <w:sz w:val="17"/>
                <w:szCs w:val="17"/>
                <w:color w:val="auto"/>
              </w:rPr>
              <w:t>101.INS</w:t>
            </w:r>
          </w:p>
        </w:tc>
        <w:tc>
          <w:tcPr>
            <w:tcW w:w="6880" w:type="dxa"/>
            <w:vAlign w:val="bottom"/>
          </w:tcPr>
          <w:p>
            <w:pPr>
              <w:ind w:left="540"/>
              <w:spacing w:after="0"/>
              <w:rPr>
                <w:sz w:val="20"/>
                <w:szCs w:val="20"/>
                <w:color w:val="auto"/>
              </w:rPr>
            </w:pPr>
            <w:r>
              <w:rPr>
                <w:rFonts w:ascii="Arial" w:cs="Arial" w:eastAsia="Arial" w:hAnsi="Arial"/>
                <w:sz w:val="17"/>
                <w:szCs w:val="17"/>
                <w:color w:val="auto"/>
              </w:rPr>
              <w:t>Inline XBRL Instance Document*</w:t>
            </w:r>
          </w:p>
        </w:tc>
      </w:tr>
      <w:tr>
        <w:trPr>
          <w:trHeight w:val="275"/>
        </w:trPr>
        <w:tc>
          <w:tcPr>
            <w:tcW w:w="440" w:type="dxa"/>
            <w:vAlign w:val="bottom"/>
          </w:tcPr>
          <w:p>
            <w:pPr>
              <w:spacing w:after="0"/>
              <w:rPr>
                <w:sz w:val="23"/>
                <w:szCs w:val="23"/>
                <w:color w:val="auto"/>
              </w:rPr>
            </w:pPr>
          </w:p>
        </w:tc>
        <w:tc>
          <w:tcPr>
            <w:tcW w:w="1120" w:type="dxa"/>
            <w:vAlign w:val="bottom"/>
            <w:gridSpan w:val="2"/>
          </w:tcPr>
          <w:p>
            <w:pPr>
              <w:ind w:left="440"/>
              <w:spacing w:after="0"/>
              <w:rPr>
                <w:sz w:val="20"/>
                <w:szCs w:val="20"/>
                <w:color w:val="auto"/>
              </w:rPr>
            </w:pPr>
            <w:r>
              <w:rPr>
                <w:rFonts w:ascii="Arial" w:cs="Arial" w:eastAsia="Arial" w:hAnsi="Arial"/>
                <w:sz w:val="17"/>
                <w:szCs w:val="17"/>
                <w:color w:val="auto"/>
                <w:w w:val="95"/>
              </w:rPr>
              <w:t>101.SCH</w:t>
            </w:r>
          </w:p>
        </w:tc>
        <w:tc>
          <w:tcPr>
            <w:tcW w:w="6880" w:type="dxa"/>
            <w:vAlign w:val="bottom"/>
          </w:tcPr>
          <w:p>
            <w:pPr>
              <w:ind w:left="540"/>
              <w:spacing w:after="0"/>
              <w:rPr>
                <w:sz w:val="20"/>
                <w:szCs w:val="20"/>
                <w:color w:val="auto"/>
              </w:rPr>
            </w:pPr>
            <w:r>
              <w:rPr>
                <w:rFonts w:ascii="Arial" w:cs="Arial" w:eastAsia="Arial" w:hAnsi="Arial"/>
                <w:sz w:val="17"/>
                <w:szCs w:val="17"/>
                <w:color w:val="auto"/>
              </w:rPr>
              <w:t>Inline XBRL Taxonomy Extension Schema*</w:t>
            </w:r>
          </w:p>
        </w:tc>
      </w:tr>
      <w:tr>
        <w:trPr>
          <w:trHeight w:val="275"/>
        </w:trPr>
        <w:tc>
          <w:tcPr>
            <w:tcW w:w="440" w:type="dxa"/>
            <w:vAlign w:val="bottom"/>
          </w:tcPr>
          <w:p>
            <w:pPr>
              <w:spacing w:after="0"/>
              <w:rPr>
                <w:sz w:val="23"/>
                <w:szCs w:val="23"/>
                <w:color w:val="auto"/>
              </w:rPr>
            </w:pPr>
          </w:p>
        </w:tc>
        <w:tc>
          <w:tcPr>
            <w:tcW w:w="1120" w:type="dxa"/>
            <w:vAlign w:val="bottom"/>
            <w:gridSpan w:val="2"/>
          </w:tcPr>
          <w:p>
            <w:pPr>
              <w:ind w:left="440"/>
              <w:spacing w:after="0"/>
              <w:rPr>
                <w:sz w:val="20"/>
                <w:szCs w:val="20"/>
                <w:color w:val="auto"/>
              </w:rPr>
            </w:pPr>
            <w:r>
              <w:rPr>
                <w:rFonts w:ascii="Arial" w:cs="Arial" w:eastAsia="Arial" w:hAnsi="Arial"/>
                <w:sz w:val="17"/>
                <w:szCs w:val="17"/>
                <w:color w:val="auto"/>
                <w:w w:val="99"/>
              </w:rPr>
              <w:t>101.CAL</w:t>
            </w:r>
          </w:p>
        </w:tc>
        <w:tc>
          <w:tcPr>
            <w:tcW w:w="6880" w:type="dxa"/>
            <w:vAlign w:val="bottom"/>
          </w:tcPr>
          <w:p>
            <w:pPr>
              <w:ind w:left="540"/>
              <w:spacing w:after="0"/>
              <w:rPr>
                <w:sz w:val="20"/>
                <w:szCs w:val="20"/>
                <w:color w:val="auto"/>
              </w:rPr>
            </w:pPr>
            <w:r>
              <w:rPr>
                <w:rFonts w:ascii="Arial" w:cs="Arial" w:eastAsia="Arial" w:hAnsi="Arial"/>
                <w:sz w:val="17"/>
                <w:szCs w:val="17"/>
                <w:color w:val="auto"/>
              </w:rPr>
              <w:t>Inline XBRL Taxonomy Extension Calculation Linkbase*</w:t>
            </w:r>
          </w:p>
        </w:tc>
      </w:tr>
      <w:tr>
        <w:trPr>
          <w:trHeight w:val="275"/>
        </w:trPr>
        <w:tc>
          <w:tcPr>
            <w:tcW w:w="440" w:type="dxa"/>
            <w:vAlign w:val="bottom"/>
          </w:tcPr>
          <w:p>
            <w:pPr>
              <w:spacing w:after="0"/>
              <w:rPr>
                <w:sz w:val="23"/>
                <w:szCs w:val="23"/>
                <w:color w:val="auto"/>
              </w:rPr>
            </w:pPr>
          </w:p>
        </w:tc>
        <w:tc>
          <w:tcPr>
            <w:tcW w:w="1120" w:type="dxa"/>
            <w:vAlign w:val="bottom"/>
            <w:gridSpan w:val="2"/>
          </w:tcPr>
          <w:p>
            <w:pPr>
              <w:ind w:left="440"/>
              <w:spacing w:after="0"/>
              <w:rPr>
                <w:sz w:val="20"/>
                <w:szCs w:val="20"/>
                <w:color w:val="auto"/>
              </w:rPr>
            </w:pPr>
            <w:r>
              <w:rPr>
                <w:rFonts w:ascii="Arial" w:cs="Arial" w:eastAsia="Arial" w:hAnsi="Arial"/>
                <w:sz w:val="17"/>
                <w:szCs w:val="17"/>
                <w:color w:val="auto"/>
                <w:w w:val="98"/>
              </w:rPr>
              <w:t>101.DEF</w:t>
            </w:r>
          </w:p>
        </w:tc>
        <w:tc>
          <w:tcPr>
            <w:tcW w:w="6880" w:type="dxa"/>
            <w:vAlign w:val="bottom"/>
          </w:tcPr>
          <w:p>
            <w:pPr>
              <w:ind w:left="540"/>
              <w:spacing w:after="0"/>
              <w:rPr>
                <w:sz w:val="20"/>
                <w:szCs w:val="20"/>
                <w:color w:val="auto"/>
              </w:rPr>
            </w:pPr>
            <w:r>
              <w:rPr>
                <w:rFonts w:ascii="Arial" w:cs="Arial" w:eastAsia="Arial" w:hAnsi="Arial"/>
                <w:sz w:val="17"/>
                <w:szCs w:val="17"/>
                <w:color w:val="auto"/>
              </w:rPr>
              <w:t>Inline XBRL Taxonomy Extension Definition Linkbase*</w:t>
            </w:r>
          </w:p>
        </w:tc>
      </w:tr>
      <w:tr>
        <w:trPr>
          <w:trHeight w:val="275"/>
        </w:trPr>
        <w:tc>
          <w:tcPr>
            <w:tcW w:w="440" w:type="dxa"/>
            <w:vAlign w:val="bottom"/>
          </w:tcPr>
          <w:p>
            <w:pPr>
              <w:spacing w:after="0"/>
              <w:rPr>
                <w:sz w:val="23"/>
                <w:szCs w:val="23"/>
                <w:color w:val="auto"/>
              </w:rPr>
            </w:pPr>
          </w:p>
        </w:tc>
        <w:tc>
          <w:tcPr>
            <w:tcW w:w="1120" w:type="dxa"/>
            <w:vAlign w:val="bottom"/>
            <w:gridSpan w:val="2"/>
          </w:tcPr>
          <w:p>
            <w:pPr>
              <w:ind w:left="440"/>
              <w:spacing w:after="0"/>
              <w:rPr>
                <w:sz w:val="20"/>
                <w:szCs w:val="20"/>
                <w:color w:val="auto"/>
              </w:rPr>
            </w:pPr>
            <w:r>
              <w:rPr>
                <w:rFonts w:ascii="Arial" w:cs="Arial" w:eastAsia="Arial" w:hAnsi="Arial"/>
                <w:sz w:val="17"/>
                <w:szCs w:val="17"/>
                <w:color w:val="auto"/>
              </w:rPr>
              <w:t>101.LAB</w:t>
            </w:r>
          </w:p>
        </w:tc>
        <w:tc>
          <w:tcPr>
            <w:tcW w:w="6880" w:type="dxa"/>
            <w:vAlign w:val="bottom"/>
          </w:tcPr>
          <w:p>
            <w:pPr>
              <w:ind w:left="540"/>
              <w:spacing w:after="0"/>
              <w:rPr>
                <w:sz w:val="20"/>
                <w:szCs w:val="20"/>
                <w:color w:val="auto"/>
              </w:rPr>
            </w:pPr>
            <w:r>
              <w:rPr>
                <w:rFonts w:ascii="Arial" w:cs="Arial" w:eastAsia="Arial" w:hAnsi="Arial"/>
                <w:sz w:val="17"/>
                <w:szCs w:val="17"/>
                <w:color w:val="auto"/>
              </w:rPr>
              <w:t>Inline XBRL Taxonomy Extension Label Linkbase*</w:t>
            </w:r>
          </w:p>
        </w:tc>
      </w:tr>
      <w:tr>
        <w:trPr>
          <w:trHeight w:val="275"/>
        </w:trPr>
        <w:tc>
          <w:tcPr>
            <w:tcW w:w="440" w:type="dxa"/>
            <w:vAlign w:val="bottom"/>
          </w:tcPr>
          <w:p>
            <w:pPr>
              <w:spacing w:after="0"/>
              <w:rPr>
                <w:sz w:val="23"/>
                <w:szCs w:val="23"/>
                <w:color w:val="auto"/>
              </w:rPr>
            </w:pPr>
          </w:p>
        </w:tc>
        <w:tc>
          <w:tcPr>
            <w:tcW w:w="1120" w:type="dxa"/>
            <w:vAlign w:val="bottom"/>
            <w:gridSpan w:val="2"/>
          </w:tcPr>
          <w:p>
            <w:pPr>
              <w:ind w:left="440"/>
              <w:spacing w:after="0"/>
              <w:rPr>
                <w:sz w:val="20"/>
                <w:szCs w:val="20"/>
                <w:color w:val="auto"/>
              </w:rPr>
            </w:pPr>
            <w:r>
              <w:rPr>
                <w:rFonts w:ascii="Arial" w:cs="Arial" w:eastAsia="Arial" w:hAnsi="Arial"/>
                <w:sz w:val="17"/>
                <w:szCs w:val="17"/>
                <w:color w:val="auto"/>
                <w:w w:val="96"/>
              </w:rPr>
              <w:t>101.PRE</w:t>
            </w:r>
          </w:p>
        </w:tc>
        <w:tc>
          <w:tcPr>
            <w:tcW w:w="6880" w:type="dxa"/>
            <w:vAlign w:val="bottom"/>
          </w:tcPr>
          <w:p>
            <w:pPr>
              <w:ind w:left="540"/>
              <w:spacing w:after="0"/>
              <w:rPr>
                <w:sz w:val="20"/>
                <w:szCs w:val="20"/>
                <w:color w:val="auto"/>
              </w:rPr>
            </w:pPr>
            <w:r>
              <w:rPr>
                <w:rFonts w:ascii="Arial" w:cs="Arial" w:eastAsia="Arial" w:hAnsi="Arial"/>
                <w:sz w:val="17"/>
                <w:szCs w:val="17"/>
                <w:color w:val="auto"/>
              </w:rPr>
              <w:t>Inline XBRL Extension Presentation Linkbase*</w:t>
            </w:r>
          </w:p>
        </w:tc>
      </w:tr>
      <w:tr>
        <w:trPr>
          <w:trHeight w:val="276"/>
        </w:trPr>
        <w:tc>
          <w:tcPr>
            <w:tcW w:w="440" w:type="dxa"/>
            <w:vAlign w:val="bottom"/>
          </w:tcPr>
          <w:p>
            <w:pPr>
              <w:spacing w:after="0"/>
              <w:rPr>
                <w:sz w:val="23"/>
                <w:szCs w:val="23"/>
                <w:color w:val="auto"/>
              </w:rPr>
            </w:pP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104</w:t>
            </w:r>
          </w:p>
        </w:tc>
        <w:tc>
          <w:tcPr>
            <w:tcW w:w="240" w:type="dxa"/>
            <w:vAlign w:val="bottom"/>
            <w:tcBorders>
              <w:bottom w:val="single" w:sz="8" w:color="auto"/>
            </w:tcBorders>
          </w:tcPr>
          <w:p>
            <w:pPr>
              <w:spacing w:after="0"/>
              <w:rPr>
                <w:sz w:val="23"/>
                <w:szCs w:val="23"/>
                <w:color w:val="auto"/>
              </w:rPr>
            </w:pPr>
          </w:p>
        </w:tc>
        <w:tc>
          <w:tcPr>
            <w:tcW w:w="6880" w:type="dxa"/>
            <w:vAlign w:val="bottom"/>
          </w:tcPr>
          <w:p>
            <w:pPr>
              <w:ind w:left="540"/>
              <w:spacing w:after="0"/>
              <w:rPr>
                <w:sz w:val="20"/>
                <w:szCs w:val="20"/>
                <w:color w:val="auto"/>
              </w:rPr>
            </w:pPr>
            <w:r>
              <w:rPr>
                <w:rFonts w:ascii="Arial" w:cs="Arial" w:eastAsia="Arial" w:hAnsi="Arial"/>
                <w:sz w:val="17"/>
                <w:szCs w:val="17"/>
                <w:color w:val="auto"/>
                <w:w w:val="94"/>
              </w:rPr>
              <w:t>Cover Page Interactive Data File (formatted as inline XBRL and contained in Exhibit 101)</w:t>
            </w:r>
          </w:p>
        </w:tc>
      </w:tr>
    </w:tbl>
    <w:p>
      <w:pPr>
        <w:spacing w:after="0" w:line="79" w:lineRule="exact"/>
        <w:rPr>
          <w:sz w:val="20"/>
          <w:szCs w:val="20"/>
          <w:color w:val="auto"/>
        </w:rPr>
      </w:pPr>
    </w:p>
    <w:p>
      <w:pPr>
        <w:jc w:val="both"/>
        <w:ind w:left="80" w:hanging="78"/>
        <w:spacing w:after="0" w:line="262" w:lineRule="auto"/>
        <w:rPr>
          <w:sz w:val="20"/>
          <w:szCs w:val="20"/>
          <w:color w:val="auto"/>
        </w:rPr>
      </w:pPr>
      <w:r>
        <w:rPr>
          <w:rFonts w:ascii="Arial" w:cs="Arial" w:eastAsia="Arial" w:hAnsi="Arial"/>
          <w:sz w:val="17"/>
          <w:szCs w:val="17"/>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+Indicates management contract or compensatory plan required to be filed as an Exhibit.</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5"/>
        </w:trPr>
        <w:tc>
          <w:tcPr>
            <w:tcW w:w="9740" w:type="dxa"/>
            <w:vAlign w:val="bottom"/>
            <w:gridSpan w:val="9"/>
          </w:tcPr>
          <w:p>
            <w:pPr>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Table of Contents</w:t>
              </w:r>
            </w:hyperlink>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570"/>
        </w:trPr>
        <w:tc>
          <w:tcPr>
            <w:tcW w:w="34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2080" w:type="dxa"/>
            <w:vAlign w:val="bottom"/>
          </w:tcPr>
          <w:p>
            <w:pPr>
              <w:spacing w:after="0"/>
              <w:rPr>
                <w:sz w:val="24"/>
                <w:szCs w:val="24"/>
                <w:color w:val="auto"/>
              </w:rPr>
            </w:pPr>
          </w:p>
        </w:tc>
        <w:tc>
          <w:tcPr>
            <w:tcW w:w="6340" w:type="dxa"/>
            <w:vAlign w:val="bottom"/>
            <w:gridSpan w:val="6"/>
          </w:tcPr>
          <w:p>
            <w:pPr>
              <w:jc w:val="center"/>
              <w:ind w:right="1900"/>
              <w:spacing w:after="0"/>
              <w:rPr>
                <w:sz w:val="20"/>
                <w:szCs w:val="20"/>
                <w:color w:val="auto"/>
              </w:rPr>
            </w:pPr>
            <w:r>
              <w:rPr>
                <w:rFonts w:ascii="Arial" w:cs="Arial" w:eastAsia="Arial" w:hAnsi="Arial"/>
                <w:sz w:val="17"/>
                <w:szCs w:val="17"/>
                <w:b w:val="1"/>
                <w:bCs w:val="1"/>
                <w:color w:val="auto"/>
              </w:rPr>
              <w:t>EXLSERVICE HOLDINGS, INC.</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5"/>
        </w:trPr>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20" w:type="dxa"/>
            <w:vAlign w:val="bottom"/>
            <w:gridSpan w:val="7"/>
          </w:tcPr>
          <w:p>
            <w:pPr>
              <w:jc w:val="center"/>
              <w:ind w:left="93"/>
              <w:spacing w:after="0"/>
              <w:rPr>
                <w:sz w:val="20"/>
                <w:szCs w:val="20"/>
                <w:color w:val="auto"/>
              </w:rPr>
            </w:pPr>
            <w:r>
              <w:rPr>
                <w:rFonts w:ascii="Arial" w:cs="Arial" w:eastAsia="Arial" w:hAnsi="Arial"/>
                <w:sz w:val="17"/>
                <w:szCs w:val="17"/>
                <w:b w:val="1"/>
                <w:bCs w:val="1"/>
                <w:color w:val="auto"/>
              </w:rPr>
              <w:t>INDEX TO CONSOLIDATED FINANCIAL STATEMENTS</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41"/>
        </w:trPr>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color w:val="auto"/>
                <w:w w:val="85"/>
              </w:rPr>
              <w:t>Page</w:t>
            </w:r>
          </w:p>
        </w:tc>
      </w:tr>
      <w:tr>
        <w:trPr>
          <w:trHeight w:val="479"/>
        </w:trPr>
        <w:tc>
          <w:tcPr>
            <w:tcW w:w="340" w:type="dxa"/>
            <w:vAlign w:val="bottom"/>
          </w:tcPr>
          <w:p>
            <w:pPr>
              <w:spacing w:after="0"/>
              <w:rPr>
                <w:sz w:val="24"/>
                <w:szCs w:val="24"/>
                <w:color w:val="auto"/>
              </w:rPr>
            </w:pPr>
          </w:p>
        </w:tc>
        <w:tc>
          <w:tcPr>
            <w:tcW w:w="9400" w:type="dxa"/>
            <w:vAlign w:val="bottom"/>
            <w:gridSpan w:val="8"/>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 xml:space="preserve">Reports of Independent Registered Public Accounting Firm </w:t>
              </w:r>
            </w:hyperlink>
            <w:r>
              <w:rPr>
                <w:rFonts w:ascii="Arial" w:cs="Arial" w:eastAsia="Arial" w:hAnsi="Arial"/>
                <w:sz w:val="17"/>
                <w:szCs w:val="17"/>
                <w:color w:val="000000"/>
              </w:rPr>
              <w:t>(PCAOB</w:t>
            </w:r>
            <w:r>
              <w:rPr>
                <w:rFonts w:ascii="Arial" w:cs="Arial" w:eastAsia="Arial" w:hAnsi="Arial"/>
                <w:sz w:val="17"/>
                <w:szCs w:val="17"/>
                <w:color w:val="0000FF"/>
              </w:rPr>
              <w:t xml:space="preserve"> </w:t>
            </w:r>
            <w:r>
              <w:rPr>
                <w:rFonts w:ascii="Arial" w:cs="Arial" w:eastAsia="Arial" w:hAnsi="Arial"/>
                <w:sz w:val="17"/>
                <w:szCs w:val="17"/>
                <w:color w:val="000000"/>
              </w:rPr>
              <w:t>ID No. 34)</w:t>
            </w:r>
          </w:p>
        </w:tc>
        <w:tc>
          <w:tcPr>
            <w:tcW w:w="540" w:type="dxa"/>
            <w:vAlign w:val="bottom"/>
          </w:tcPr>
          <w:p>
            <w:pPr>
              <w:spacing w:after="0"/>
              <w:rPr>
                <w:sz w:val="24"/>
                <w:szCs w:val="24"/>
                <w:color w:val="auto"/>
              </w:rPr>
            </w:pPr>
          </w:p>
        </w:tc>
        <w:tc>
          <w:tcPr>
            <w:tcW w:w="880" w:type="dxa"/>
            <w:vAlign w:val="bottom"/>
            <w:gridSpan w:val="4"/>
          </w:tcPr>
          <w:p>
            <w:pPr>
              <w:jc w:val="center"/>
              <w:ind w:right="540"/>
              <w:spacing w:after="0"/>
              <w:rPr>
                <w:rFonts w:ascii="Arial" w:cs="Arial" w:eastAsia="Arial" w:hAnsi="Arial"/>
                <w:sz w:val="17"/>
                <w:szCs w:val="17"/>
                <w:color w:val="661DE8"/>
              </w:rPr>
            </w:pPr>
            <w:r>
              <w:rPr>
                <w:rFonts w:ascii="Arial" w:cs="Arial" w:eastAsia="Arial" w:hAnsi="Arial"/>
                <w:sz w:val="17"/>
                <w:szCs w:val="17"/>
                <w:color w:val="661DE8"/>
              </w:rPr>
              <w:t>F-</w:t>
            </w:r>
            <w:hyperlink w:anchor="page70">
              <w:r>
                <w:rPr>
                  <w:rFonts w:ascii="Arial" w:cs="Arial" w:eastAsia="Arial" w:hAnsi="Arial"/>
                  <w:sz w:val="17"/>
                  <w:szCs w:val="17"/>
                  <w:color w:val="661DE8"/>
                </w:rPr>
                <w:t>2</w:t>
              </w:r>
            </w:hyperlink>
          </w:p>
        </w:tc>
      </w:tr>
      <w:tr>
        <w:trPr>
          <w:trHeight w:val="20"/>
        </w:trPr>
        <w:tc>
          <w:tcPr>
            <w:tcW w:w="340" w:type="dxa"/>
            <w:vAlign w:val="bottom"/>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661D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5"/>
        </w:trPr>
        <w:tc>
          <w:tcPr>
            <w:tcW w:w="340" w:type="dxa"/>
            <w:vAlign w:val="bottom"/>
          </w:tcPr>
          <w:p>
            <w:pPr>
              <w:spacing w:after="0"/>
              <w:rPr>
                <w:sz w:val="22"/>
                <w:szCs w:val="22"/>
                <w:color w:val="auto"/>
              </w:rPr>
            </w:pPr>
          </w:p>
        </w:tc>
        <w:tc>
          <w:tcPr>
            <w:tcW w:w="4520" w:type="dxa"/>
            <w:vAlign w:val="bottom"/>
            <w:tcBorders>
              <w:bottom w:val="single" w:sz="8" w:color="0000FF"/>
            </w:tcBorders>
            <w:gridSpan w:val="4"/>
          </w:tcPr>
          <w:p>
            <w:pPr>
              <w:spacing w:after="0"/>
              <w:rPr>
                <w:rFonts w:ascii="Arial" w:cs="Arial" w:eastAsia="Arial" w:hAnsi="Arial"/>
                <w:sz w:val="17"/>
                <w:szCs w:val="17"/>
                <w:color w:val="0000FF"/>
                <w:w w:val="91"/>
              </w:rPr>
            </w:pPr>
            <w:hyperlink w:anchor="page73">
              <w:r>
                <w:rPr>
                  <w:rFonts w:ascii="Arial" w:cs="Arial" w:eastAsia="Arial" w:hAnsi="Arial"/>
                  <w:sz w:val="17"/>
                  <w:szCs w:val="17"/>
                  <w:color w:val="0000FF"/>
                  <w:w w:val="91"/>
                </w:rPr>
                <w:t xml:space="preserve">Consolidated Balance Sheets as of December 31, </w:t>
              </w:r>
            </w:hyperlink>
            <w:r>
              <w:rPr>
                <w:rFonts w:ascii="Arial" w:cs="Arial" w:eastAsia="Arial" w:hAnsi="Arial"/>
                <w:sz w:val="17"/>
                <w:szCs w:val="17"/>
                <w:color w:val="0000FF"/>
                <w:w w:val="91"/>
              </w:rPr>
              <w:t xml:space="preserve">2021 </w:t>
            </w:r>
            <w:hyperlink w:anchor="page73">
              <w:r>
                <w:rPr>
                  <w:rFonts w:ascii="Arial" w:cs="Arial" w:eastAsia="Arial" w:hAnsi="Arial"/>
                  <w:sz w:val="17"/>
                  <w:szCs w:val="17"/>
                  <w:color w:val="0000FF"/>
                  <w:w w:val="91"/>
                </w:rPr>
                <w:t xml:space="preserve">and </w:t>
              </w:r>
            </w:hyperlink>
            <w:r>
              <w:rPr>
                <w:rFonts w:ascii="Arial" w:cs="Arial" w:eastAsia="Arial" w:hAnsi="Arial"/>
                <w:sz w:val="17"/>
                <w:szCs w:val="17"/>
                <w:color w:val="0000FF"/>
                <w:w w:val="91"/>
              </w:rPr>
              <w:t>2020</w:t>
            </w:r>
          </w:p>
        </w:tc>
        <w:tc>
          <w:tcPr>
            <w:tcW w:w="4880" w:type="dxa"/>
            <w:vAlign w:val="bottom"/>
            <w:gridSpan w:val="4"/>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661DE8"/>
            </w:tcBorders>
          </w:tcPr>
          <w:p>
            <w:pPr>
              <w:jc w:val="center"/>
              <w:spacing w:after="0"/>
              <w:rPr>
                <w:rFonts w:ascii="Arial" w:cs="Arial" w:eastAsia="Arial" w:hAnsi="Arial"/>
                <w:sz w:val="17"/>
                <w:szCs w:val="17"/>
                <w:color w:val="661DE8"/>
              </w:rPr>
            </w:pPr>
            <w:r>
              <w:rPr>
                <w:rFonts w:ascii="Arial" w:cs="Arial" w:eastAsia="Arial" w:hAnsi="Arial"/>
                <w:sz w:val="17"/>
                <w:szCs w:val="17"/>
                <w:color w:val="661DE8"/>
              </w:rPr>
              <w:t>F-</w:t>
            </w:r>
            <w:hyperlink w:anchor="page73">
              <w:r>
                <w:rPr>
                  <w:rFonts w:ascii="Arial" w:cs="Arial" w:eastAsia="Arial" w:hAnsi="Arial"/>
                  <w:sz w:val="17"/>
                  <w:szCs w:val="17"/>
                  <w:color w:val="661DE8"/>
                </w:rPr>
                <w:t>5</w:t>
              </w:r>
            </w:hyperlink>
          </w:p>
        </w:tc>
        <w:tc>
          <w:tcPr>
            <w:tcW w:w="580" w:type="dxa"/>
            <w:vAlign w:val="bottom"/>
            <w:gridSpan w:val="2"/>
          </w:tcPr>
          <w:p>
            <w:pPr>
              <w:spacing w:after="0"/>
              <w:rPr>
                <w:sz w:val="22"/>
                <w:szCs w:val="22"/>
                <w:color w:val="auto"/>
              </w:rPr>
            </w:pPr>
          </w:p>
        </w:tc>
      </w:tr>
      <w:tr>
        <w:trPr>
          <w:trHeight w:val="255"/>
        </w:trPr>
        <w:tc>
          <w:tcPr>
            <w:tcW w:w="340" w:type="dxa"/>
            <w:vAlign w:val="bottom"/>
          </w:tcPr>
          <w:p>
            <w:pPr>
              <w:spacing w:after="0"/>
              <w:rPr>
                <w:sz w:val="22"/>
                <w:szCs w:val="22"/>
                <w:color w:val="auto"/>
              </w:rPr>
            </w:pPr>
          </w:p>
        </w:tc>
        <w:tc>
          <w:tcPr>
            <w:tcW w:w="9400" w:type="dxa"/>
            <w:vAlign w:val="bottom"/>
            <w:gridSpan w:val="8"/>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 xml:space="preserve">Consolidated Statements of Income for the years ended December 31, </w:t>
              </w:r>
            </w:hyperlink>
            <w:r>
              <w:rPr>
                <w:rFonts w:ascii="Arial" w:cs="Arial" w:eastAsia="Arial" w:hAnsi="Arial"/>
                <w:sz w:val="17"/>
                <w:szCs w:val="17"/>
                <w:color w:val="0000FF"/>
              </w:rPr>
              <w:t xml:space="preserve">2021, 2020 </w:t>
            </w:r>
            <w:hyperlink w:anchor="page75">
              <w:r>
                <w:rPr>
                  <w:rFonts w:ascii="Arial" w:cs="Arial" w:eastAsia="Arial" w:hAnsi="Arial"/>
                  <w:sz w:val="17"/>
                  <w:szCs w:val="17"/>
                  <w:color w:val="0000FF"/>
                </w:rPr>
                <w:t xml:space="preserve">and </w:t>
              </w:r>
            </w:hyperlink>
            <w:r>
              <w:rPr>
                <w:rFonts w:ascii="Arial" w:cs="Arial" w:eastAsia="Arial" w:hAnsi="Arial"/>
                <w:sz w:val="17"/>
                <w:szCs w:val="17"/>
                <w:color w:val="0000FF"/>
              </w:rPr>
              <w:t>2019</w:t>
            </w:r>
          </w:p>
        </w:tc>
        <w:tc>
          <w:tcPr>
            <w:tcW w:w="540" w:type="dxa"/>
            <w:vAlign w:val="bottom"/>
          </w:tcPr>
          <w:p>
            <w:pPr>
              <w:spacing w:after="0"/>
              <w:rPr>
                <w:sz w:val="22"/>
                <w:szCs w:val="22"/>
                <w:color w:val="auto"/>
              </w:rPr>
            </w:pPr>
          </w:p>
        </w:tc>
        <w:tc>
          <w:tcPr>
            <w:tcW w:w="880" w:type="dxa"/>
            <w:vAlign w:val="bottom"/>
            <w:gridSpan w:val="4"/>
          </w:tcPr>
          <w:p>
            <w:pPr>
              <w:jc w:val="center"/>
              <w:ind w:right="540"/>
              <w:spacing w:after="0"/>
              <w:rPr>
                <w:rFonts w:ascii="Arial" w:cs="Arial" w:eastAsia="Arial" w:hAnsi="Arial"/>
                <w:sz w:val="17"/>
                <w:szCs w:val="17"/>
                <w:color w:val="661DE8"/>
              </w:rPr>
            </w:pPr>
            <w:r>
              <w:rPr>
                <w:rFonts w:ascii="Arial" w:cs="Arial" w:eastAsia="Arial" w:hAnsi="Arial"/>
                <w:sz w:val="17"/>
                <w:szCs w:val="17"/>
                <w:color w:val="661DE8"/>
              </w:rPr>
              <w:t>F-</w:t>
            </w:r>
            <w:hyperlink w:anchor="page75">
              <w:r>
                <w:rPr>
                  <w:rFonts w:ascii="Arial" w:cs="Arial" w:eastAsia="Arial" w:hAnsi="Arial"/>
                  <w:sz w:val="17"/>
                  <w:szCs w:val="17"/>
                  <w:color w:val="661DE8"/>
                </w:rPr>
                <w:t>7</w:t>
              </w:r>
            </w:hyperlink>
          </w:p>
        </w:tc>
      </w:tr>
      <w:tr>
        <w:trPr>
          <w:trHeight w:val="20"/>
        </w:trPr>
        <w:tc>
          <w:tcPr>
            <w:tcW w:w="340" w:type="dxa"/>
            <w:vAlign w:val="bottom"/>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661D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5"/>
        </w:trPr>
        <w:tc>
          <w:tcPr>
            <w:tcW w:w="340" w:type="dxa"/>
            <w:vAlign w:val="bottom"/>
          </w:tcPr>
          <w:p>
            <w:pPr>
              <w:spacing w:after="0"/>
              <w:rPr>
                <w:sz w:val="22"/>
                <w:szCs w:val="22"/>
                <w:color w:val="auto"/>
              </w:rPr>
            </w:pPr>
          </w:p>
        </w:tc>
        <w:tc>
          <w:tcPr>
            <w:tcW w:w="9400" w:type="dxa"/>
            <w:vAlign w:val="bottom"/>
            <w:gridSpan w:val="8"/>
          </w:tcPr>
          <w:p>
            <w:pPr>
              <w:spacing w:after="0"/>
              <w:rPr>
                <w:rFonts w:ascii="Arial" w:cs="Arial" w:eastAsia="Arial" w:hAnsi="Arial"/>
                <w:sz w:val="17"/>
                <w:szCs w:val="17"/>
                <w:color w:val="0000FF"/>
              </w:rPr>
            </w:pPr>
            <w:hyperlink w:anchor="page76">
              <w:r>
                <w:rPr>
                  <w:rFonts w:ascii="Arial" w:cs="Arial" w:eastAsia="Arial" w:hAnsi="Arial"/>
                  <w:sz w:val="17"/>
                  <w:szCs w:val="17"/>
                  <w:color w:val="0000FF"/>
                </w:rPr>
                <w:t xml:space="preserve">Consolidated Statements of Comprehensive Income for the years ended December 31, </w:t>
              </w:r>
            </w:hyperlink>
            <w:r>
              <w:rPr>
                <w:rFonts w:ascii="Arial" w:cs="Arial" w:eastAsia="Arial" w:hAnsi="Arial"/>
                <w:sz w:val="17"/>
                <w:szCs w:val="17"/>
                <w:color w:val="0000FF"/>
              </w:rPr>
              <w:t xml:space="preserve">2021, 2020 </w:t>
            </w:r>
            <w:hyperlink w:anchor="page76">
              <w:r>
                <w:rPr>
                  <w:rFonts w:ascii="Arial" w:cs="Arial" w:eastAsia="Arial" w:hAnsi="Arial"/>
                  <w:sz w:val="17"/>
                  <w:szCs w:val="17"/>
                  <w:color w:val="0000FF"/>
                </w:rPr>
                <w:t xml:space="preserve">and </w:t>
              </w:r>
            </w:hyperlink>
            <w:r>
              <w:rPr>
                <w:rFonts w:ascii="Arial" w:cs="Arial" w:eastAsia="Arial" w:hAnsi="Arial"/>
                <w:sz w:val="17"/>
                <w:szCs w:val="17"/>
                <w:color w:val="0000FF"/>
              </w:rPr>
              <w:t>2019</w:t>
            </w:r>
          </w:p>
        </w:tc>
        <w:tc>
          <w:tcPr>
            <w:tcW w:w="540" w:type="dxa"/>
            <w:vAlign w:val="bottom"/>
          </w:tcPr>
          <w:p>
            <w:pPr>
              <w:spacing w:after="0"/>
              <w:rPr>
                <w:sz w:val="22"/>
                <w:szCs w:val="22"/>
                <w:color w:val="auto"/>
              </w:rPr>
            </w:pPr>
          </w:p>
        </w:tc>
        <w:tc>
          <w:tcPr>
            <w:tcW w:w="880" w:type="dxa"/>
            <w:vAlign w:val="bottom"/>
            <w:gridSpan w:val="4"/>
          </w:tcPr>
          <w:p>
            <w:pPr>
              <w:jc w:val="center"/>
              <w:ind w:right="540"/>
              <w:spacing w:after="0"/>
              <w:rPr>
                <w:rFonts w:ascii="Arial" w:cs="Arial" w:eastAsia="Arial" w:hAnsi="Arial"/>
                <w:sz w:val="17"/>
                <w:szCs w:val="17"/>
                <w:color w:val="661DE8"/>
              </w:rPr>
            </w:pPr>
            <w:r>
              <w:rPr>
                <w:rFonts w:ascii="Arial" w:cs="Arial" w:eastAsia="Arial" w:hAnsi="Arial"/>
                <w:sz w:val="17"/>
                <w:szCs w:val="17"/>
                <w:color w:val="661DE8"/>
              </w:rPr>
              <w:t>F-</w:t>
            </w:r>
            <w:hyperlink w:anchor="page76">
              <w:r>
                <w:rPr>
                  <w:rFonts w:ascii="Arial" w:cs="Arial" w:eastAsia="Arial" w:hAnsi="Arial"/>
                  <w:sz w:val="17"/>
                  <w:szCs w:val="17"/>
                  <w:color w:val="661DE8"/>
                </w:rPr>
                <w:t>8</w:t>
              </w:r>
            </w:hyperlink>
          </w:p>
        </w:tc>
      </w:tr>
      <w:tr>
        <w:trPr>
          <w:trHeight w:val="255"/>
        </w:trPr>
        <w:tc>
          <w:tcPr>
            <w:tcW w:w="340" w:type="dxa"/>
            <w:vAlign w:val="bottom"/>
          </w:tcPr>
          <w:p>
            <w:pPr>
              <w:spacing w:after="0"/>
              <w:rPr>
                <w:sz w:val="22"/>
                <w:szCs w:val="22"/>
                <w:color w:val="auto"/>
              </w:rPr>
            </w:pPr>
          </w:p>
        </w:tc>
        <w:tc>
          <w:tcPr>
            <w:tcW w:w="640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92"/>
              </w:rPr>
            </w:pPr>
            <w:hyperlink w:anchor="page78">
              <w:r>
                <w:rPr>
                  <w:rFonts w:ascii="Arial" w:cs="Arial" w:eastAsia="Arial" w:hAnsi="Arial"/>
                  <w:sz w:val="17"/>
                  <w:szCs w:val="17"/>
                  <w:color w:val="0000FF"/>
                  <w:w w:val="92"/>
                </w:rPr>
                <w:t xml:space="preserve">Consolidated Statements of Equity for the years ended December 31, </w:t>
              </w:r>
            </w:hyperlink>
            <w:r>
              <w:rPr>
                <w:rFonts w:ascii="Arial" w:cs="Arial" w:eastAsia="Arial" w:hAnsi="Arial"/>
                <w:sz w:val="17"/>
                <w:szCs w:val="17"/>
                <w:color w:val="0000FF"/>
                <w:w w:val="92"/>
              </w:rPr>
              <w:t xml:space="preserve">2021, 2020 </w:t>
            </w:r>
            <w:hyperlink w:anchor="page78">
              <w:r>
                <w:rPr>
                  <w:rFonts w:ascii="Arial" w:cs="Arial" w:eastAsia="Arial" w:hAnsi="Arial"/>
                  <w:sz w:val="17"/>
                  <w:szCs w:val="17"/>
                  <w:color w:val="0000FF"/>
                  <w:w w:val="92"/>
                </w:rPr>
                <w:t xml:space="preserve">and </w:t>
              </w:r>
            </w:hyperlink>
            <w:r>
              <w:rPr>
                <w:rFonts w:ascii="Arial" w:cs="Arial" w:eastAsia="Arial" w:hAnsi="Arial"/>
                <w:sz w:val="17"/>
                <w:szCs w:val="17"/>
                <w:color w:val="0000FF"/>
                <w:w w:val="92"/>
              </w:rPr>
              <w:t>2019</w:t>
            </w:r>
          </w:p>
        </w:tc>
        <w:tc>
          <w:tcPr>
            <w:tcW w:w="1140" w:type="dxa"/>
            <w:vAlign w:val="bottom"/>
            <w:tcBorders>
              <w:top w:val="single" w:sz="8" w:color="0000FF"/>
            </w:tcBorders>
            <w:gridSpan w:val="2"/>
          </w:tcPr>
          <w:p>
            <w:pPr>
              <w:spacing w:after="0"/>
              <w:rPr>
                <w:sz w:val="22"/>
                <w:szCs w:val="22"/>
                <w:color w:val="auto"/>
              </w:rPr>
            </w:pPr>
          </w:p>
        </w:tc>
        <w:tc>
          <w:tcPr>
            <w:tcW w:w="1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top w:val="single" w:sz="8" w:color="661DE8"/>
              <w:bottom w:val="single" w:sz="8" w:color="661DE8"/>
            </w:tcBorders>
          </w:tcPr>
          <w:p>
            <w:pPr>
              <w:jc w:val="center"/>
              <w:spacing w:after="0"/>
              <w:rPr>
                <w:rFonts w:ascii="Arial" w:cs="Arial" w:eastAsia="Arial" w:hAnsi="Arial"/>
                <w:sz w:val="17"/>
                <w:szCs w:val="17"/>
                <w:color w:val="661DE8"/>
              </w:rPr>
            </w:pPr>
            <w:r>
              <w:rPr>
                <w:rFonts w:ascii="Arial" w:cs="Arial" w:eastAsia="Arial" w:hAnsi="Arial"/>
                <w:sz w:val="17"/>
                <w:szCs w:val="17"/>
                <w:color w:val="661DE8"/>
              </w:rPr>
              <w:t>F-</w:t>
            </w:r>
            <w:hyperlink w:anchor="page78">
              <w:r>
                <w:rPr>
                  <w:rFonts w:ascii="Arial" w:cs="Arial" w:eastAsia="Arial" w:hAnsi="Arial"/>
                  <w:sz w:val="17"/>
                  <w:szCs w:val="17"/>
                  <w:color w:val="661DE8"/>
                </w:rPr>
                <w:t>9</w:t>
              </w:r>
            </w:hyperlink>
          </w:p>
        </w:tc>
        <w:tc>
          <w:tcPr>
            <w:tcW w:w="580" w:type="dxa"/>
            <w:vAlign w:val="bottom"/>
            <w:gridSpan w:val="2"/>
          </w:tcPr>
          <w:p>
            <w:pPr>
              <w:spacing w:after="0"/>
              <w:rPr>
                <w:sz w:val="22"/>
                <w:szCs w:val="22"/>
                <w:color w:val="auto"/>
              </w:rPr>
            </w:pPr>
          </w:p>
        </w:tc>
      </w:tr>
      <w:tr>
        <w:trPr>
          <w:trHeight w:val="255"/>
        </w:trPr>
        <w:tc>
          <w:tcPr>
            <w:tcW w:w="340" w:type="dxa"/>
            <w:vAlign w:val="bottom"/>
          </w:tcPr>
          <w:p>
            <w:pPr>
              <w:spacing w:after="0"/>
              <w:rPr>
                <w:sz w:val="22"/>
                <w:szCs w:val="22"/>
                <w:color w:val="auto"/>
              </w:rPr>
            </w:pPr>
          </w:p>
        </w:tc>
        <w:tc>
          <w:tcPr>
            <w:tcW w:w="9400" w:type="dxa"/>
            <w:vAlign w:val="bottom"/>
            <w:gridSpan w:val="8"/>
          </w:tcPr>
          <w:p>
            <w:pPr>
              <w:spacing w:after="0"/>
              <w:rPr>
                <w:rFonts w:ascii="Arial" w:cs="Arial" w:eastAsia="Arial" w:hAnsi="Arial"/>
                <w:sz w:val="17"/>
                <w:szCs w:val="17"/>
                <w:color w:val="0000FF"/>
              </w:rPr>
            </w:pPr>
            <w:hyperlink w:anchor="page78">
              <w:r>
                <w:rPr>
                  <w:rFonts w:ascii="Arial" w:cs="Arial" w:eastAsia="Arial" w:hAnsi="Arial"/>
                  <w:sz w:val="17"/>
                  <w:szCs w:val="17"/>
                  <w:color w:val="0000FF"/>
                </w:rPr>
                <w:t xml:space="preserve">Consolidated Statements of Cash Flows for the years ended December 31, </w:t>
              </w:r>
            </w:hyperlink>
            <w:r>
              <w:rPr>
                <w:rFonts w:ascii="Arial" w:cs="Arial" w:eastAsia="Arial" w:hAnsi="Arial"/>
                <w:sz w:val="17"/>
                <w:szCs w:val="17"/>
                <w:color w:val="0000FF"/>
              </w:rPr>
              <w:t xml:space="preserve">2021, 2020 </w:t>
            </w:r>
            <w:hyperlink w:anchor="page78">
              <w:r>
                <w:rPr>
                  <w:rFonts w:ascii="Arial" w:cs="Arial" w:eastAsia="Arial" w:hAnsi="Arial"/>
                  <w:sz w:val="17"/>
                  <w:szCs w:val="17"/>
                  <w:color w:val="0000FF"/>
                </w:rPr>
                <w:t xml:space="preserve">and </w:t>
              </w:r>
            </w:hyperlink>
            <w:r>
              <w:rPr>
                <w:rFonts w:ascii="Arial" w:cs="Arial" w:eastAsia="Arial" w:hAnsi="Arial"/>
                <w:sz w:val="17"/>
                <w:szCs w:val="17"/>
                <w:color w:val="0000FF"/>
              </w:rPr>
              <w:t>2019</w:t>
            </w:r>
          </w:p>
        </w:tc>
        <w:tc>
          <w:tcPr>
            <w:tcW w:w="540" w:type="dxa"/>
            <w:vAlign w:val="bottom"/>
          </w:tcPr>
          <w:p>
            <w:pPr>
              <w:spacing w:after="0"/>
              <w:rPr>
                <w:sz w:val="22"/>
                <w:szCs w:val="22"/>
                <w:color w:val="auto"/>
              </w:rPr>
            </w:pPr>
          </w:p>
        </w:tc>
        <w:tc>
          <w:tcPr>
            <w:tcW w:w="880" w:type="dxa"/>
            <w:vAlign w:val="bottom"/>
            <w:gridSpan w:val="4"/>
          </w:tcPr>
          <w:p>
            <w:pPr>
              <w:jc w:val="center"/>
              <w:ind w:right="540"/>
              <w:spacing w:after="0"/>
              <w:rPr>
                <w:rFonts w:ascii="Arial" w:cs="Arial" w:eastAsia="Arial" w:hAnsi="Arial"/>
                <w:sz w:val="17"/>
                <w:szCs w:val="17"/>
                <w:color w:val="661DE8"/>
                <w:w w:val="97"/>
              </w:rPr>
            </w:pPr>
            <w:r>
              <w:rPr>
                <w:rFonts w:ascii="Arial" w:cs="Arial" w:eastAsia="Arial" w:hAnsi="Arial"/>
                <w:sz w:val="17"/>
                <w:szCs w:val="17"/>
                <w:color w:val="661DE8"/>
                <w:w w:val="97"/>
              </w:rPr>
              <w:t>F-</w:t>
            </w:r>
            <w:hyperlink w:anchor="page78">
              <w:r>
                <w:rPr>
                  <w:rFonts w:ascii="Arial" w:cs="Arial" w:eastAsia="Arial" w:hAnsi="Arial"/>
                  <w:sz w:val="17"/>
                  <w:szCs w:val="17"/>
                  <w:color w:val="661DE8"/>
                  <w:w w:val="97"/>
                </w:rPr>
                <w:t>10</w:t>
              </w:r>
            </w:hyperlink>
          </w:p>
        </w:tc>
      </w:tr>
      <w:tr>
        <w:trPr>
          <w:trHeight w:val="255"/>
        </w:trPr>
        <w:tc>
          <w:tcPr>
            <w:tcW w:w="340" w:type="dxa"/>
            <w:vAlign w:val="bottom"/>
          </w:tcPr>
          <w:p>
            <w:pPr>
              <w:spacing w:after="0"/>
              <w:rPr>
                <w:sz w:val="22"/>
                <w:szCs w:val="22"/>
                <w:color w:val="auto"/>
              </w:rPr>
            </w:pPr>
          </w:p>
        </w:tc>
        <w:tc>
          <w:tcPr>
            <w:tcW w:w="306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91"/>
              </w:rPr>
            </w:pPr>
            <w:hyperlink w:anchor="page79">
              <w:r>
                <w:rPr>
                  <w:rFonts w:ascii="Arial" w:cs="Arial" w:eastAsia="Arial" w:hAnsi="Arial"/>
                  <w:sz w:val="17"/>
                  <w:szCs w:val="17"/>
                  <w:color w:val="0000FF"/>
                  <w:w w:val="91"/>
                </w:rPr>
                <w:t>Notes to Consolidated Financial Statements</w:t>
              </w:r>
            </w:hyperlink>
          </w:p>
        </w:tc>
        <w:tc>
          <w:tcPr>
            <w:tcW w:w="3640" w:type="dxa"/>
            <w:vAlign w:val="bottom"/>
            <w:tcBorders>
              <w:top w:val="single" w:sz="8" w:color="0000FF"/>
            </w:tcBorders>
            <w:gridSpan w:val="4"/>
          </w:tcPr>
          <w:p>
            <w:pPr>
              <w:spacing w:after="0"/>
              <w:rPr>
                <w:sz w:val="22"/>
                <w:szCs w:val="22"/>
                <w:color w:val="auto"/>
              </w:rPr>
            </w:pPr>
          </w:p>
        </w:tc>
        <w:tc>
          <w:tcPr>
            <w:tcW w:w="2700" w:type="dxa"/>
            <w:vAlign w:val="bottom"/>
            <w:gridSpan w:val="2"/>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Borders>
              <w:top w:val="single" w:sz="8" w:color="661DE8"/>
              <w:bottom w:val="single" w:sz="8" w:color="661DE8"/>
            </w:tcBorders>
            <w:gridSpan w:val="3"/>
          </w:tcPr>
          <w:p>
            <w:pPr>
              <w:jc w:val="center"/>
              <w:spacing w:after="0"/>
              <w:rPr>
                <w:rFonts w:ascii="Arial" w:cs="Arial" w:eastAsia="Arial" w:hAnsi="Arial"/>
                <w:sz w:val="17"/>
                <w:szCs w:val="17"/>
                <w:color w:val="661DE8"/>
                <w:w w:val="97"/>
              </w:rPr>
            </w:pPr>
            <w:r>
              <w:rPr>
                <w:rFonts w:ascii="Arial" w:cs="Arial" w:eastAsia="Arial" w:hAnsi="Arial"/>
                <w:sz w:val="17"/>
                <w:szCs w:val="17"/>
                <w:color w:val="661DE8"/>
                <w:w w:val="97"/>
              </w:rPr>
              <w:t>F-</w:t>
            </w:r>
            <w:hyperlink w:anchor="page79">
              <w:r>
                <w:rPr>
                  <w:rFonts w:ascii="Arial" w:cs="Arial" w:eastAsia="Arial" w:hAnsi="Arial"/>
                  <w:sz w:val="17"/>
                  <w:szCs w:val="17"/>
                  <w:color w:val="661DE8"/>
                  <w:w w:val="97"/>
                </w:rPr>
                <w:t>11</w:t>
              </w:r>
            </w:hyperlink>
          </w:p>
        </w:tc>
        <w:tc>
          <w:tcPr>
            <w:tcW w:w="5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351" w:right="419" w:bottom="1440" w:gutter="0" w:footer="0" w:header="0"/>
        </w:sectPr>
      </w:pPr>
    </w:p>
    <w:bookmarkStart w:id="70" w:name="page71"/>
    <w:bookmarkEnd w:id="7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ExlService Holdings, Inc.</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78"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We have audited the accompanying consolidated balance sheets of ExlService Holdings, Inc. (the "Company") as of December 31, 2021 and 2020, the related consolidated statements of income, comprehensive income,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97" w:lineRule="exact"/>
        <w:rPr>
          <w:sz w:val="20"/>
          <w:szCs w:val="20"/>
          <w:color w:val="auto"/>
        </w:rPr>
      </w:pPr>
    </w:p>
    <w:p>
      <w:pPr>
        <w:jc w:val="both"/>
        <w:ind w:firstLine="393"/>
        <w:spacing w:after="0" w:line="237"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February 24, 2022, expressed an unqualified opinion on the Company's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8"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78"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 - Refer to Note 9 to the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 Description</w:t>
      </w:r>
    </w:p>
    <w:p>
      <w:pPr>
        <w:spacing w:after="0" w:line="178"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On December 16, 2021, ExlService.com, LLC (the “Purchaser”), a wholly owned subsidiary of the Company, entered into a purchase agreement (the “Purchase Agreement”) with Clairvoyant AI Inc. (“Clairvoyant”) to purchase all of the issued and outstanding equity securities of Clairvoyant. The initial purchase consideration was $80,080, excluding cash and cash equivalents acquired, debt and other estimated post-closing adjustments. The Purchase Agreement allows sellers the ability to earn up to $20,000 in earn-out payments, based on the achievement of certain performance goals by Clairvoyant during the 2022 and 2023 calendar years. This contingent consideration has an estimated fair value of $9,000. The purchase consideration remains subject to certain post-closing adjustments, as required under the Purchase Agreement.</w:t>
      </w:r>
    </w:p>
    <w:p>
      <w:pPr>
        <w:spacing w:after="0" w:line="113" w:lineRule="exact"/>
        <w:rPr>
          <w:sz w:val="20"/>
          <w:szCs w:val="20"/>
          <w:color w:val="auto"/>
        </w:rPr>
      </w:pPr>
    </w:p>
    <w:p>
      <w:pPr>
        <w:jc w:val="both"/>
        <w:ind w:firstLine="393"/>
        <w:spacing w:after="0" w:line="255" w:lineRule="auto"/>
        <w:rPr>
          <w:sz w:val="20"/>
          <w:szCs w:val="20"/>
          <w:color w:val="auto"/>
        </w:rPr>
      </w:pPr>
      <w:r>
        <w:rPr>
          <w:rFonts w:ascii="Arial" w:cs="Arial" w:eastAsia="Arial" w:hAnsi="Arial"/>
          <w:sz w:val="16"/>
          <w:szCs w:val="16"/>
          <w:color w:val="auto"/>
        </w:rPr>
        <w:t>The Company accounted for this business combination using the acquisition method of accounting. The aggregate purchase consideration for Clairvoyant was allocated to identifiable net tangible and intangible assets based upon their preliminary fair values. The guidance specifies criteria as to intangible assets acquired in a business combination that must be recognized and reported separately from goodwill. Contingent consideration is recognized at its fair value on the acquisition date. The liability resulting from contingent consideration is re-measured to fair value as of each reporting date until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4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contingency is resolved, whereby such changes in fair value are recognized in earnings. These fair value measurements represent Level 3 measurements as they are based on significant inputs not observable in the market. Under ASC 350, Intangibles - Goodwill and Other, all assets and liabilities of the acquired businesses, including goodwill, are assigned to reporting units. Acquisition related costs are expensed as incurred under general and administrative expenses.</w:t>
      </w:r>
    </w:p>
    <w:p>
      <w:pPr>
        <w:spacing w:after="0" w:line="180" w:lineRule="exact"/>
        <w:rPr>
          <w:sz w:val="20"/>
          <w:szCs w:val="20"/>
          <w:color w:val="auto"/>
        </w:rPr>
      </w:pPr>
    </w:p>
    <w:p>
      <w:pPr>
        <w:jc w:val="both"/>
        <w:ind w:firstLine="393"/>
        <w:spacing w:after="0" w:line="241" w:lineRule="auto"/>
        <w:rPr>
          <w:sz w:val="20"/>
          <w:szCs w:val="20"/>
          <w:color w:val="auto"/>
        </w:rPr>
      </w:pPr>
      <w:r>
        <w:rPr>
          <w:rFonts w:ascii="Arial" w:cs="Arial" w:eastAsia="Arial" w:hAnsi="Arial"/>
          <w:sz w:val="17"/>
          <w:szCs w:val="17"/>
          <w:color w:val="auto"/>
        </w:rPr>
        <w:t>The determination of the fair value of the net assets of Clairvoyant, specifically the estimates of the fair value of the identifiable intangible assets and contingent consideration, requires judgment, and is subjective based on assumptions, the most significant being the related revenue projections within future cash flows, and the discount rate applied within the discounted cash flow model of Clairvoyant.</w:t>
      </w:r>
    </w:p>
    <w:p>
      <w:pPr>
        <w:spacing w:after="0" w:line="198" w:lineRule="exact"/>
        <w:rPr>
          <w:sz w:val="20"/>
          <w:szCs w:val="20"/>
          <w:color w:val="auto"/>
        </w:rPr>
      </w:pPr>
    </w:p>
    <w:p>
      <w:pPr>
        <w:jc w:val="both"/>
        <w:ind w:firstLine="393"/>
        <w:spacing w:after="0" w:line="234" w:lineRule="auto"/>
        <w:rPr>
          <w:sz w:val="20"/>
          <w:szCs w:val="20"/>
          <w:color w:val="auto"/>
        </w:rPr>
      </w:pPr>
      <w:r>
        <w:rPr>
          <w:rFonts w:ascii="Arial" w:cs="Arial" w:eastAsia="Arial" w:hAnsi="Arial"/>
          <w:sz w:val="17"/>
          <w:szCs w:val="17"/>
          <w:color w:val="auto"/>
        </w:rPr>
        <w:t>We identified the valuation of the net assets of Clairvoyant, specifically the estimates of the fair value of the identifiable intangible assets and contingent consideration, as a critical audit matter because of the significant estimates and management assumptions utilized in projecting revenue within future cash flows, and selecting an appropriate discount rate. This required a high degree of auditor judgment and an increased audit effort, including the need to involve our fair value specialists when performing auditor procedures to evaluate the reasonableness of management’s valuation methodology and the selection of inputs to the valuation.</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the Critical Audit Matter Was Addressed in the Audit</w:t>
      </w:r>
    </w:p>
    <w:p>
      <w:pPr>
        <w:spacing w:after="0" w:line="17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Our audit procedures related to the fair value of the net assets of Clairvoyant, specifically the estimates of the fair value of the identifiable intangible assets and contingent consideration, including projections of revenue within future cash flows and the selection of the discount rate included the following, among others:</w:t>
      </w:r>
    </w:p>
    <w:p>
      <w:pPr>
        <w:spacing w:after="0" w:line="120" w:lineRule="exact"/>
        <w:rPr>
          <w:sz w:val="20"/>
          <w:szCs w:val="20"/>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evaluated the business rationale for the acquisition;</w:t>
      </w:r>
    </w:p>
    <w:p>
      <w:pPr>
        <w:spacing w:after="0" w:line="17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tested the operating effectiveness of internal controls over the valuation of the net assets of Clairvoyant, including management’s internal controls over the selection and review of key assumptions used in projected financial information;</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assessed the reasonableness of management's revenue projections by comparing the projections to historical results and market data; and</w:t>
      </w:r>
    </w:p>
    <w:p>
      <w:pPr>
        <w:spacing w:after="0" w:line="183" w:lineRule="exact"/>
        <w:rPr>
          <w:rFonts w:ascii="Arial" w:cs="Arial" w:eastAsia="Arial" w:hAnsi="Arial"/>
          <w:sz w:val="16"/>
          <w:szCs w:val="16"/>
          <w:color w:val="auto"/>
        </w:rPr>
      </w:pPr>
    </w:p>
    <w:p>
      <w:pPr>
        <w:ind w:left="640" w:hanging="320"/>
        <w:spacing w:after="0" w:line="289"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the valuation methodology and key valuation inputs utilized in the analysis including the selected discount rate by:</w:t>
      </w:r>
    </w:p>
    <w:p>
      <w:pPr>
        <w:spacing w:after="0" w:line="106" w:lineRule="exact"/>
        <w:rPr>
          <w:rFonts w:ascii="Arial" w:cs="Arial" w:eastAsia="Arial" w:hAnsi="Arial"/>
          <w:sz w:val="17"/>
          <w:szCs w:val="17"/>
          <w:color w:val="auto"/>
        </w:rPr>
      </w:pPr>
    </w:p>
    <w:p>
      <w:pPr>
        <w:ind w:left="940" w:hanging="306"/>
        <w:spacing w:after="0"/>
        <w:tabs>
          <w:tab w:leader="none" w:pos="9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Developing a range of independent estimates of the discount rate and comparing those to the rates selected by management;</w:t>
      </w:r>
    </w:p>
    <w:p>
      <w:pPr>
        <w:spacing w:after="0" w:line="171" w:lineRule="exact"/>
        <w:rPr>
          <w:rFonts w:ascii="Arial" w:cs="Arial" w:eastAsia="Arial" w:hAnsi="Arial"/>
          <w:sz w:val="17"/>
          <w:szCs w:val="17"/>
          <w:color w:val="auto"/>
        </w:rPr>
      </w:pPr>
    </w:p>
    <w:p>
      <w:pPr>
        <w:ind w:left="940" w:hanging="306"/>
        <w:spacing w:after="0"/>
        <w:tabs>
          <w:tab w:leader="none" w:pos="9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Testing the reasonableness of the valuation inputs against observable market data and generally accepted valuation methodologies; and</w:t>
      </w:r>
    </w:p>
    <w:p>
      <w:pPr>
        <w:spacing w:after="0" w:line="171" w:lineRule="exact"/>
        <w:rPr>
          <w:rFonts w:ascii="Arial" w:cs="Arial" w:eastAsia="Arial" w:hAnsi="Arial"/>
          <w:sz w:val="17"/>
          <w:szCs w:val="17"/>
          <w:color w:val="auto"/>
        </w:rPr>
      </w:pPr>
    </w:p>
    <w:p>
      <w:pPr>
        <w:ind w:left="940" w:hanging="306"/>
        <w:spacing w:after="0"/>
        <w:tabs>
          <w:tab w:leader="none" w:pos="9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Testing the mathematical accuracy of the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ExlService Holdings, Inc.</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68"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 xml:space="preserve">We have audited the internal control over financial reporting of ExlService Holdings, Inc.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24"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2021, of the Company and our report dated February 24, 2022, expressed an unqualified opinion on those financial statements.</w:t>
      </w:r>
    </w:p>
    <w:p>
      <w:pPr>
        <w:spacing w:after="0" w:line="120"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As described in Management’s Annual Report on Internal Control over Financial Reporting, management excluded from its assessment the internal control over financial reporting at Clairvoyant AI Inc., which was acquired on December 16, 2021, and whose financial statements constitute 7.4% of total assets and 0.1% of revenues of the consolidated financial statement amounts as of and for the year ended December 31, 2021. Accordingly, our audit did not include the internal control over financial reporting at Clairvoyant AI Inc.</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68"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68"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EXLSERVICE HOLDINGS,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81" w:lineRule="exact"/>
        <w:rPr>
          <w:sz w:val="20"/>
          <w:szCs w:val="20"/>
          <w:color w:val="auto"/>
        </w:rPr>
      </w:pPr>
    </w:p>
    <w:tbl>
      <w:tblPr>
        <w:tblLayout w:type="fixed"/>
        <w:tblInd w:w="80" w:type="dxa"/>
        <w:tblCellMar>
          <w:top w:w="0" w:type="dxa"/>
          <w:left w:w="0" w:type="dxa"/>
          <w:bottom w:w="0" w:type="dxa"/>
          <w:right w:w="0" w:type="dxa"/>
        </w:tblCellMar>
      </w:tblPr>
      <w:tr>
        <w:trPr>
          <w:trHeight w:val="197"/>
        </w:trPr>
        <w:tc>
          <w:tcPr>
            <w:tcW w:w="7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5"/>
                <w:szCs w:val="15"/>
                <w:b w:val="1"/>
                <w:bCs w:val="1"/>
                <w:color w:val="auto"/>
              </w:rPr>
              <w:t>As of</w:t>
            </w: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 2021</w:t>
            </w:r>
          </w:p>
        </w:tc>
        <w:tc>
          <w:tcPr>
            <w:tcW w:w="180" w:type="dxa"/>
            <w:vAlign w:val="bottom"/>
          </w:tcPr>
          <w:p>
            <w:pPr>
              <w:spacing w:after="0"/>
              <w:rPr>
                <w:sz w:val="16"/>
                <w:szCs w:val="16"/>
                <w:color w:val="auto"/>
              </w:rPr>
            </w:pPr>
          </w:p>
        </w:tc>
        <w:tc>
          <w:tcPr>
            <w:tcW w:w="1620" w:type="dxa"/>
            <w:vAlign w:val="bottom"/>
          </w:tcPr>
          <w:p>
            <w:pPr>
              <w:jc w:val="right"/>
              <w:ind w:right="246"/>
              <w:spacing w:after="0"/>
              <w:rPr>
                <w:sz w:val="20"/>
                <w:szCs w:val="20"/>
                <w:color w:val="auto"/>
              </w:rPr>
            </w:pPr>
            <w:r>
              <w:rPr>
                <w:rFonts w:ascii="Arial" w:cs="Arial" w:eastAsia="Arial" w:hAnsi="Arial"/>
                <w:sz w:val="15"/>
                <w:szCs w:val="15"/>
                <w:b w:val="1"/>
                <w:bCs w:val="1"/>
                <w:color w:val="auto"/>
                <w:w w:val="94"/>
              </w:rPr>
              <w:t>December 31, 2020</w:t>
            </w:r>
          </w:p>
        </w:tc>
        <w:tc>
          <w:tcPr>
            <w:tcW w:w="0" w:type="dxa"/>
            <w:vAlign w:val="bottom"/>
          </w:tcPr>
          <w:p>
            <w:pPr>
              <w:spacing w:after="0"/>
              <w:rPr>
                <w:sz w:val="1"/>
                <w:szCs w:val="1"/>
                <w:color w:val="auto"/>
              </w:rPr>
            </w:pPr>
          </w:p>
        </w:tc>
      </w:tr>
      <w:tr>
        <w:trPr>
          <w:trHeight w:val="179"/>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135,337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218,530</w:t>
            </w:r>
          </w:p>
        </w:tc>
        <w:tc>
          <w:tcPr>
            <w:tcW w:w="0" w:type="dxa"/>
            <w:vAlign w:val="bottom"/>
          </w:tcPr>
          <w:p>
            <w:pPr>
              <w:spacing w:after="0"/>
              <w:rPr>
                <w:sz w:val="1"/>
                <w:szCs w:val="1"/>
                <w:color w:val="auto"/>
              </w:rPr>
            </w:pPr>
          </w:p>
        </w:tc>
      </w:tr>
      <w:tr>
        <w:trPr>
          <w:trHeight w:val="193"/>
        </w:trPr>
        <w:tc>
          <w:tcPr>
            <w:tcW w:w="7340" w:type="dxa"/>
            <w:vAlign w:val="bottom"/>
          </w:tcPr>
          <w:p>
            <w:pPr>
              <w:ind w:left="320"/>
              <w:spacing w:after="0"/>
              <w:rPr>
                <w:sz w:val="20"/>
                <w:szCs w:val="20"/>
                <w:color w:val="auto"/>
              </w:rPr>
            </w:pPr>
            <w:r>
              <w:rPr>
                <w:rFonts w:ascii="Arial" w:cs="Arial" w:eastAsia="Arial" w:hAnsi="Arial"/>
                <w:sz w:val="15"/>
                <w:szCs w:val="15"/>
                <w:color w:val="auto"/>
              </w:rPr>
              <w:t>Short-term investments</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178,538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184,286</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Restricted cash</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4,690</w:t>
            </w:r>
          </w:p>
        </w:tc>
        <w:tc>
          <w:tcPr>
            <w:tcW w:w="0" w:type="dxa"/>
            <w:vAlign w:val="bottom"/>
          </w:tcPr>
          <w:p>
            <w:pPr>
              <w:spacing w:after="0"/>
              <w:rPr>
                <w:sz w:val="1"/>
                <w:szCs w:val="1"/>
                <w:color w:val="auto"/>
              </w:rPr>
            </w:pPr>
          </w:p>
        </w:tc>
      </w:tr>
      <w:tr>
        <w:trPr>
          <w:trHeight w:val="193"/>
        </w:trPr>
        <w:tc>
          <w:tcPr>
            <w:tcW w:w="7340" w:type="dxa"/>
            <w:vAlign w:val="bottom"/>
          </w:tcPr>
          <w:p>
            <w:pPr>
              <w:ind w:left="32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194,232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147,635</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Prepaid expenses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11,344</w:t>
            </w:r>
          </w:p>
        </w:tc>
        <w:tc>
          <w:tcPr>
            <w:tcW w:w="0" w:type="dxa"/>
            <w:vAlign w:val="bottom"/>
          </w:tcPr>
          <w:p>
            <w:pPr>
              <w:spacing w:after="0"/>
              <w:rPr>
                <w:sz w:val="1"/>
                <w:szCs w:val="1"/>
                <w:color w:val="auto"/>
              </w:rPr>
            </w:pPr>
          </w:p>
        </w:tc>
      </w:tr>
      <w:tr>
        <w:trPr>
          <w:trHeight w:val="193"/>
        </w:trPr>
        <w:tc>
          <w:tcPr>
            <w:tcW w:w="7340" w:type="dxa"/>
            <w:vAlign w:val="bottom"/>
          </w:tcPr>
          <w:p>
            <w:pPr>
              <w:ind w:left="320"/>
              <w:spacing w:after="0"/>
              <w:rPr>
                <w:sz w:val="20"/>
                <w:szCs w:val="20"/>
                <w:color w:val="auto"/>
              </w:rPr>
            </w:pPr>
            <w:r>
              <w:rPr>
                <w:rFonts w:ascii="Arial" w:cs="Arial" w:eastAsia="Arial" w:hAnsi="Arial"/>
                <w:sz w:val="15"/>
                <w:szCs w:val="15"/>
                <w:color w:val="auto"/>
              </w:rPr>
              <w:t>Advance income tax, net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15,199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5,684</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34,009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37,109</w:t>
            </w:r>
          </w:p>
        </w:tc>
        <w:tc>
          <w:tcPr>
            <w:tcW w:w="0" w:type="dxa"/>
            <w:vAlign w:val="bottom"/>
          </w:tcPr>
          <w:p>
            <w:pPr>
              <w:spacing w:after="0"/>
              <w:rPr>
                <w:sz w:val="1"/>
                <w:szCs w:val="1"/>
                <w:color w:val="auto"/>
              </w:rPr>
            </w:pPr>
          </w:p>
        </w:tc>
      </w:tr>
      <w:tr>
        <w:trPr>
          <w:trHeight w:val="188"/>
        </w:trPr>
        <w:tc>
          <w:tcPr>
            <w:tcW w:w="734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Total current assets</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578,144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609,278</w:t>
            </w:r>
          </w:p>
        </w:tc>
        <w:tc>
          <w:tcPr>
            <w:tcW w:w="0" w:type="dxa"/>
            <w:vAlign w:val="bottom"/>
          </w:tcPr>
          <w:p>
            <w:pPr>
              <w:spacing w:after="0"/>
              <w:rPr>
                <w:sz w:val="1"/>
                <w:szCs w:val="1"/>
                <w:color w:val="auto"/>
              </w:rPr>
            </w:pPr>
          </w:p>
        </w:tc>
      </w:tr>
      <w:tr>
        <w:trPr>
          <w:trHeight w:val="192"/>
        </w:trPr>
        <w:tc>
          <w:tcPr>
            <w:tcW w:w="734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Property and equipment, net</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86,008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92,875</w:t>
            </w:r>
          </w:p>
        </w:tc>
        <w:tc>
          <w:tcPr>
            <w:tcW w:w="0" w:type="dxa"/>
            <w:vAlign w:val="bottom"/>
          </w:tcPr>
          <w:p>
            <w:pPr>
              <w:spacing w:after="0"/>
              <w:rPr>
                <w:sz w:val="1"/>
                <w:szCs w:val="1"/>
                <w:color w:val="auto"/>
              </w:rPr>
            </w:pPr>
          </w:p>
        </w:tc>
      </w:tr>
      <w:tr>
        <w:trPr>
          <w:trHeight w:val="193"/>
        </w:trPr>
        <w:tc>
          <w:tcPr>
            <w:tcW w:w="7340" w:type="dxa"/>
            <w:vAlign w:val="bottom"/>
          </w:tcPr>
          <w:p>
            <w:pPr>
              <w:spacing w:after="0"/>
              <w:rPr>
                <w:sz w:val="20"/>
                <w:szCs w:val="20"/>
                <w:color w:val="auto"/>
              </w:rPr>
            </w:pPr>
            <w:r>
              <w:rPr>
                <w:rFonts w:ascii="Arial" w:cs="Arial" w:eastAsia="Arial" w:hAnsi="Arial"/>
                <w:sz w:val="15"/>
                <w:szCs w:val="15"/>
                <w:color w:val="auto"/>
              </w:rPr>
              <w:t>Operating lease right-of-use assets</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76,692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91,918</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Restricted cash</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2,299</w:t>
            </w:r>
          </w:p>
        </w:tc>
        <w:tc>
          <w:tcPr>
            <w:tcW w:w="0" w:type="dxa"/>
            <w:vAlign w:val="bottom"/>
          </w:tcPr>
          <w:p>
            <w:pPr>
              <w:spacing w:after="0"/>
              <w:rPr>
                <w:sz w:val="1"/>
                <w:szCs w:val="1"/>
                <w:color w:val="auto"/>
              </w:rPr>
            </w:pPr>
          </w:p>
        </w:tc>
      </w:tr>
      <w:tr>
        <w:trPr>
          <w:trHeight w:val="193"/>
        </w:trPr>
        <w:tc>
          <w:tcPr>
            <w:tcW w:w="7340" w:type="dxa"/>
            <w:vAlign w:val="bottom"/>
          </w:tcPr>
          <w:p>
            <w:pPr>
              <w:spacing w:after="0"/>
              <w:rPr>
                <w:sz w:val="20"/>
                <w:szCs w:val="20"/>
                <w:color w:val="auto"/>
              </w:rPr>
            </w:pPr>
            <w:r>
              <w:rPr>
                <w:rFonts w:ascii="Arial" w:cs="Arial" w:eastAsia="Arial" w:hAnsi="Arial"/>
                <w:sz w:val="15"/>
                <w:szCs w:val="15"/>
                <w:color w:val="auto"/>
              </w:rPr>
              <w:t>Deferred tax assets, net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21,404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7,749</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81,082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59,594</w:t>
            </w:r>
          </w:p>
        </w:tc>
        <w:tc>
          <w:tcPr>
            <w:tcW w:w="0" w:type="dxa"/>
            <w:vAlign w:val="bottom"/>
          </w:tcPr>
          <w:p>
            <w:pPr>
              <w:spacing w:after="0"/>
              <w:rPr>
                <w:sz w:val="1"/>
                <w:szCs w:val="1"/>
                <w:color w:val="auto"/>
              </w:rPr>
            </w:pPr>
          </w:p>
        </w:tc>
      </w:tr>
      <w:tr>
        <w:trPr>
          <w:trHeight w:val="193"/>
        </w:trPr>
        <w:tc>
          <w:tcPr>
            <w:tcW w:w="7340" w:type="dxa"/>
            <w:vAlign w:val="bottom"/>
          </w:tcPr>
          <w:p>
            <w:pPr>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403,902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349,088</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32,099</w:t>
            </w:r>
          </w:p>
        </w:tc>
        <w:tc>
          <w:tcPr>
            <w:tcW w:w="0" w:type="dxa"/>
            <w:vAlign w:val="bottom"/>
          </w:tcPr>
          <w:p>
            <w:pPr>
              <w:spacing w:after="0"/>
              <w:rPr>
                <w:sz w:val="1"/>
                <w:szCs w:val="1"/>
                <w:color w:val="auto"/>
              </w:rPr>
            </w:pPr>
          </w:p>
        </w:tc>
      </w:tr>
      <w:tr>
        <w:trPr>
          <w:trHeight w:val="193"/>
        </w:trPr>
        <w:tc>
          <w:tcPr>
            <w:tcW w:w="73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Investment in equity affiliate</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2,957</w:t>
            </w:r>
          </w:p>
        </w:tc>
        <w:tc>
          <w:tcPr>
            <w:tcW w:w="0" w:type="dxa"/>
            <w:vAlign w:val="bottom"/>
          </w:tcPr>
          <w:p>
            <w:pPr>
              <w:spacing w:after="0"/>
              <w:rPr>
                <w:sz w:val="1"/>
                <w:szCs w:val="1"/>
                <w:color w:val="auto"/>
              </w:rPr>
            </w:pPr>
          </w:p>
        </w:tc>
      </w:tr>
      <w:tr>
        <w:trPr>
          <w:trHeight w:val="217"/>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1,282,904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1,247,857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40" w:type="dxa"/>
            <w:vAlign w:val="bottom"/>
          </w:tcPr>
          <w:p>
            <w:pPr>
              <w:ind w:left="320"/>
              <w:spacing w:after="0"/>
              <w:rPr>
                <w:sz w:val="20"/>
                <w:szCs w:val="20"/>
                <w:color w:val="auto"/>
              </w:rPr>
            </w:pPr>
            <w:r>
              <w:rPr>
                <w:rFonts w:ascii="Arial" w:cs="Arial" w:eastAsia="Arial" w:hAnsi="Arial"/>
                <w:sz w:val="15"/>
                <w:szCs w:val="15"/>
                <w:color w:val="auto"/>
              </w:rPr>
              <w:t>Accounts payable</w:t>
            </w:r>
          </w:p>
        </w:tc>
        <w:tc>
          <w:tcPr>
            <w:tcW w:w="220" w:type="dxa"/>
            <w:vAlign w:val="bottom"/>
          </w:tcPr>
          <w:p>
            <w:pPr>
              <w:jc w:val="right"/>
              <w:ind w:right="46"/>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6,873</w:t>
            </w:r>
          </w:p>
        </w:tc>
        <w:tc>
          <w:tcPr>
            <w:tcW w:w="12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6,992</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Current portion of long-term borrowings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r>
        <w:trPr>
          <w:trHeight w:val="193"/>
        </w:trPr>
        <w:tc>
          <w:tcPr>
            <w:tcW w:w="7340" w:type="dxa"/>
            <w:vAlign w:val="bottom"/>
          </w:tcPr>
          <w:p>
            <w:pPr>
              <w:ind w:left="32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32,649</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Accrued employee costs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67,645</w:t>
            </w:r>
          </w:p>
        </w:tc>
        <w:tc>
          <w:tcPr>
            <w:tcW w:w="0" w:type="dxa"/>
            <w:vAlign w:val="bottom"/>
          </w:tcPr>
          <w:p>
            <w:pPr>
              <w:spacing w:after="0"/>
              <w:rPr>
                <w:sz w:val="1"/>
                <w:szCs w:val="1"/>
                <w:color w:val="auto"/>
              </w:rPr>
            </w:pPr>
          </w:p>
        </w:tc>
      </w:tr>
      <w:tr>
        <w:trPr>
          <w:trHeight w:val="193"/>
        </w:trPr>
        <w:tc>
          <w:tcPr>
            <w:tcW w:w="7340" w:type="dxa"/>
            <w:vAlign w:val="bottom"/>
          </w:tcPr>
          <w:p>
            <w:pPr>
              <w:ind w:left="320"/>
              <w:spacing w:after="0"/>
              <w:rPr>
                <w:sz w:val="20"/>
                <w:szCs w:val="20"/>
                <w:color w:val="auto"/>
              </w:rPr>
            </w:pPr>
            <w:r>
              <w:rPr>
                <w:rFonts w:ascii="Arial" w:cs="Arial" w:eastAsia="Arial" w:hAnsi="Arial"/>
                <w:sz w:val="15"/>
                <w:szCs w:val="15"/>
                <w:color w:val="auto"/>
              </w:rPr>
              <w:t>Accrued expenses and other current liabilities</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75,124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66,410</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Current portion of operating lease liabilities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18,894</w:t>
            </w:r>
          </w:p>
        </w:tc>
        <w:tc>
          <w:tcPr>
            <w:tcW w:w="0" w:type="dxa"/>
            <w:vAlign w:val="bottom"/>
          </w:tcPr>
          <w:p>
            <w:pPr>
              <w:spacing w:after="0"/>
              <w:rPr>
                <w:sz w:val="1"/>
                <w:szCs w:val="1"/>
                <w:color w:val="auto"/>
              </w:rPr>
            </w:pPr>
          </w:p>
        </w:tc>
      </w:tr>
      <w:tr>
        <w:trPr>
          <w:trHeight w:val="193"/>
        </w:trPr>
        <w:tc>
          <w:tcPr>
            <w:tcW w:w="73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Income taxes payable, net</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3,488</w:t>
            </w:r>
          </w:p>
        </w:tc>
        <w:tc>
          <w:tcPr>
            <w:tcW w:w="0" w:type="dxa"/>
            <w:vAlign w:val="bottom"/>
          </w:tcPr>
          <w:p>
            <w:pPr>
              <w:spacing w:after="0"/>
              <w:rPr>
                <w:sz w:val="1"/>
                <w:szCs w:val="1"/>
                <w:color w:val="auto"/>
              </w:rPr>
            </w:pPr>
          </w:p>
        </w:tc>
      </w:tr>
      <w:tr>
        <w:trPr>
          <w:trHeight w:val="194"/>
        </w:trPr>
        <w:tc>
          <w:tcPr>
            <w:tcW w:w="7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current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495,686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221,078</w:t>
            </w:r>
          </w:p>
        </w:tc>
        <w:tc>
          <w:tcPr>
            <w:tcW w:w="0" w:type="dxa"/>
            <w:vAlign w:val="bottom"/>
          </w:tcPr>
          <w:p>
            <w:pPr>
              <w:spacing w:after="0"/>
              <w:rPr>
                <w:sz w:val="1"/>
                <w:szCs w:val="1"/>
                <w:color w:val="auto"/>
              </w:rPr>
            </w:pPr>
          </w:p>
        </w:tc>
      </w:tr>
      <w:tr>
        <w:trPr>
          <w:trHeight w:val="186"/>
        </w:trPr>
        <w:tc>
          <w:tcPr>
            <w:tcW w:w="7340" w:type="dxa"/>
            <w:vAlign w:val="bottom"/>
          </w:tcPr>
          <w:p>
            <w:pPr>
              <w:spacing w:after="0" w:line="169" w:lineRule="exact"/>
              <w:rPr>
                <w:sz w:val="20"/>
                <w:szCs w:val="20"/>
                <w:color w:val="auto"/>
              </w:rPr>
            </w:pPr>
            <w:r>
              <w:rPr>
                <w:rFonts w:ascii="Arial" w:cs="Arial" w:eastAsia="Arial" w:hAnsi="Arial"/>
                <w:sz w:val="15"/>
                <w:szCs w:val="15"/>
                <w:color w:val="auto"/>
              </w:rPr>
              <w:t>Long-term borrowings, less current portion</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201,961</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liabilities, less current portion</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84,874</w:t>
            </w:r>
          </w:p>
        </w:tc>
        <w:tc>
          <w:tcPr>
            <w:tcW w:w="0" w:type="dxa"/>
            <w:vAlign w:val="bottom"/>
          </w:tcPr>
          <w:p>
            <w:pPr>
              <w:spacing w:after="0"/>
              <w:rPr>
                <w:sz w:val="1"/>
                <w:szCs w:val="1"/>
                <w:color w:val="auto"/>
              </w:rPr>
            </w:pPr>
          </w:p>
        </w:tc>
      </w:tr>
      <w:tr>
        <w:trPr>
          <w:trHeight w:val="193"/>
        </w:trPr>
        <w:tc>
          <w:tcPr>
            <w:tcW w:w="7340" w:type="dxa"/>
            <w:vAlign w:val="bottom"/>
          </w:tcPr>
          <w:p>
            <w:pPr>
              <w:spacing w:after="0"/>
              <w:rPr>
                <w:sz w:val="20"/>
                <w:szCs w:val="20"/>
                <w:color w:val="auto"/>
              </w:rPr>
            </w:pPr>
            <w:r>
              <w:rPr>
                <w:rFonts w:ascii="Arial" w:cs="Arial" w:eastAsia="Arial" w:hAnsi="Arial"/>
                <w:sz w:val="15"/>
                <w:szCs w:val="15"/>
                <w:color w:val="auto"/>
              </w:rPr>
              <w:t>Income taxes payable</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1,790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1,790</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 net</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193"/>
        </w:trPr>
        <w:tc>
          <w:tcPr>
            <w:tcW w:w="73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non-current liabilities</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22,801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18,135</w:t>
            </w:r>
          </w:p>
        </w:tc>
        <w:tc>
          <w:tcPr>
            <w:tcW w:w="0" w:type="dxa"/>
            <w:vAlign w:val="bottom"/>
          </w:tcPr>
          <w:p>
            <w:pPr>
              <w:spacing w:after="0"/>
              <w:rPr>
                <w:sz w:val="1"/>
                <w:szCs w:val="1"/>
                <w:color w:val="auto"/>
              </w:rPr>
            </w:pPr>
          </w:p>
        </w:tc>
      </w:tr>
      <w:tr>
        <w:trPr>
          <w:trHeight w:val="194"/>
        </w:trPr>
        <w:tc>
          <w:tcPr>
            <w:tcW w:w="7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589,748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528,685</w:t>
            </w:r>
          </w:p>
        </w:tc>
        <w:tc>
          <w:tcPr>
            <w:tcW w:w="0" w:type="dxa"/>
            <w:vAlign w:val="bottom"/>
          </w:tcPr>
          <w:p>
            <w:pPr>
              <w:spacing w:after="0"/>
              <w:rPr>
                <w:sz w:val="1"/>
                <w:szCs w:val="1"/>
                <w:color w:val="auto"/>
              </w:rPr>
            </w:pPr>
          </w:p>
        </w:tc>
      </w:tr>
      <w:tr>
        <w:trPr>
          <w:trHeight w:val="173"/>
        </w:trPr>
        <w:tc>
          <w:tcPr>
            <w:tcW w:w="7340" w:type="dxa"/>
            <w:vAlign w:val="bottom"/>
          </w:tcPr>
          <w:p>
            <w:pPr>
              <w:spacing w:after="0" w:line="169" w:lineRule="exact"/>
              <w:rPr>
                <w:sz w:val="20"/>
                <w:szCs w:val="20"/>
                <w:color w:val="auto"/>
              </w:rPr>
            </w:pPr>
            <w:r>
              <w:rPr>
                <w:rFonts w:ascii="Arial" w:cs="Arial" w:eastAsia="Arial" w:hAnsi="Arial"/>
                <w:sz w:val="15"/>
                <w:szCs w:val="15"/>
                <w:color w:val="auto"/>
              </w:rPr>
              <w:t>Commitments and contingencies (Refer Note 25)</w:t>
            </w: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2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7340" w:type="dxa"/>
            <w:vAlign w:val="bottom"/>
          </w:tcPr>
          <w:p>
            <w:pPr>
              <w:ind w:left="320"/>
              <w:spacing w:after="0"/>
              <w:rPr>
                <w:sz w:val="20"/>
                <w:szCs w:val="20"/>
                <w:color w:val="auto"/>
              </w:rPr>
            </w:pPr>
            <w:r>
              <w:rPr>
                <w:rFonts w:ascii="Arial" w:cs="Arial" w:eastAsia="Arial" w:hAnsi="Arial"/>
                <w:sz w:val="15"/>
                <w:szCs w:val="15"/>
                <w:color w:val="auto"/>
              </w:rPr>
              <w:t>ExlService Holdings, Inc. Stockholders’ equity:</w:t>
            </w: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340" w:type="dxa"/>
            <w:vAlign w:val="bottom"/>
            <w:shd w:val="clear" w:color="auto" w:fill="CCEEFF"/>
          </w:tcPr>
          <w:p>
            <w:pPr>
              <w:ind w:left="320"/>
              <w:spacing w:after="0" w:line="149" w:lineRule="exact"/>
              <w:rPr>
                <w:sz w:val="20"/>
                <w:szCs w:val="20"/>
                <w:color w:val="auto"/>
              </w:rPr>
            </w:pPr>
            <w:r>
              <w:rPr>
                <w:rFonts w:ascii="Arial" w:cs="Arial" w:eastAsia="Arial" w:hAnsi="Arial"/>
                <w:sz w:val="15"/>
                <w:szCs w:val="15"/>
                <w:color w:val="auto"/>
                <w:w w:val="90"/>
              </w:rPr>
              <w:t>Common stock, $0.001 par value; 100,000,000 shares authorized, 39,508,340 shares issued and 33,291,482 shares</w:t>
            </w:r>
          </w:p>
        </w:tc>
        <w:tc>
          <w:tcPr>
            <w:tcW w:w="2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320"/>
              <w:spacing w:after="0" w:line="144" w:lineRule="exact"/>
              <w:rPr>
                <w:sz w:val="20"/>
                <w:szCs w:val="20"/>
                <w:color w:val="auto"/>
              </w:rPr>
            </w:pPr>
            <w:r>
              <w:rPr>
                <w:rFonts w:ascii="Arial" w:cs="Arial" w:eastAsia="Arial" w:hAnsi="Arial"/>
                <w:sz w:val="15"/>
                <w:szCs w:val="15"/>
                <w:color w:val="auto"/>
                <w:w w:val="95"/>
              </w:rPr>
              <w:t>outstanding as of December 31, 2021 and 38,968,052 shares issued and 33,559,434 shares outstanding as of</w:t>
            </w:r>
          </w:p>
        </w:tc>
        <w:tc>
          <w:tcPr>
            <w:tcW w:w="22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97"/>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December 31, 2020</w:t>
            </w:r>
          </w:p>
        </w:tc>
        <w:tc>
          <w:tcPr>
            <w:tcW w:w="22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40" w:type="dxa"/>
            <w:vAlign w:val="bottom"/>
          </w:tcPr>
          <w:p>
            <w:pPr>
              <w:ind w:left="32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395,742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6"/>
              <w:spacing w:after="0"/>
              <w:rPr>
                <w:sz w:val="20"/>
                <w:szCs w:val="20"/>
                <w:color w:val="auto"/>
              </w:rPr>
            </w:pPr>
            <w:r>
              <w:rPr>
                <w:rFonts w:ascii="Arial" w:cs="Arial" w:eastAsia="Arial" w:hAnsi="Arial"/>
                <w:sz w:val="15"/>
                <w:szCs w:val="15"/>
                <w:color w:val="auto"/>
              </w:rPr>
              <w:t>420,976</w:t>
            </w:r>
          </w:p>
        </w:tc>
        <w:tc>
          <w:tcPr>
            <w:tcW w:w="0" w:type="dxa"/>
            <w:vAlign w:val="bottom"/>
          </w:tcPr>
          <w:p>
            <w:pPr>
              <w:spacing w:after="0"/>
              <w:rPr>
                <w:sz w:val="1"/>
                <w:szCs w:val="1"/>
                <w:color w:val="auto"/>
              </w:rPr>
            </w:pPr>
          </w:p>
        </w:tc>
      </w:tr>
      <w:tr>
        <w:trPr>
          <w:trHeight w:val="201"/>
        </w:trPr>
        <w:tc>
          <w:tcPr>
            <w:tcW w:w="7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Retained earnings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756,137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641,379</w:t>
            </w:r>
          </w:p>
        </w:tc>
        <w:tc>
          <w:tcPr>
            <w:tcW w:w="0" w:type="dxa"/>
            <w:vAlign w:val="bottom"/>
          </w:tcPr>
          <w:p>
            <w:pPr>
              <w:spacing w:after="0"/>
              <w:rPr>
                <w:sz w:val="1"/>
                <w:szCs w:val="1"/>
                <w:color w:val="auto"/>
              </w:rPr>
            </w:pPr>
          </w:p>
        </w:tc>
      </w:tr>
      <w:tr>
        <w:trPr>
          <w:trHeight w:val="193"/>
        </w:trPr>
        <w:tc>
          <w:tcPr>
            <w:tcW w:w="7340" w:type="dxa"/>
            <w:vAlign w:val="bottom"/>
          </w:tcPr>
          <w:p>
            <w:pPr>
              <w:ind w:left="320"/>
              <w:spacing w:after="0"/>
              <w:rPr>
                <w:sz w:val="20"/>
                <w:szCs w:val="20"/>
                <w:color w:val="auto"/>
              </w:rPr>
            </w:pPr>
            <w:r>
              <w:rPr>
                <w:rFonts w:ascii="Arial" w:cs="Arial" w:eastAsia="Arial" w:hAnsi="Arial"/>
                <w:sz w:val="15"/>
                <w:szCs w:val="15"/>
                <w:color w:val="auto"/>
              </w:rPr>
              <w:t>Accumulated other comprehensive income/(loss)</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(89,474)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7" w:right="379" w:bottom="1440" w:gutter="0" w:footer="0" w:header="0"/>
        </w:sectPr>
      </w:pPr>
    </w:p>
    <w:bookmarkStart w:id="74" w:name="page75"/>
    <w:bookmarkEnd w:id="7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including shares held in treasury</w:t>
            </w: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1,062,445</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987,410</w:t>
            </w:r>
          </w:p>
        </w:tc>
      </w:tr>
      <w:tr>
        <w:trPr>
          <w:trHeight w:val="186"/>
        </w:trPr>
        <w:tc>
          <w:tcPr>
            <w:tcW w:w="734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w w:val="89"/>
              </w:rPr>
              <w:t>Less: 6,216,858 shares as of December 31, 2021 and 5,408,618 shares as of December 31, 2020, held in treasury, at cost</w:t>
            </w: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(369,289)</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(268,238)</w:t>
            </w:r>
          </w:p>
        </w:tc>
      </w:tr>
      <w:tr>
        <w:trPr>
          <w:trHeight w:val="194"/>
        </w:trPr>
        <w:tc>
          <w:tcPr>
            <w:tcW w:w="7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Stockholders' equity</w:t>
            </w:r>
          </w:p>
        </w:tc>
        <w:tc>
          <w:tcPr>
            <w:tcW w:w="6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693,156</w:t>
            </w:r>
          </w:p>
        </w:tc>
        <w:tc>
          <w:tcPr>
            <w:tcW w:w="1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719,172</w:t>
            </w:r>
          </w:p>
        </w:tc>
      </w:tr>
      <w:tr>
        <w:trPr>
          <w:trHeight w:val="188"/>
        </w:trPr>
        <w:tc>
          <w:tcPr>
            <w:tcW w:w="734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Total equity</w:t>
            </w: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693,156</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719,172</w:t>
            </w:r>
          </w:p>
        </w:tc>
      </w:tr>
      <w:tr>
        <w:trPr>
          <w:trHeight w:val="217"/>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liabilities and stockholders’ equity</w:t>
            </w:r>
          </w:p>
        </w:tc>
        <w:tc>
          <w:tcPr>
            <w:tcW w:w="64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b w:val="1"/>
                <w:bCs w:val="1"/>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1,282,904</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6"/>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1,247,857</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7" w:right="379" w:bottom="1440" w:gutter="0" w:footer="0" w:header="0"/>
        </w:sectPr>
      </w:pPr>
    </w:p>
    <w:bookmarkStart w:id="75" w:name="page76"/>
    <w:bookmarkEnd w:id="7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EXLSERVICE HOLDINGS, INC.</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INCOME</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9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1,122,293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958,434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991,346</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 xml:space="preserve">Cost of revenues </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690,934</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623,936</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655,490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 xml:space="preserve">Gross profit </w:t>
            </w:r>
            <w:r>
              <w:rPr>
                <w:rFonts w:ascii="Arial" w:cs="Arial" w:eastAsia="Arial" w:hAnsi="Arial"/>
                <w:sz w:val="22"/>
                <w:szCs w:val="22"/>
                <w:b w:val="1"/>
                <w:bCs w:val="1"/>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431,359</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334,498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335,856</w:t>
            </w:r>
          </w:p>
        </w:tc>
        <w:tc>
          <w:tcPr>
            <w:tcW w:w="0" w:type="dxa"/>
            <w:vAlign w:val="bottom"/>
          </w:tcPr>
          <w:p>
            <w:pPr>
              <w:spacing w:after="0"/>
              <w:rPr>
                <w:sz w:val="1"/>
                <w:szCs w:val="1"/>
                <w:color w:val="auto"/>
              </w:rPr>
            </w:pPr>
          </w:p>
        </w:tc>
      </w:tr>
      <w:tr>
        <w:trPr>
          <w:trHeight w:val="203"/>
        </w:trPr>
        <w:tc>
          <w:tcPr>
            <w:tcW w:w="698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 expenses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142,040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113,891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126,909</w:t>
            </w:r>
          </w:p>
        </w:tc>
        <w:tc>
          <w:tcPr>
            <w:tcW w:w="0" w:type="dxa"/>
            <w:vAlign w:val="bottom"/>
          </w:tcPr>
          <w:p>
            <w:pPr>
              <w:spacing w:after="0"/>
              <w:rPr>
                <w:sz w:val="1"/>
                <w:szCs w:val="1"/>
                <w:color w:val="auto"/>
              </w:rPr>
            </w:pPr>
          </w:p>
        </w:tc>
      </w:tr>
      <w:tr>
        <w:trPr>
          <w:trHeight w:val="223"/>
        </w:trPr>
        <w:tc>
          <w:tcPr>
            <w:tcW w:w="6980" w:type="dxa"/>
            <w:vAlign w:val="bottom"/>
          </w:tcPr>
          <w:p>
            <w:pPr>
              <w:ind w:left="320"/>
              <w:spacing w:after="0"/>
              <w:rPr>
                <w:sz w:val="20"/>
                <w:szCs w:val="20"/>
                <w:color w:val="auto"/>
              </w:rPr>
            </w:pPr>
            <w:r>
              <w:rPr>
                <w:rFonts w:ascii="Arial" w:cs="Arial" w:eastAsia="Arial" w:hAnsi="Arial"/>
                <w:sz w:val="17"/>
                <w:szCs w:val="17"/>
                <w:color w:val="auto"/>
              </w:rPr>
              <w:t>Selling and marketing expenses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84,306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60,123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71,842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 expense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49,132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50,462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51,981</w:t>
            </w:r>
          </w:p>
        </w:tc>
        <w:tc>
          <w:tcPr>
            <w:tcW w:w="0" w:type="dxa"/>
            <w:vAlign w:val="bottom"/>
          </w:tcPr>
          <w:p>
            <w:pPr>
              <w:spacing w:after="0"/>
              <w:rPr>
                <w:sz w:val="1"/>
                <w:szCs w:val="1"/>
                <w:color w:val="auto"/>
              </w:rPr>
            </w:pPr>
          </w:p>
        </w:tc>
      </w:tr>
      <w:tr>
        <w:trPr>
          <w:trHeight w:val="223"/>
        </w:trPr>
        <w:tc>
          <w:tcPr>
            <w:tcW w:w="6980" w:type="dxa"/>
            <w:vAlign w:val="bottom"/>
          </w:tcPr>
          <w:p>
            <w:pPr>
              <w:ind w:left="320"/>
              <w:spacing w:after="0"/>
              <w:rPr>
                <w:sz w:val="20"/>
                <w:szCs w:val="20"/>
                <w:color w:val="auto"/>
              </w:rPr>
            </w:pPr>
            <w:r>
              <w:rPr>
                <w:rFonts w:ascii="Arial" w:cs="Arial" w:eastAsia="Arial" w:hAnsi="Arial"/>
                <w:sz w:val="17"/>
                <w:szCs w:val="17"/>
                <w:color w:val="auto"/>
              </w:rPr>
              <w:t>Impairment and restructuring charges</w:t>
            </w: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8,671</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275,478</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224,476</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259,403</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155,881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110,022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76,453</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gain,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3,752</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(7,561)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(11,190)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(13,612)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16,507</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7"/>
                <w:szCs w:val="17"/>
                <w:color w:val="auto"/>
              </w:rPr>
              <w:t>Loss on settlement of convertible notes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(12,845)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income tax expense and earnings from equity affiliates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146,561</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115,329</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83,100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31,850</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25,626</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15,172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114,711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89,703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67,928</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Gain/(loss) from equity-method investment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41"/>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ExlService Holdings, Inc. stockholders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114,758</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89,476</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67,659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Earnings per share attributable to ExlService Holdings, Inc.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23"/>
        </w:trPr>
        <w:tc>
          <w:tcPr>
            <w:tcW w:w="6980" w:type="dxa"/>
            <w:vAlign w:val="bottom"/>
          </w:tcPr>
          <w:p>
            <w:pPr>
              <w:ind w:left="320"/>
              <w:spacing w:after="0"/>
              <w:rPr>
                <w:sz w:val="20"/>
                <w:szCs w:val="20"/>
                <w:color w:val="auto"/>
              </w:rPr>
            </w:pPr>
            <w:r>
              <w:rPr>
                <w:rFonts w:ascii="Arial" w:cs="Arial" w:eastAsia="Arial" w:hAnsi="Arial"/>
                <w:sz w:val="17"/>
                <w:szCs w:val="17"/>
                <w:color w:val="auto"/>
              </w:rPr>
              <w:t>Diluted</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3.35</w:t>
            </w:r>
          </w:p>
        </w:tc>
        <w:tc>
          <w:tcPr>
            <w:tcW w:w="1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2.59</w:t>
            </w:r>
          </w:p>
        </w:tc>
        <w:tc>
          <w:tcPr>
            <w:tcW w:w="1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171"/>
        </w:trPr>
        <w:tc>
          <w:tcPr>
            <w:tcW w:w="698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Weighted-average number of shares used in computing earnings per share attributable to</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ExlService Holdings Inc. stockholders: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320"/>
              <w:spacing w:after="0"/>
              <w:rPr>
                <w:sz w:val="20"/>
                <w:szCs w:val="20"/>
                <w:color w:val="auto"/>
              </w:rPr>
            </w:pPr>
            <w:r>
              <w:rPr>
                <w:rFonts w:ascii="Arial" w:cs="Arial" w:eastAsia="Arial" w:hAnsi="Arial"/>
                <w:sz w:val="17"/>
                <w:szCs w:val="17"/>
                <w:color w:val="auto"/>
              </w:rPr>
              <w:t>Basic</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33,549,275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34,273,388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34,350,150</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34,244,478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34,555,164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34,732,683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7" w:right="3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55"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67"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jc w:val="right"/>
              <w:ind w:right="153"/>
              <w:spacing w:after="0"/>
              <w:rPr>
                <w:sz w:val="20"/>
                <w:szCs w:val="20"/>
                <w:color w:val="auto"/>
              </w:rPr>
            </w:pPr>
            <w:r>
              <w:rPr>
                <w:rFonts w:ascii="Arial" w:cs="Arial" w:eastAsia="Arial" w:hAnsi="Arial"/>
                <w:sz w:val="16"/>
                <w:szCs w:val="16"/>
                <w:b w:val="1"/>
                <w:bCs w:val="1"/>
                <w:color w:val="auto"/>
                <w:w w:val="88"/>
              </w:rPr>
              <w:t>Year ended December 31,</w:t>
            </w:r>
          </w:p>
        </w:tc>
        <w:tc>
          <w:tcPr>
            <w:tcW w:w="1080" w:type="dxa"/>
            <w:vAlign w:val="bottom"/>
            <w:tcBorders>
              <w:bottom w:val="single" w:sz="8" w:color="auto"/>
            </w:tcBorders>
          </w:tcPr>
          <w:p>
            <w:pPr>
              <w:spacing w:after="0"/>
              <w:rPr>
                <w:sz w:val="18"/>
                <w:szCs w:val="18"/>
                <w:color w:val="auto"/>
              </w:rPr>
            </w:pPr>
          </w:p>
        </w:tc>
      </w:tr>
      <w:tr>
        <w:trPr>
          <w:trHeight w:val="203"/>
        </w:trPr>
        <w:tc>
          <w:tcPr>
            <w:tcW w:w="6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r>
      <w:tr>
        <w:trPr>
          <w:trHeight w:val="219"/>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114,758</w:t>
            </w:r>
          </w:p>
        </w:tc>
        <w:tc>
          <w:tcPr>
            <w:tcW w:w="44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67,659</w:t>
            </w:r>
          </w:p>
        </w:tc>
      </w:tr>
      <w:tr>
        <w:trPr>
          <w:trHeight w:val="223"/>
        </w:trPr>
        <w:tc>
          <w:tcPr>
            <w:tcW w:w="6840" w:type="dxa"/>
            <w:vAlign w:val="bottom"/>
          </w:tcPr>
          <w:p>
            <w:pPr>
              <w:ind w:left="40"/>
              <w:spacing w:after="0"/>
              <w:rPr>
                <w:sz w:val="20"/>
                <w:szCs w:val="20"/>
                <w:color w:val="auto"/>
              </w:rPr>
            </w:pPr>
            <w:r>
              <w:rPr>
                <w:rFonts w:ascii="Arial" w:cs="Arial" w:eastAsia="Arial" w:hAnsi="Arial"/>
                <w:sz w:val="17"/>
                <w:szCs w:val="17"/>
                <w:b w:val="1"/>
                <w:bCs w:val="1"/>
                <w:color w:val="auto"/>
              </w:rPr>
              <w:t>Other comprehensive income/(loss):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68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Unrealized gain on cash flow hedges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8,773</w:t>
            </w:r>
          </w:p>
        </w:tc>
      </w:tr>
      <w:tr>
        <w:trPr>
          <w:trHeight w:val="223"/>
        </w:trPr>
        <w:tc>
          <w:tcPr>
            <w:tcW w:w="6840" w:type="dxa"/>
            <w:vAlign w:val="bottom"/>
          </w:tcPr>
          <w:p>
            <w:pPr>
              <w:ind w:left="540"/>
              <w:spacing w:after="0"/>
              <w:rPr>
                <w:sz w:val="20"/>
                <w:szCs w:val="20"/>
                <w:color w:val="auto"/>
              </w:rPr>
            </w:pPr>
            <w:r>
              <w:rPr>
                <w:rFonts w:ascii="Arial" w:cs="Arial" w:eastAsia="Arial" w:hAnsi="Arial"/>
                <w:sz w:val="17"/>
                <w:szCs w:val="17"/>
                <w:color w:val="auto"/>
              </w:rPr>
              <w:t>Loss on net investment hedges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8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Foreign currency translation loss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(2,842)</w:t>
            </w:r>
          </w:p>
        </w:tc>
      </w:tr>
      <w:tr>
        <w:trPr>
          <w:trHeight w:val="223"/>
        </w:trPr>
        <w:tc>
          <w:tcPr>
            <w:tcW w:w="6840" w:type="dxa"/>
            <w:vAlign w:val="bottom"/>
          </w:tcPr>
          <w:p>
            <w:pPr>
              <w:ind w:left="540"/>
              <w:spacing w:after="0"/>
              <w:rPr>
                <w:sz w:val="20"/>
                <w:szCs w:val="20"/>
                <w:color w:val="auto"/>
              </w:rPr>
            </w:pPr>
            <w:r>
              <w:rPr>
                <w:rFonts w:ascii="Arial" w:cs="Arial" w:eastAsia="Arial" w:hAnsi="Arial"/>
                <w:sz w:val="17"/>
                <w:szCs w:val="17"/>
                <w:color w:val="auto"/>
              </w:rPr>
              <w:t>Retirement benefits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(2,539)</w:t>
            </w:r>
          </w:p>
        </w:tc>
      </w:tr>
      <w:tr>
        <w:trPr>
          <w:trHeight w:val="223"/>
        </w:trPr>
        <w:tc>
          <w:tcPr>
            <w:tcW w:w="68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Reclassification adjustments: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6840" w:type="dxa"/>
            <w:vAlign w:val="bottom"/>
          </w:tcPr>
          <w:p>
            <w:pPr>
              <w:ind w:left="440"/>
              <w:spacing w:after="0" w:line="223" w:lineRule="exact"/>
              <w:rPr>
                <w:sz w:val="20"/>
                <w:szCs w:val="20"/>
                <w:color w:val="auto"/>
              </w:rPr>
            </w:pPr>
            <w:r>
              <w:rPr>
                <w:rFonts w:ascii="Arial" w:cs="Arial" w:eastAsia="Arial" w:hAnsi="Arial"/>
                <w:sz w:val="17"/>
                <w:szCs w:val="17"/>
                <w:color w:val="auto"/>
              </w:rPr>
              <w:t>Gain on cash flow hedges</w:t>
            </w:r>
            <w:r>
              <w:rPr>
                <w:rFonts w:ascii="Arial" w:cs="Arial" w:eastAsia="Arial" w:hAnsi="Arial"/>
                <w:sz w:val="22"/>
                <w:szCs w:val="22"/>
                <w:color w:val="auto"/>
                <w:vertAlign w:val="superscript"/>
              </w:rPr>
              <w:t>(1)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(3,951)</w:t>
            </w:r>
          </w:p>
        </w:tc>
      </w:tr>
      <w:tr>
        <w:trPr>
          <w:trHeight w:val="223"/>
        </w:trPr>
        <w:tc>
          <w:tcPr>
            <w:tcW w:w="6840" w:type="dxa"/>
            <w:vAlign w:val="bottom"/>
            <w:shd w:val="clear" w:color="auto" w:fill="CCEEFF"/>
          </w:tcPr>
          <w:p>
            <w:pPr>
              <w:ind w:left="440"/>
              <w:spacing w:after="0" w:line="223" w:lineRule="exact"/>
              <w:rPr>
                <w:sz w:val="20"/>
                <w:szCs w:val="20"/>
                <w:color w:val="auto"/>
              </w:rPr>
            </w:pPr>
            <w:r>
              <w:rPr>
                <w:rFonts w:ascii="Arial" w:cs="Arial" w:eastAsia="Arial" w:hAnsi="Arial"/>
                <w:sz w:val="17"/>
                <w:szCs w:val="17"/>
                <w:color w:val="auto"/>
              </w:rPr>
              <w:t>Retirement benefits</w:t>
            </w:r>
            <w:r>
              <w:rPr>
                <w:rFonts w:ascii="Arial" w:cs="Arial" w:eastAsia="Arial" w:hAnsi="Arial"/>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r>
      <w:tr>
        <w:trPr>
          <w:trHeight w:val="223"/>
        </w:trPr>
        <w:tc>
          <w:tcPr>
            <w:tcW w:w="6840" w:type="dxa"/>
            <w:vAlign w:val="bottom"/>
            <w:tcBorders>
              <w:bottom w:val="single" w:sz="8" w:color="CCEEFF"/>
            </w:tcBorders>
          </w:tcPr>
          <w:p>
            <w:pPr>
              <w:ind w:left="100"/>
              <w:spacing w:after="0" w:line="223" w:lineRule="exact"/>
              <w:rPr>
                <w:sz w:val="20"/>
                <w:szCs w:val="20"/>
                <w:color w:val="auto"/>
              </w:rPr>
            </w:pPr>
            <w:r>
              <w:rPr>
                <w:rFonts w:ascii="Arial" w:cs="Arial" w:eastAsia="Arial" w:hAnsi="Arial"/>
                <w:sz w:val="17"/>
                <w:szCs w:val="17"/>
                <w:b w:val="1"/>
                <w:bCs w:val="1"/>
                <w:color w:val="auto"/>
              </w:rPr>
              <w:t>Income tax effects relating to above</w:t>
            </w:r>
            <w:r>
              <w:rPr>
                <w:rFonts w:ascii="Arial" w:cs="Arial" w:eastAsia="Arial" w:hAnsi="Arial"/>
                <w:sz w:val="22"/>
                <w:szCs w:val="22"/>
                <w:b w:val="1"/>
                <w:bCs w:val="1"/>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w:t>
            </w:r>
          </w:p>
        </w:tc>
      </w:tr>
      <w:tr>
        <w:trPr>
          <w:trHeight w:val="216"/>
        </w:trPr>
        <w:tc>
          <w:tcPr>
            <w:tcW w:w="684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Total other comprehensive income/(loss)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(1,425)</w:t>
            </w:r>
          </w:p>
        </w:tc>
      </w:tr>
      <w:tr>
        <w:trPr>
          <w:trHeight w:val="216"/>
        </w:trPr>
        <w:tc>
          <w:tcPr>
            <w:tcW w:w="6840" w:type="dxa"/>
            <w:vAlign w:val="bottom"/>
          </w:tcPr>
          <w:p>
            <w:pPr>
              <w:spacing w:after="0"/>
              <w:rPr>
                <w:sz w:val="20"/>
                <w:szCs w:val="20"/>
                <w:color w:val="auto"/>
              </w:rPr>
            </w:pPr>
            <w:r>
              <w:rPr>
                <w:rFonts w:ascii="Arial" w:cs="Arial" w:eastAsia="Arial" w:hAnsi="Arial"/>
                <w:sz w:val="17"/>
                <w:szCs w:val="17"/>
                <w:b w:val="1"/>
                <w:bCs w:val="1"/>
                <w:color w:val="auto"/>
              </w:rPr>
              <w:t>Total comprehensive income</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100,268</w:t>
            </w:r>
          </w:p>
        </w:tc>
        <w:tc>
          <w:tcPr>
            <w:tcW w:w="440" w:type="dxa"/>
            <w:vAlign w:val="bottom"/>
            <w:gridSpan w:val="2"/>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99,384</w:t>
            </w:r>
          </w:p>
        </w:tc>
        <w:tc>
          <w:tcPr>
            <w:tcW w:w="100" w:type="dxa"/>
            <w:vAlign w:val="bottom"/>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66,234</w:t>
            </w:r>
          </w:p>
        </w:tc>
      </w:tr>
      <w:tr>
        <w:trPr>
          <w:trHeight w:val="20"/>
        </w:trPr>
        <w:tc>
          <w:tcPr>
            <w:tcW w:w="6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60" w:hanging="555"/>
        <w:spacing w:after="0" w:line="260" w:lineRule="auto"/>
        <w:tabs>
          <w:tab w:leader="none" w:pos="56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cost of revenues and operating expenses, as applicable in the consolidated statements of income. Refer to Note 16 - Derivatives and Hedge Accounting to the consolidated financial statements.</w:t>
      </w:r>
    </w:p>
    <w:p>
      <w:pPr>
        <w:spacing w:after="0" w:line="73" w:lineRule="exact"/>
        <w:rPr>
          <w:rFonts w:ascii="Arial" w:cs="Arial" w:eastAsia="Arial" w:hAnsi="Arial"/>
          <w:sz w:val="16"/>
          <w:szCs w:val="16"/>
          <w:i w:val="1"/>
          <w:iCs w:val="1"/>
          <w:color w:val="auto"/>
        </w:rPr>
      </w:pPr>
    </w:p>
    <w:p>
      <w:pPr>
        <w:ind w:left="560" w:hanging="555"/>
        <w:spacing w:after="0" w:line="260" w:lineRule="auto"/>
        <w:tabs>
          <w:tab w:leader="none" w:pos="56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other income, net in the consolidated statements of income. Refer to Note 19 - Employee Benefit Plans to the consolidated financial statements.</w:t>
      </w:r>
    </w:p>
    <w:p>
      <w:pPr>
        <w:spacing w:after="0" w:line="73" w:lineRule="exact"/>
        <w:rPr>
          <w:rFonts w:ascii="Arial" w:cs="Arial" w:eastAsia="Arial" w:hAnsi="Arial"/>
          <w:sz w:val="16"/>
          <w:szCs w:val="16"/>
          <w:i w:val="1"/>
          <w:iCs w:val="1"/>
          <w:color w:val="auto"/>
        </w:rPr>
      </w:pPr>
    </w:p>
    <w:p>
      <w:pPr>
        <w:ind w:left="560" w:hanging="555"/>
        <w:spacing w:after="0" w:line="260" w:lineRule="auto"/>
        <w:tabs>
          <w:tab w:leader="none" w:pos="56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income tax effects recognized on cash flow hedges, retirement benefits and foreign currency translation gains/(losses). Refer to Note 21 - Income Taxes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EXLSERVICE HOLDINGS,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60" w:type="dxa"/>
            <w:vAlign w:val="bottom"/>
          </w:tcPr>
          <w:p>
            <w:pPr>
              <w:spacing w:after="0"/>
              <w:rPr>
                <w:sz w:val="16"/>
                <w:szCs w:val="16"/>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Accumulated Other</w:t>
            </w: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Non -</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6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vMerge w:val="continue"/>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rPr>
                <w:sz w:val="11"/>
                <w:szCs w:val="11"/>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7"/>
              </w:rPr>
              <w:t>Comprehensive</w:t>
            </w: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Controlling</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3"/>
        </w:trPr>
        <w:tc>
          <w:tcPr>
            <w:tcW w:w="20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Income/(Loss)</w:t>
            </w: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January 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37,850,544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364,179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484,244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(83,467)</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(3,628,068)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(146,925)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618,319</w:t>
            </w:r>
          </w:p>
        </w:tc>
        <w:tc>
          <w:tcPr>
            <w:tcW w:w="0" w:type="dxa"/>
            <w:vAlign w:val="bottom"/>
          </w:tcPr>
          <w:p>
            <w:pPr>
              <w:spacing w:after="0"/>
              <w:rPr>
                <w:sz w:val="1"/>
                <w:szCs w:val="1"/>
                <w:color w:val="auto"/>
              </w:rPr>
            </w:pPr>
          </w:p>
        </w:tc>
      </w:tr>
      <w:tr>
        <w:trPr>
          <w:trHeight w:val="131"/>
        </w:trPr>
        <w:tc>
          <w:tcPr>
            <w:tcW w:w="2060" w:type="dxa"/>
            <w:vAlign w:val="bottom"/>
          </w:tcPr>
          <w:p>
            <w:pPr>
              <w:ind w:left="20"/>
              <w:spacing w:after="0" w:line="131" w:lineRule="exact"/>
              <w:rPr>
                <w:sz w:val="20"/>
                <w:szCs w:val="20"/>
                <w:color w:val="auto"/>
              </w:rPr>
            </w:pPr>
            <w:r>
              <w:rPr>
                <w:rFonts w:ascii="Arial" w:cs="Arial" w:eastAsia="Arial" w:hAnsi="Arial"/>
                <w:sz w:val="14"/>
                <w:szCs w:val="14"/>
                <w:color w:val="auto"/>
                <w:w w:val="97"/>
              </w:rPr>
              <w:t>Stock issued against stock-based</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630,110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w:t>
            </w: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(667,345)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(41,364)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(41,364)</w:t>
            </w:r>
          </w:p>
        </w:tc>
        <w:tc>
          <w:tcPr>
            <w:tcW w:w="0" w:type="dxa"/>
            <w:vAlign w:val="bottom"/>
          </w:tcPr>
          <w:p>
            <w:pPr>
              <w:spacing w:after="0"/>
              <w:rPr>
                <w:sz w:val="1"/>
                <w:szCs w:val="1"/>
                <w:color w:val="auto"/>
              </w:rPr>
            </w:pPr>
          </w:p>
        </w:tc>
      </w:tr>
      <w:tr>
        <w:trPr>
          <w:trHeight w:val="134"/>
        </w:trPr>
        <w:tc>
          <w:tcPr>
            <w:tcW w:w="206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Allocation of equity component</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60" w:type="dxa"/>
            <w:vAlign w:val="bottom"/>
            <w:shd w:val="clear" w:color="auto" w:fill="CCEEFF"/>
          </w:tcPr>
          <w:p>
            <w:pPr>
              <w:ind w:left="20"/>
              <w:spacing w:after="0" w:line="131" w:lineRule="exact"/>
              <w:rPr>
                <w:sz w:val="20"/>
                <w:szCs w:val="20"/>
                <w:color w:val="auto"/>
              </w:rPr>
            </w:pPr>
            <w:r>
              <w:rPr>
                <w:rFonts w:ascii="Arial" w:cs="Arial" w:eastAsia="Arial" w:hAnsi="Arial"/>
                <w:sz w:val="14"/>
                <w:szCs w:val="14"/>
                <w:color w:val="auto"/>
              </w:rPr>
              <w:t>related to issuance costs on</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notes</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color w:val="auto"/>
                <w:w w:val="91"/>
              </w:rPr>
              <w:t>Purchase of non-controlling interest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67,659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67,659</w:t>
            </w:r>
          </w:p>
        </w:tc>
        <w:tc>
          <w:tcPr>
            <w:tcW w:w="0" w:type="dxa"/>
            <w:vAlign w:val="bottom"/>
          </w:tcPr>
          <w:p>
            <w:pPr>
              <w:spacing w:after="0"/>
              <w:rPr>
                <w:sz w:val="1"/>
                <w:szCs w:val="1"/>
                <w:color w:val="auto"/>
              </w:rPr>
            </w:pPr>
          </w:p>
        </w:tc>
      </w:tr>
      <w:tr>
        <w:trPr>
          <w:trHeight w:val="179"/>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1"/>
              </w:rPr>
              <w:t>Balance as of 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38,480,654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391,240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551,903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(84,892)</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(4,295,413)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(188,289)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670,001</w:t>
            </w:r>
          </w:p>
        </w:tc>
        <w:tc>
          <w:tcPr>
            <w:tcW w:w="0" w:type="dxa"/>
            <w:vAlign w:val="bottom"/>
          </w:tcPr>
          <w:p>
            <w:pPr>
              <w:spacing w:after="0"/>
              <w:rPr>
                <w:sz w:val="1"/>
                <w:szCs w:val="1"/>
                <w:color w:val="auto"/>
              </w:rPr>
            </w:pPr>
          </w:p>
        </w:tc>
      </w:tr>
      <w:tr>
        <w:trPr>
          <w:trHeight w:val="131"/>
        </w:trPr>
        <w:tc>
          <w:tcPr>
            <w:tcW w:w="2060" w:type="dxa"/>
            <w:vAlign w:val="bottom"/>
          </w:tcPr>
          <w:p>
            <w:pPr>
              <w:ind w:left="20"/>
              <w:spacing w:after="0" w:line="131" w:lineRule="exact"/>
              <w:rPr>
                <w:sz w:val="20"/>
                <w:szCs w:val="20"/>
                <w:color w:val="auto"/>
              </w:rPr>
            </w:pPr>
            <w:r>
              <w:rPr>
                <w:rFonts w:ascii="Arial" w:cs="Arial" w:eastAsia="Arial" w:hAnsi="Arial"/>
                <w:sz w:val="14"/>
                <w:szCs w:val="14"/>
                <w:color w:val="auto"/>
                <w:w w:val="97"/>
              </w:rPr>
              <w:t>Stock issued against stock-based</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487,398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28,235</w:t>
            </w: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(1,113,205)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(79,949)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(79,949)</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9,908</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9,908</w:t>
            </w: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89,476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89,476</w:t>
            </w:r>
          </w:p>
        </w:tc>
        <w:tc>
          <w:tcPr>
            <w:tcW w:w="0" w:type="dxa"/>
            <w:vAlign w:val="bottom"/>
          </w:tcPr>
          <w:p>
            <w:pPr>
              <w:spacing w:after="0"/>
              <w:rPr>
                <w:sz w:val="1"/>
                <w:szCs w:val="1"/>
                <w:color w:val="auto"/>
              </w:rPr>
            </w:pPr>
          </w:p>
        </w:tc>
      </w:tr>
      <w:tr>
        <w:trPr>
          <w:trHeight w:val="179"/>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1"/>
              </w:rPr>
              <w:t>Balance as of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38,968,052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420,976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641,379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(74,984)</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(5,408,618)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(268,238)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719,172</w:t>
            </w:r>
          </w:p>
        </w:tc>
        <w:tc>
          <w:tcPr>
            <w:tcW w:w="0" w:type="dxa"/>
            <w:vAlign w:val="bottom"/>
          </w:tcPr>
          <w:p>
            <w:pPr>
              <w:spacing w:after="0"/>
              <w:rPr>
                <w:sz w:val="1"/>
                <w:szCs w:val="1"/>
                <w:color w:val="auto"/>
              </w:rPr>
            </w:pPr>
          </w:p>
        </w:tc>
      </w:tr>
      <w:tr>
        <w:trPr>
          <w:trHeight w:val="131"/>
        </w:trPr>
        <w:tc>
          <w:tcPr>
            <w:tcW w:w="2060" w:type="dxa"/>
            <w:vAlign w:val="bottom"/>
          </w:tcPr>
          <w:p>
            <w:pPr>
              <w:ind w:left="20"/>
              <w:spacing w:after="0" w:line="131" w:lineRule="exact"/>
              <w:rPr>
                <w:sz w:val="20"/>
                <w:szCs w:val="20"/>
                <w:color w:val="auto"/>
              </w:rPr>
            </w:pPr>
            <w:r>
              <w:rPr>
                <w:rFonts w:ascii="Arial" w:cs="Arial" w:eastAsia="Arial" w:hAnsi="Arial"/>
                <w:sz w:val="14"/>
                <w:szCs w:val="14"/>
                <w:color w:val="auto"/>
                <w:w w:val="97"/>
              </w:rPr>
              <w:t>Stock issued against stock-based</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540,288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38,621</w:t>
            </w: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(1,118,634)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(118,357)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(118,357)</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treasury stock</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36,742</w:t>
            </w: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color w:val="auto"/>
              </w:rPr>
              <w:t>Settlement of convertible notes</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(84,000)</w:t>
            </w:r>
          </w:p>
        </w:tc>
        <w:tc>
          <w:tcPr>
            <w:tcW w:w="0" w:type="dxa"/>
            <w:vAlign w:val="bottom"/>
          </w:tcPr>
          <w:p>
            <w:pPr>
              <w:spacing w:after="0"/>
              <w:rPr>
                <w:sz w:val="1"/>
                <w:szCs w:val="1"/>
                <w:color w:val="auto"/>
              </w:rPr>
            </w:pPr>
          </w:p>
        </w:tc>
      </w:tr>
      <w:tr>
        <w:trPr>
          <w:trHeight w:val="186"/>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(14,490)</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(14,490)</w:t>
            </w:r>
          </w:p>
        </w:tc>
        <w:tc>
          <w:tcPr>
            <w:tcW w:w="0" w:type="dxa"/>
            <w:vAlign w:val="bottom"/>
          </w:tcPr>
          <w:p>
            <w:pPr>
              <w:spacing w:after="0"/>
              <w:rPr>
                <w:sz w:val="1"/>
                <w:szCs w:val="1"/>
                <w:color w:val="auto"/>
              </w:rPr>
            </w:pPr>
          </w:p>
        </w:tc>
      </w:tr>
      <w:tr>
        <w:trPr>
          <w:trHeight w:val="181"/>
        </w:trPr>
        <w:tc>
          <w:tcPr>
            <w:tcW w:w="2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114,758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114,758</w:t>
            </w:r>
          </w:p>
        </w:tc>
        <w:tc>
          <w:tcPr>
            <w:tcW w:w="0" w:type="dxa"/>
            <w:vAlign w:val="bottom"/>
          </w:tcPr>
          <w:p>
            <w:pPr>
              <w:spacing w:after="0"/>
              <w:rPr>
                <w:sz w:val="1"/>
                <w:szCs w:val="1"/>
                <w:color w:val="auto"/>
              </w:rPr>
            </w:pPr>
          </w:p>
        </w:tc>
      </w:tr>
      <w:tr>
        <w:trPr>
          <w:trHeight w:val="179"/>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1"/>
              </w:rPr>
              <w:t>Balance as of December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39,508,340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395,742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756,137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(89,474)</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(6,216,858)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(369,289)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EXLSERVICE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1"/>
        </w:trPr>
        <w:tc>
          <w:tcPr>
            <w:tcW w:w="67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r>
      <w:tr>
        <w:trPr>
          <w:trHeight w:val="164"/>
        </w:trPr>
        <w:tc>
          <w:tcPr>
            <w:tcW w:w="67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Cash flows from operating activities:</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1"/>
        </w:trPr>
        <w:tc>
          <w:tcPr>
            <w:tcW w:w="67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114,758</w:t>
            </w:r>
          </w:p>
        </w:tc>
        <w:tc>
          <w:tcPr>
            <w:tcW w:w="440" w:type="dxa"/>
            <w:vAlign w:val="bottom"/>
            <w:gridSpan w:val="2"/>
          </w:tcPr>
          <w:p>
            <w:pPr>
              <w:jc w:val="right"/>
              <w:ind w:right="19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89,476</w:t>
            </w:r>
          </w:p>
        </w:tc>
        <w:tc>
          <w:tcPr>
            <w:tcW w:w="12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67,659</w:t>
            </w:r>
          </w:p>
        </w:tc>
      </w:tr>
      <w:tr>
        <w:trPr>
          <w:trHeight w:val="186"/>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Depreciation and amortization expense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49,656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50,513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52,193</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Amortization of operating lease right-of-use assets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26,326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27,146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27,335</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Unrealized loss/(gain) on short term investments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(10,116)</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Unrealized foreign currency exchange (gain)/loss, net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 (benefit)/expense</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(20,327)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(12,345)</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Reversal/(allowance) for expected credit losses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614</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settlement of convertible notes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(Gain)/loss from equity-method investment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269</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non-cash interest expense related to convertible senior notes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2,472</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Impairment charges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3,627</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Others, net</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w:t>
            </w:r>
          </w:p>
        </w:tc>
      </w:tr>
      <w:tr>
        <w:trPr>
          <w:trHeight w:val="181"/>
        </w:trPr>
        <w:tc>
          <w:tcPr>
            <w:tcW w:w="6740" w:type="dxa"/>
            <w:vAlign w:val="bottom"/>
          </w:tcPr>
          <w:p>
            <w:pPr>
              <w:ind w:left="20"/>
              <w:spacing w:after="0"/>
              <w:rPr>
                <w:sz w:val="20"/>
                <w:szCs w:val="20"/>
                <w:color w:val="auto"/>
              </w:rPr>
            </w:pPr>
            <w:r>
              <w:rPr>
                <w:rFonts w:ascii="Arial" w:cs="Arial" w:eastAsia="Arial" w:hAnsi="Arial"/>
                <w:sz w:val="14"/>
                <w:szCs w:val="14"/>
                <w:color w:val="auto"/>
              </w:rPr>
              <w:t>Change in operating assets and liabilities, net of effects of acquisitions: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(37,684)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(7,093)</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(5,133)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1,385</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Advance income tax, net</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(12,062)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7,194</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Other assets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6,505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(2,204)</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(12,733)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18,222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6,679</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employee costs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16,915</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13,856</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lease liabilities</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(25,674)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(26,589)</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(24,813)</w:t>
            </w:r>
          </w:p>
        </w:tc>
      </w:tr>
      <w:tr>
        <w:trPr>
          <w:trHeight w:val="214"/>
        </w:trPr>
        <w:tc>
          <w:tcPr>
            <w:tcW w:w="674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4"/>
                <w:szCs w:val="14"/>
                <w:color w:val="auto"/>
              </w:rPr>
              <w:t>Net cash provided by operating activities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184,387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202,973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168,421</w:t>
            </w:r>
          </w:p>
        </w:tc>
      </w:tr>
      <w:tr>
        <w:trPr>
          <w:trHeight w:val="181"/>
        </w:trPr>
        <w:tc>
          <w:tcPr>
            <w:tcW w:w="674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Cash flows from investing activities:</w:t>
            </w:r>
          </w:p>
        </w:tc>
        <w:tc>
          <w:tcPr>
            <w:tcW w:w="86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 of property and equipment</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(37,248)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(40,545)</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407</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Business acquisition (net of cash and cash equivalents acquired)</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(76,831)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Purchases of investments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(96,011)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(102,462)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(187,974)</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redemptions of investments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126,154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176,968</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Investment in equity affiliate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 of non-controlling interest</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174"/>
        </w:trPr>
        <w:tc>
          <w:tcPr>
            <w:tcW w:w="674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4"/>
                <w:szCs w:val="14"/>
                <w:color w:val="auto"/>
              </w:rPr>
              <w:t>Net cash used for investing activities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(114,270)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(18,316)</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(51,385)</w:t>
            </w:r>
          </w:p>
        </w:tc>
      </w:tr>
      <w:tr>
        <w:trPr>
          <w:trHeight w:val="192"/>
        </w:trPr>
        <w:tc>
          <w:tcPr>
            <w:tcW w:w="6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1"/>
        </w:trPr>
        <w:tc>
          <w:tcPr>
            <w:tcW w:w="67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payments of finance lease liabilities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Proceeds from borrowings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300,000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46,000</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Repayments of borrowings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(329,031)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(120,867)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(98,247)</w:t>
            </w:r>
          </w:p>
        </w:tc>
      </w:tr>
      <w:tr>
        <w:trPr>
          <w:trHeight w:val="181"/>
        </w:trPr>
        <w:tc>
          <w:tcPr>
            <w:tcW w:w="6740" w:type="dxa"/>
            <w:vAlign w:val="bottom"/>
          </w:tcPr>
          <w:p>
            <w:pPr>
              <w:ind w:left="340"/>
              <w:spacing w:after="0"/>
              <w:rPr>
                <w:sz w:val="20"/>
                <w:szCs w:val="20"/>
                <w:color w:val="auto"/>
              </w:rPr>
            </w:pPr>
            <w:r>
              <w:rPr>
                <w:rFonts w:ascii="Arial" w:cs="Arial" w:eastAsia="Arial" w:hAnsi="Arial"/>
                <w:sz w:val="14"/>
                <w:szCs w:val="14"/>
                <w:color w:val="auto"/>
              </w:rPr>
              <w:t>Payment of debt issuance costs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86"/>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Acquisition of treasury stock</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(118,357)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(79,949)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(41,364)</w:t>
            </w:r>
          </w:p>
        </w:tc>
      </w:tr>
      <w:tr>
        <w:trPr>
          <w:trHeight w:val="181"/>
        </w:trPr>
        <w:tc>
          <w:tcPr>
            <w:tcW w:w="67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exercise of stock options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r>
      <w:tr>
        <w:trPr>
          <w:trHeight w:val="179"/>
        </w:trPr>
        <w:tc>
          <w:tcPr>
            <w:tcW w:w="6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for financing activities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(146,879)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(89,564)</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(93,078)</w:t>
            </w:r>
          </w:p>
        </w:tc>
      </w:tr>
      <w:tr>
        <w:trPr>
          <w:trHeight w:val="174"/>
        </w:trPr>
        <w:tc>
          <w:tcPr>
            <w:tcW w:w="674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w:t>
            </w:r>
          </w:p>
        </w:tc>
      </w:tr>
      <w:tr>
        <w:trPr>
          <w:trHeight w:val="179"/>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(decrease)/increase in cash, cash equivalents and restricted cash</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(81,709)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98,475</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22,913</w:t>
            </w:r>
          </w:p>
        </w:tc>
      </w:tr>
      <w:tr>
        <w:trPr>
          <w:trHeight w:val="181"/>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the beginning of the year</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225,519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127,044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104,131</w:t>
            </w:r>
          </w:p>
        </w:tc>
      </w:tr>
      <w:tr>
        <w:trPr>
          <w:trHeight w:val="20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the end of the year</w:t>
            </w:r>
          </w:p>
        </w:tc>
        <w:tc>
          <w:tcPr>
            <w:tcW w:w="86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143,810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225,519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127,044</w:t>
            </w:r>
          </w:p>
        </w:tc>
      </w:tr>
      <w:tr>
        <w:trPr>
          <w:trHeight w:val="21"/>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7"/>
        </w:trPr>
        <w:tc>
          <w:tcPr>
            <w:tcW w:w="6740" w:type="dxa"/>
            <w:vAlign w:val="bottom"/>
          </w:tcPr>
          <w:p>
            <w:pPr>
              <w:ind w:left="20"/>
              <w:spacing w:after="0"/>
              <w:rPr>
                <w:sz w:val="20"/>
                <w:szCs w:val="20"/>
                <w:color w:val="auto"/>
              </w:rPr>
            </w:pPr>
            <w:r>
              <w:rPr>
                <w:rFonts w:ascii="Arial" w:cs="Arial" w:eastAsia="Arial" w:hAnsi="Arial"/>
                <w:sz w:val="16"/>
                <w:szCs w:val="16"/>
                <w:color w:val="auto"/>
              </w:rPr>
              <w:t>Cash paid during the year for:</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860" w:type="dxa"/>
            <w:vAlign w:val="bottom"/>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6,589</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10,649</w:t>
            </w:r>
          </w:p>
        </w:tc>
      </w:tr>
      <w:tr>
        <w:trPr>
          <w:trHeight w:val="207"/>
        </w:trPr>
        <w:tc>
          <w:tcPr>
            <w:tcW w:w="6740" w:type="dxa"/>
            <w:vAlign w:val="bottom"/>
          </w:tcPr>
          <w:p>
            <w:pPr>
              <w:ind w:left="20"/>
              <w:spacing w:after="0"/>
              <w:rPr>
                <w:sz w:val="20"/>
                <w:szCs w:val="20"/>
                <w:color w:val="auto"/>
              </w:rPr>
            </w:pPr>
            <w:r>
              <w:rPr>
                <w:rFonts w:ascii="Arial" w:cs="Arial" w:eastAsia="Arial" w:hAnsi="Arial"/>
                <w:sz w:val="16"/>
                <w:szCs w:val="16"/>
                <w:color w:val="auto"/>
              </w:rPr>
              <w:t>Income taxes, net of refunds</w:t>
            </w:r>
          </w:p>
        </w:tc>
        <w:tc>
          <w:tcPr>
            <w:tcW w:w="86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49,825</w:t>
            </w:r>
          </w:p>
        </w:tc>
        <w:tc>
          <w:tcPr>
            <w:tcW w:w="440" w:type="dxa"/>
            <w:vAlign w:val="bottom"/>
            <w:gridSpan w:val="2"/>
          </w:tcPr>
          <w:p>
            <w:pPr>
              <w:jc w:val="right"/>
              <w:ind w:right="19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20,571</w:t>
            </w:r>
          </w:p>
        </w:tc>
        <w:tc>
          <w:tcPr>
            <w:tcW w:w="120" w:type="dxa"/>
            <w:vAlign w:val="bottom"/>
          </w:tcPr>
          <w:p>
            <w:pPr>
              <w:spacing w:after="0"/>
              <w:rPr>
                <w:sz w:val="17"/>
                <w:szCs w:val="17"/>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19,087</w:t>
            </w:r>
          </w:p>
        </w:tc>
      </w:tr>
      <w:tr>
        <w:trPr>
          <w:trHeight w:val="187"/>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7"/>
        </w:trPr>
        <w:tc>
          <w:tcPr>
            <w:tcW w:w="6740" w:type="dxa"/>
            <w:vAlign w:val="bottom"/>
          </w:tcPr>
          <w:p>
            <w:pPr>
              <w:ind w:left="20"/>
              <w:spacing w:after="0"/>
              <w:rPr>
                <w:sz w:val="20"/>
                <w:szCs w:val="20"/>
                <w:color w:val="auto"/>
              </w:rPr>
            </w:pPr>
            <w:r>
              <w:rPr>
                <w:rFonts w:ascii="Arial" w:cs="Arial" w:eastAsia="Arial" w:hAnsi="Arial"/>
                <w:sz w:val="16"/>
                <w:szCs w:val="16"/>
                <w:color w:val="auto"/>
              </w:rPr>
              <w:t>Settlement of portion of convertible notes through issuance of treasury stock</w:t>
            </w:r>
          </w:p>
        </w:tc>
        <w:tc>
          <w:tcPr>
            <w:tcW w:w="86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36,742</w:t>
            </w:r>
          </w:p>
        </w:tc>
        <w:tc>
          <w:tcPr>
            <w:tcW w:w="440" w:type="dxa"/>
            <w:vAlign w:val="bottom"/>
            <w:gridSpan w:val="2"/>
          </w:tcPr>
          <w:p>
            <w:pPr>
              <w:jc w:val="right"/>
              <w:ind w:right="19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acquired under finance lease</w:t>
            </w:r>
          </w:p>
        </w:tc>
        <w:tc>
          <w:tcPr>
            <w:tcW w:w="860" w:type="dxa"/>
            <w:vAlign w:val="bottom"/>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19" w:lineRule="exact"/>
        <w:rPr>
          <w:sz w:val="20"/>
          <w:szCs w:val="20"/>
          <w:color w:val="auto"/>
        </w:rPr>
      </w:pPr>
    </w:p>
    <w:p>
      <w:pPr>
        <w:ind w:left="33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178"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that partners with clients to improve business outcomes and unlock growth. By bringing together deep domain expertise with robust data, powerful analytics, cloud, artificial intelligence and machine learnings, the Company creates agile, scalable solutions and executes complex operations for the world’s leading corporations in industries including insurance, healthcare, banking and financial services, media, and retail, among others. The Company’s clients are located principally in the United States of America (“U.S.”) and the United Kingdom (“U.K.”).</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Basis of Preparation and Principles of Consolidation</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consolidated financial statements have been prepared in conformity with United States generally accepted accounting principles (“U.S. GAAP”). The accompanying financial statements have been prepared on a consolidated basis and reflect the financial statements of ExlService Holdings Inc. and all of its subsidiaries and includes the Company's share in the results of its associates.</w:t>
      </w:r>
    </w:p>
    <w:p>
      <w:pPr>
        <w:spacing w:after="0" w:line="120"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0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Accounting policies of the respective individual subsidiary and associate are aligned wherever necessary, so as to ensure consistency with the accounting policies that are adopted by the Company under U.S. GAAP.</w:t>
      </w:r>
    </w:p>
    <w:p>
      <w:pPr>
        <w:spacing w:after="0" w:line="10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consolidated statements of income.</w:t>
      </w:r>
    </w:p>
    <w:p>
      <w:pPr>
        <w:spacing w:after="0" w:line="120"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Effective January 1, 2020, the Company made certain operational and structural changes to more closely integrate the Company’s businesses and to simplify its organizational structure. Under the new structure, the Company reports its financial performance based on new segments described in Note 3 - Segment and Geographical Information to the consolidated financial statements. In conjunction with the new reporting structure, the Company has recast certain prior period amounts, wherever applicable, to conform to the way the Company internally manages and monitors segment performance. This change primarily impacted Note 3 - Segment and Geographical Information and Note 9 - Business Combinations, Goodwill and Intangible Assets to the consolidated financial statements, with no impact on the consolidated balance sheets, statements of income, comprehensive income, equity and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Use of Estimates</w:t>
      </w:r>
    </w:p>
    <w:p>
      <w:pPr>
        <w:spacing w:after="0" w:line="172"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Although these estimates are based on management’s best assessment of the current business environment, actual results may be different from those estimates. The significant estimates and assumptions that affect the consolidated financial statements include, but are not limited to, estimates of the fair value of the identifiable intangible assets and contingent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consideration, purchase price allocation, allowance for expected credit losses, the nature and 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amortization of ROU, depreciation and amortization periods, revenue projections and discount rate applied within the discounted cash flow model for business acquisitions, and recoverability of long-lived assets, goodwill and intangibles.</w:t>
      </w:r>
    </w:p>
    <w:p>
      <w:pPr>
        <w:spacing w:after="0" w:line="105" w:lineRule="exact"/>
        <w:rPr>
          <w:sz w:val="20"/>
          <w:szCs w:val="20"/>
          <w:color w:val="auto"/>
        </w:rPr>
      </w:pPr>
    </w:p>
    <w:p>
      <w:pPr>
        <w:jc w:val="both"/>
        <w:ind w:firstLine="393"/>
        <w:spacing w:after="0" w:line="234" w:lineRule="auto"/>
        <w:rPr>
          <w:sz w:val="20"/>
          <w:szCs w:val="20"/>
          <w:color w:val="auto"/>
        </w:rPr>
      </w:pPr>
      <w:r>
        <w:rPr>
          <w:rFonts w:ascii="Arial" w:cs="Arial" w:eastAsia="Arial" w:hAnsi="Arial"/>
          <w:sz w:val="17"/>
          <w:szCs w:val="17"/>
          <w:color w:val="auto"/>
        </w:rPr>
        <w:t>As of December 31, 2021, the extent to which the global Coronavirus Disease 2019 pandemic (“COVID-19”) will ultimately impact the Company's business depends on numerous dynamic factors, which the Company still cannot reliably predict. As a result, many of the Company's estimates and assumptions herein required increased judgment and carry a higher degree of variability and volatility. As events continue to evolve with respect to COVID-19, the Company’s estimates may materially change in future periods. Any changes in estimates are adjusted prospectively in the Company’s consolidated financial statements.</w:t>
      </w:r>
    </w:p>
    <w:p>
      <w:pPr>
        <w:spacing w:after="0" w:line="135" w:lineRule="exact"/>
        <w:rPr>
          <w:sz w:val="20"/>
          <w:szCs w:val="20"/>
          <w:color w:val="auto"/>
        </w:rPr>
      </w:pPr>
    </w:p>
    <w:p>
      <w:pPr>
        <w:ind w:left="400" w:hanging="395"/>
        <w:spacing w:after="0"/>
        <w:tabs>
          <w:tab w:leader="none" w:pos="400" w:val="left"/>
        </w:tabs>
        <w:numPr>
          <w:ilvl w:val="0"/>
          <w:numId w:val="2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Foreign Currency Translation</w:t>
      </w:r>
    </w:p>
    <w:p>
      <w:pPr>
        <w:spacing w:after="0" w:line="15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functional currency of each entity in the Company is its respective local country currency which is also the currency of the primary economic environment in which it operates except for the entities in Mauritius which use the U.S. dollar as its functional currency. Transactions in foreign currencies are initially recorded into functional currency at the rates of exchange prevailing on the date of the transaction. Monetary assets and liabilities denominated in foreign currencies are remeasured into functional currency at the rates of exchange prevailing at the balance sheet date. Non-monetary assets and liabilities are remeasured to the functional currency at exchange rates that prevailed on the date of inception of the transaction. All foreign exchange gains and losses arising on re-measurement are recorded in the Company's consolidated statements of income.</w:t>
      </w:r>
    </w:p>
    <w:p>
      <w:pPr>
        <w:spacing w:after="0" w:line="126"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assets and liabilities of the subsidiaries for which the functional currency is other than the U.S. dollar are translated into U.S. dollars, the reporting currency, at the rate of exchange prevailing on the balance sheet date. Revenues and expenses are translated into U.S. dollars at the exchange rates prevailing on the last business day of each month, which approximates the average monthly exchange rate. Share capital and other equity items are translated at exchange rates that prevailed on the date of inception of the transaction. Resulting translation adjustments are included in “Accumulated other comprehensive income/(loss)” in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Revenue Recognition</w:t>
      </w:r>
    </w:p>
    <w:p>
      <w:pPr>
        <w:spacing w:after="0" w:line="17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Revenue is recognized when services are provided to the Company's customers, in an amount that reflects the consideration which the Company expect to be entitled to in exchange for the services provided.</w:t>
      </w:r>
    </w:p>
    <w:p>
      <w:pPr>
        <w:spacing w:after="0" w:line="10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Revenue is measured based on consideration specified in a contract with a customer and excludes discounts and amounts collected on behalf of third parties. The Company recognizes revenue when it satisfies a performance obligation by providing services to a customer.</w:t>
      </w:r>
    </w:p>
    <w:p>
      <w:pPr>
        <w:spacing w:after="0" w:line="10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Taxes assessed by a governmental authority that are both imposed on and concurrent with a specific revenue-producing transaction, that are collected by the Company from a customer, are excluded from revenue.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Nature of Services</w:t>
      </w:r>
    </w:p>
    <w:p>
      <w:pPr>
        <w:spacing w:after="0" w:line="17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derives its revenues from digital operations and solutions and analytics services. The Company provides digital operations and solutions and analytics services helping businesses enhance revenue growth and improve profitability.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Type of Contracts</w:t>
      </w:r>
    </w:p>
    <w:p>
      <w:pPr>
        <w:spacing w:after="0" w:line="172" w:lineRule="exact"/>
        <w:rPr>
          <w:sz w:val="20"/>
          <w:szCs w:val="20"/>
          <w:color w:val="auto"/>
        </w:rPr>
      </w:pPr>
    </w:p>
    <w:p>
      <w:pPr>
        <w:jc w:val="both"/>
        <w:ind w:left="720" w:hanging="400"/>
        <w:spacing w:after="0" w:line="273" w:lineRule="auto"/>
        <w:tabs>
          <w:tab w:leader="none" w:pos="707"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or penalties have been incurred. Revenues are recognized net of any penalties or service credits that are due to a client.</w:t>
      </w:r>
    </w:p>
    <w:p>
      <w:pPr>
        <w:spacing w:after="0" w:line="172" w:lineRule="exact"/>
        <w:rPr>
          <w:sz w:val="20"/>
          <w:szCs w:val="20"/>
          <w:color w:val="auto"/>
        </w:rPr>
      </w:pPr>
    </w:p>
    <w:p>
      <w:pPr>
        <w:jc w:val="both"/>
        <w:ind w:left="720" w:hanging="7"/>
        <w:spacing w:after="0" w:line="268" w:lineRule="auto"/>
        <w:tabs>
          <w:tab w:leader="none" w:pos="951" w:val="left"/>
        </w:tabs>
        <w:numPr>
          <w:ilvl w:val="1"/>
          <w:numId w:val="30"/>
        </w:numPr>
        <w:rPr>
          <w:rFonts w:ascii="Arial" w:cs="Arial" w:eastAsia="Arial" w:hAnsi="Arial"/>
          <w:sz w:val="17"/>
          <w:szCs w:val="17"/>
          <w:color w:val="auto"/>
        </w:rPr>
      </w:pPr>
      <w:r>
        <w:rPr>
          <w:rFonts w:ascii="Arial" w:cs="Arial" w:eastAsia="Arial" w:hAnsi="Arial"/>
          <w:sz w:val="17"/>
          <w:szCs w:val="17"/>
          <w:color w:val="auto"/>
        </w:rPr>
        <w:t>Revenues from arrangements involving subcontracting, either in part or whole of the assigned work, are recognized after the Company’s assessment of “Principal versus agent considerations.” The Company evaluates whether it is in control of the services before the same are transferred to the customer to assess whether it is principal or agent in the arrangement. Revenues are recognized on a gross basis if the Company is in the capacity of principal and on a net basis if it falls in the capacity of an agent.</w:t>
      </w:r>
    </w:p>
    <w:p>
      <w:pPr>
        <w:spacing w:after="0" w:line="123" w:lineRule="exact"/>
        <w:rPr>
          <w:rFonts w:ascii="Arial" w:cs="Arial" w:eastAsia="Arial" w:hAnsi="Arial"/>
          <w:sz w:val="17"/>
          <w:szCs w:val="17"/>
          <w:color w:val="auto"/>
        </w:rPr>
      </w:pPr>
    </w:p>
    <w:p>
      <w:pPr>
        <w:jc w:val="both"/>
        <w:ind w:left="720" w:hanging="400"/>
        <w:spacing w:after="0" w:line="262" w:lineRule="auto"/>
        <w:tabs>
          <w:tab w:leader="none" w:pos="717"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Revenues for the Company’s fixed-price contracts are recognized using costs incurred to date relative to total estimated costs at completion to measure progress toward satisfying our performance obligations. Incurred cost represents work performed, which corresponds with, and thereby best depicts, the transfer of control to the client. The use of this method requires significant judgment to estimate the cost required to complete the contracted scope of work, including assumptions and estimates relative to the length of time to complete the project and the nature and complexity of the work to be performed and resources engaged. The Company regularly monitors these estimates throughout the execution of the project and records changes in the period in which a change in an estimate is determined. If a change in an estimate results in a projected loss on a project, such loss is recognized in the period in which it is first identified.</w:t>
      </w:r>
    </w:p>
    <w:p>
      <w:pPr>
        <w:spacing w:after="0" w:line="132" w:lineRule="exact"/>
        <w:rPr>
          <w:rFonts w:ascii="Arial" w:cs="Arial" w:eastAsia="Arial" w:hAnsi="Arial"/>
          <w:sz w:val="17"/>
          <w:szCs w:val="17"/>
          <w:color w:val="auto"/>
        </w:rPr>
      </w:pPr>
    </w:p>
    <w:p>
      <w:pPr>
        <w:jc w:val="both"/>
        <w:ind w:left="720" w:hanging="400"/>
        <w:spacing w:after="0" w:line="298" w:lineRule="auto"/>
        <w:tabs>
          <w:tab w:leader="none" w:pos="713"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Revenue from the Company’s software and related services contracts, which are not significant, are primarily related to annual maintenance renewals or incremental license fees for additional users. Maintenance revenues are generally recognized on a straight-line basis over the annual contract term. Fees for incremental license without any associated services are recognized upon delivery of the related incremental license.</w:t>
      </w:r>
    </w:p>
    <w:p>
      <w:pPr>
        <w:spacing w:after="0" w:line="101" w:lineRule="exact"/>
        <w:rPr>
          <w:rFonts w:ascii="Arial" w:cs="Arial" w:eastAsia="Arial" w:hAnsi="Arial"/>
          <w:sz w:val="16"/>
          <w:szCs w:val="16"/>
          <w:color w:val="auto"/>
        </w:rPr>
      </w:pPr>
    </w:p>
    <w:p>
      <w:pPr>
        <w:jc w:val="both"/>
        <w:ind w:left="720"/>
        <w:spacing w:after="0" w:line="298" w:lineRule="auto"/>
        <w:rPr>
          <w:rFonts w:ascii="Arial" w:cs="Arial" w:eastAsia="Arial" w:hAnsi="Arial"/>
          <w:sz w:val="16"/>
          <w:szCs w:val="16"/>
          <w:color w:val="auto"/>
        </w:rPr>
      </w:pPr>
      <w:r>
        <w:rPr>
          <w:rFonts w:ascii="Arial" w:cs="Arial" w:eastAsia="Arial" w:hAnsi="Arial"/>
          <w:sz w:val="16"/>
          <w:szCs w:val="16"/>
          <w:color w:val="auto"/>
        </w:rPr>
        <w:t>To a lesser extent, certain contracts may include offerings such as sale of licenses, which may be perpetual or subscription-based. The Company recognizes revenue from distinct perpetual licenses upfront at a point in time when the software is made available to the client, whereas for a combined software license and services performance obligation, revenue is recognized over the period that the services are performed.</w:t>
      </w:r>
    </w:p>
    <w:p>
      <w:pPr>
        <w:spacing w:after="0" w:line="101" w:lineRule="exact"/>
        <w:rPr>
          <w:rFonts w:ascii="Arial" w:cs="Arial" w:eastAsia="Arial" w:hAnsi="Arial"/>
          <w:sz w:val="16"/>
          <w:szCs w:val="16"/>
          <w:color w:val="auto"/>
        </w:rPr>
      </w:pPr>
    </w:p>
    <w:p>
      <w:pPr>
        <w:ind w:left="720"/>
        <w:spacing w:after="0" w:line="289" w:lineRule="auto"/>
        <w:rPr>
          <w:rFonts w:ascii="Arial" w:cs="Arial" w:eastAsia="Arial" w:hAnsi="Arial"/>
          <w:sz w:val="16"/>
          <w:szCs w:val="16"/>
          <w:color w:val="auto"/>
        </w:rPr>
      </w:pPr>
      <w:r>
        <w:rPr>
          <w:rFonts w:ascii="Arial" w:cs="Arial" w:eastAsia="Arial" w:hAnsi="Arial"/>
          <w:sz w:val="17"/>
          <w:szCs w:val="17"/>
          <w:color w:val="auto"/>
        </w:rPr>
        <w:t>Revenue from distinct subscription based licenses is recognized over the period of service performed. Revenue from any associated maintenance or ongoing support services is recognized over the term of the contract.</w:t>
      </w:r>
    </w:p>
    <w:p>
      <w:pPr>
        <w:spacing w:after="0" w:line="106" w:lineRule="exact"/>
        <w:rPr>
          <w:rFonts w:ascii="Arial" w:cs="Arial" w:eastAsia="Arial" w:hAnsi="Arial"/>
          <w:sz w:val="16"/>
          <w:szCs w:val="16"/>
          <w:color w:val="auto"/>
        </w:rPr>
      </w:pPr>
    </w:p>
    <w:p>
      <w:pPr>
        <w:jc w:val="both"/>
        <w:ind w:left="720" w:hanging="400"/>
        <w:spacing w:after="0" w:line="264" w:lineRule="auto"/>
        <w:tabs>
          <w:tab w:leader="none" w:pos="7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Revenues from reimbursement optimization services having contingent fee arrangements are recognized by the Company at the point in time when a performance obligation is satisfied, which is when it identifies an overpayment claim. In such contracts, the Company’s consideration is contingent upon the actual collections made by its customers and net of any subsequent retraction claims. Based on guidance on “variable consideration” in Topic 606, the Company uses its historical experience and projections to determine the expected recoveries from its customers and recognizes revenue based upon such expected recoveries. Any adjustment required due to change in estimates are recorded in the period in which such change is identified.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Modification to Contracts</w:t>
      </w:r>
    </w:p>
    <w:p>
      <w:pPr>
        <w:spacing w:after="0" w:line="17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 Company’s contracts may be modified to add, remove or change existing performance obligations. The accounting for modifications to contracts involves assessing whether the services added to an existing contract are distinct and whether the pricing is at a standalone selling price. Services added that are distinct and at standalone selling price are accounted on a prospective basis either as a separate contract, or as a termination of existing contract and creation of a new contract.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Arrangements with Multiple Performance Obligations</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Company’s contracts with customers do not generally bundle different services together except for software and related services contracts, which are not significant, involving implementation services and post contract maintenance services. In such software and related services contracts, revenue is allocated to each performance obligation based on the relative standalone selling price.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Consideration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Variability in the transaction price arises primarily due to service level agreements and volume discounts.</w:t>
      </w:r>
    </w:p>
    <w:p>
      <w:pPr>
        <w:spacing w:after="0" w:line="17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Company considers its experience with similar transactions and expectations regarding the contract in estimating the amount of variable consideration that should be recognized during a period.</w:t>
      </w:r>
    </w:p>
    <w:p>
      <w:pPr>
        <w:spacing w:after="0" w:line="10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Company believes that the expected value method is most appropriate for determining the variable consideration since the Company has large number of contracts with similar nature of transactions/services.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Allocation of Transaction Price to Performance Obligations</w:t>
      </w:r>
    </w:p>
    <w:p>
      <w:pPr>
        <w:spacing w:after="0" w:line="17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Unbilled Receivables</w:t>
      </w:r>
    </w:p>
    <w:p>
      <w:pPr>
        <w:spacing w:after="0" w:line="172"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Unbilled receivables represents revenues recognized for services rendered between the last billing date and the balance sheet date. Unbilled receivables also include revenues recognized from reimbursement optimization services where the Company identifies an overpayment claim. In such contracts, Company’s consideration is contingent upon and collectable only when the actual collections are made by its customers. Based on guidance on “variable consideration” in Topic 606, Company use its historical experience and projections to determine the expected recoveries from its customers and recognize revenue and receivables based upon such expected recoveries. Accordingly, the amounts for which services have been performed and for which invoices have not been issued to customers on the balance sheet date, (i.e. unbilled receivables) are presented under accounts receivable.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 and Contract Fulfillment Costs</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Company has contract liabilities (deferred revenue) consisting of advance billings and billing in excess of revenues recognized. Deferred revenue also includes the amount for which services have been rendered but other conditions of revenue recognition are not met, for example where the Company does not have an enforceable contract.</w:t>
      </w:r>
    </w:p>
    <w:p>
      <w:pPr>
        <w:spacing w:after="0" w:line="120"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Further, the Company also defers revenues attributable to certain process transition activities, with respect to its customers where such activities do not represent separate performance obligations. Revenues related to such transition activities are classified under “Deferred revenue” and “Other non-current liabilities” in the Company’s consolidated balance sheets and are recognized ratably over the period during which the related services are performed.</w:t>
      </w:r>
    </w:p>
    <w:p>
      <w:pPr>
        <w:spacing w:after="0" w:line="101"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Costs related to such transition activities are contract fulfillment costs, and thereby classified under “Other current assets” and “Other assets” in the consolidated balance sheets, and are recognized over the expected duration of the relationship with customers, under “Cost of revenues” in the consolidated statements of income.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Acquisition Costs</w:t>
      </w:r>
    </w:p>
    <w:p>
      <w:pPr>
        <w:spacing w:after="0" w:line="211"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Direct and incremental costs incurred for acquiring contracts, such as sales commissions are contract acquisition costs and thereby classified under “Other current assets” and “Other assets” in the consolidated balance sheets. Such costs are amortized over the expected duration of the relationship with customers and recorded under Selling and marketing expenses in the consolidated statements of income.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Upfront Payments Made to Customers</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Upfront payments, in nature of deal signing discount or deal signing bonuses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Out-of-Pocket Expenses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Reimbursements of out-of-pocket expenses received from clients are included as part of revenues.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 terms</w:t>
      </w:r>
    </w:p>
    <w:p>
      <w:pPr>
        <w:spacing w:after="0" w:line="172"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All contracts entered into by the Company specify the payment terms and are defined for each contract separately. Usual payment terms range between 30-60 days. The Company does not have any extended payment terms clauses in existing contracts.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72"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The Company does not disclose the value of remaining performance obligations as a result of applying the practical expedient provided in Topic 606, for contracts that meet any of the following criteria:</w:t>
      </w:r>
    </w:p>
    <w:p>
      <w:pPr>
        <w:spacing w:after="0" w:line="106" w:lineRule="exact"/>
        <w:rPr>
          <w:sz w:val="20"/>
          <w:szCs w:val="20"/>
          <w:color w:val="auto"/>
        </w:rPr>
      </w:pPr>
    </w:p>
    <w:p>
      <w:pPr>
        <w:ind w:left="620" w:hanging="300"/>
        <w:spacing w:after="0"/>
        <w:tabs>
          <w:tab w:leader="none" w:pos="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Contracts with an original expected length of one year or less as determined under ASC 606,</w:t>
      </w:r>
    </w:p>
    <w:p>
      <w:pPr>
        <w:spacing w:after="0" w:line="171" w:lineRule="exact"/>
        <w:rPr>
          <w:rFonts w:ascii="Arial" w:cs="Arial" w:eastAsia="Arial" w:hAnsi="Arial"/>
          <w:sz w:val="17"/>
          <w:szCs w:val="17"/>
          <w:color w:val="auto"/>
        </w:rPr>
      </w:pPr>
    </w:p>
    <w:p>
      <w:pPr>
        <w:ind w:left="640" w:hanging="320"/>
        <w:spacing w:after="0"/>
        <w:tabs>
          <w:tab w:leader="none" w:pos="6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Contracts for which Company recognize revenue based on the right to invoice for service performed.</w:t>
      </w:r>
    </w:p>
    <w:p>
      <w:pPr>
        <w:spacing w:after="0" w:line="171" w:lineRule="exact"/>
        <w:rPr>
          <w:rFonts w:ascii="Arial" w:cs="Arial" w:eastAsia="Arial" w:hAnsi="Arial"/>
          <w:sz w:val="17"/>
          <w:szCs w:val="17"/>
          <w:color w:val="auto"/>
        </w:rPr>
      </w:pPr>
    </w:p>
    <w:p>
      <w:pPr>
        <w:ind w:left="320" w:hanging="315"/>
        <w:spacing w:after="0"/>
        <w:tabs>
          <w:tab w:leader="none" w:pos="320" w:val="left"/>
        </w:tabs>
        <w:numPr>
          <w:ilvl w:val="0"/>
          <w:numId w:val="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Cash and Cash Equivalents and Restricted Cash</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Company considers all highly liquid investments purchased with an original maturity of ninety days or less to be cash equivalents. Pursuant to the Company’s investment policy, surplus funds are invested in highly-rated debt mutual funds, money market accounts and time deposits to reduce its exposure to market risk with regard to these funds.</w:t>
      </w:r>
    </w:p>
    <w:p>
      <w:pPr>
        <w:spacing w:after="0" w:line="120"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Restricted cash represents amounts on deposit with banks against bank guarantees issued through banks in favor of relevant statutory authorities for equipment imports, deposits for obtaining indirect tax registrations and for demands against pending income tax assessments (refer to Note 7 - Cash, Cash Equivalents and Restricted Cash to the consolidated financial statements for details). These deposits with banks have maturity dates after December 31, 2021. Restricted cash presented under current assets represents funds held on behalf of clients in dedicated bank accounts. The corresponding liability against the same is included under “Accrued Expenses and other current liabilities.”</w:t>
      </w:r>
    </w:p>
    <w:p>
      <w:pPr>
        <w:spacing w:after="0" w:line="127"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For purposes of the statements of cash flows, the Company includes in its cash and cash-equivalent balances those amounts that have been classified as restricted cash and restricted cash equivalents.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  Investments</w:t>
      </w:r>
    </w:p>
    <w:p>
      <w:pPr>
        <w:spacing w:after="0" w:line="172" w:lineRule="exact"/>
        <w:rPr>
          <w:sz w:val="20"/>
          <w:szCs w:val="20"/>
          <w:color w:val="auto"/>
        </w:rPr>
      </w:pPr>
    </w:p>
    <w:p>
      <w:pPr>
        <w:jc w:val="both"/>
        <w:ind w:firstLine="433"/>
        <w:spacing w:after="0" w:line="298" w:lineRule="auto"/>
        <w:rPr>
          <w:sz w:val="20"/>
          <w:szCs w:val="20"/>
          <w:color w:val="auto"/>
        </w:rPr>
      </w:pPr>
      <w:r>
        <w:rPr>
          <w:rFonts w:ascii="Arial" w:cs="Arial" w:eastAsia="Arial" w:hAnsi="Arial"/>
          <w:sz w:val="16"/>
          <w:szCs w:val="16"/>
          <w:color w:val="auto"/>
        </w:rPr>
        <w:t>The Company’s investments consist of time deposits with financial institutions which are valued at cost and approximate fair value. Interest earned on such investments is included in interest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101"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 xml:space="preserve">The Company's mutual fund investments are in debt funds invested in India and money market funds which invest in instruments of various maturities in the United States. These investments are accounted for in accordance with the fair value option under Financial Accounting Standard Board Accounting Standards Codification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(“Topic 825”). The fair value is represented by original cost on the acquisition date and the net asset value (“NAV”) as quoted, at each reporting period and any changes in fair value are included in other income, net. Gain or loss on the disposal of these investments is calculated using the weighted average cost of the investments sold or disposed and is included in other income.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 Accounts Receivable and Allowance for Expected Credit Losses</w:t>
      </w:r>
    </w:p>
    <w:p>
      <w:pPr>
        <w:spacing w:after="0" w:line="159" w:lineRule="exact"/>
        <w:rPr>
          <w:sz w:val="20"/>
          <w:szCs w:val="20"/>
          <w:color w:val="auto"/>
        </w:rPr>
      </w:pPr>
    </w:p>
    <w:p>
      <w:pPr>
        <w:jc w:val="both"/>
        <w:ind w:firstLine="433"/>
        <w:spacing w:after="0" w:line="234" w:lineRule="auto"/>
        <w:rPr>
          <w:sz w:val="20"/>
          <w:szCs w:val="20"/>
          <w:color w:val="auto"/>
        </w:rPr>
      </w:pPr>
      <w:r>
        <w:rPr>
          <w:rFonts w:ascii="Arial" w:cs="Arial" w:eastAsia="Arial" w:hAnsi="Arial"/>
          <w:sz w:val="17"/>
          <w:szCs w:val="17"/>
          <w:color w:val="auto"/>
        </w:rPr>
        <w:t>Accounts receivable are recorded net of allowances for expected credit losses. 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future and estimates relating to the possible effects resulting from COVID-19. Accounts receivable balances are written-off against the allowance for expected credit losses after all means of collection have been exhausted and the potential for recovery is considered remote.</w:t>
      </w:r>
    </w:p>
    <w:p>
      <w:pPr>
        <w:spacing w:after="0" w:line="119"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Accounts receivable include unbilled accounts receivable which represent revenues on contracts to be billed, in subsequent periods, as per the terms of the related contracts.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 Property and equipment</w:t>
      </w:r>
    </w:p>
    <w:p>
      <w:pPr>
        <w:spacing w:after="0" w:line="172"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Property and equipment are stated at cost less accumulated depreciation and impairment. Equipment held under finance leases are capitalized at the commencement of the lease at the lower of present value of minimum lease payments at the inception of the leases or its fair value. Expenditures for replacements and improvements are capitalized, if they enhance the production capacity and future benefits whereas the costs of maintenance and repairs are charged to earnings as incurred. Advances paid towards acquisition of property and equipment and the cost of property and equipment not yet placed in service before the end of the reporting period are classified as capital work in progress.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Depreciation is computed using the straight-line method over the estimated useful lives of the assets.</w:t>
      </w:r>
    </w:p>
    <w:p>
      <w:pPr>
        <w:spacing w:after="0" w:line="17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Property and equipment which are abandoned and disposed other than by sale, are assessed for revision of their useful life, thereby revising the future depreciation to reflect the use of property and equipment over the remaining shortened life.</w:t>
      </w:r>
    </w:p>
    <w:p>
      <w:pPr>
        <w:spacing w:after="0" w:line="93"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The Company reviews property and equipment for impairment whenever events or changes in circumstances indicate that the related carrying amounts may not be recoverable. The estimated useful life have been disclosed in Note 8 - Property and Equipment, net to the consolidated financial statements.</w:t>
      </w:r>
    </w:p>
    <w:p>
      <w:pPr>
        <w:spacing w:after="0" w:line="240"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i w:val="1"/>
          <w:iCs w:val="1"/>
          <w:color w:val="auto"/>
        </w:rPr>
        <w:t>(i)</w:t>
      </w:r>
      <w:r>
        <w:rPr>
          <w:sz w:val="20"/>
          <w:szCs w:val="20"/>
          <w:color w:val="auto"/>
        </w:rPr>
        <w:tab/>
      </w:r>
      <w:r>
        <w:rPr>
          <w:rFonts w:ascii="Arial" w:cs="Arial" w:eastAsia="Arial" w:hAnsi="Arial"/>
          <w:sz w:val="14"/>
          <w:szCs w:val="14"/>
          <w:b w:val="1"/>
          <w:bCs w:val="1"/>
          <w:i w:val="1"/>
          <w:iCs w:val="1"/>
          <w:color w:val="auto"/>
        </w:rPr>
        <w:t>Software Development Costs</w:t>
      </w:r>
    </w:p>
    <w:p>
      <w:pPr>
        <w:spacing w:after="0" w:line="17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The Company capitalizes certain costs related to the development or enhancements to existing software products to be sold, leased or otherwise marketed and / or used for internal use. The Company begins to capitalize costs to develop or enhance software when planning stage efforts are successfully completed, management has authorized and committed project funding, and it is probable that the project will be completed and the software will be used as intended. Costs incurred prior to meeting these criteria, together with costs incurred for training and maintenance, are expensed as incurred and recorded within “General and administrative expenses” in the Company’s consolidated statements of income. The Company exercises judgment in determining the point at which various projects may be capitalized, in assessing the ongoing value of the capitalized costs, and in determining the estimated useful lives over which the costs are amortized.</w:t>
      </w:r>
    </w:p>
    <w:p>
      <w:pPr>
        <w:spacing w:after="0" w:line="119" w:lineRule="exact"/>
        <w:rPr>
          <w:sz w:val="20"/>
          <w:szCs w:val="20"/>
          <w:color w:val="auto"/>
        </w:rPr>
      </w:pPr>
    </w:p>
    <w:p>
      <w:pPr>
        <w:jc w:val="both"/>
        <w:ind w:firstLine="393"/>
        <w:spacing w:after="0" w:line="251" w:lineRule="auto"/>
        <w:rPr>
          <w:sz w:val="20"/>
          <w:szCs w:val="20"/>
          <w:color w:val="auto"/>
        </w:rPr>
      </w:pPr>
      <w:r>
        <w:rPr>
          <w:rFonts w:ascii="Arial" w:cs="Arial" w:eastAsia="Arial" w:hAnsi="Arial"/>
          <w:sz w:val="16"/>
          <w:szCs w:val="16"/>
          <w:color w:val="auto"/>
        </w:rPr>
        <w:t>Implementation costs in cloud computing arrangements (“CCA”), such as software as a service and other hosting arrangements are evaluated in a similar manner as capitalized software development costs. If CCA do not provide a contractual right upon the Company to take possession of the software at any time during the hosting period without significant penalty, and it is not feasible to either run the software on the Company’s own hardware, then implementation costs incurred are accounted for as a service contract. In case of the existence of such a contractual right to take possession of the software and the Company is able to run the software on its own hardware, then such implementation costs are recognized as capitalized software development costs.</w:t>
      </w:r>
    </w:p>
    <w:p>
      <w:pPr>
        <w:spacing w:after="0" w:line="192" w:lineRule="exact"/>
        <w:rPr>
          <w:sz w:val="20"/>
          <w:szCs w:val="20"/>
          <w:color w:val="auto"/>
        </w:rPr>
      </w:pPr>
    </w:p>
    <w:p>
      <w:pPr>
        <w:jc w:val="both"/>
        <w:ind w:firstLine="393"/>
        <w:spacing w:after="0" w:line="251" w:lineRule="auto"/>
        <w:rPr>
          <w:sz w:val="20"/>
          <w:szCs w:val="20"/>
          <w:color w:val="auto"/>
        </w:rPr>
      </w:pPr>
      <w:r>
        <w:rPr>
          <w:rFonts w:ascii="Arial" w:cs="Arial" w:eastAsia="Arial" w:hAnsi="Arial"/>
          <w:sz w:val="16"/>
          <w:szCs w:val="16"/>
          <w:color w:val="auto"/>
        </w:rPr>
        <w:t>Annual amortization of internally developed software products meant for sale, lease or otherwise marketing is the greater of the amount computed using the ratio that current gross revenues for a product bear to the total of current and anticipated future gross revenues for that product or the straight-line method over the remaining estimated economic life of the software product, generally estimated to be up to 5 years from the date the product became available for use. Annual amortization of internally developed software products meant for internal use is based on the straight-line method over the estimated useful lives of the internally developed software products. The Company amortizes capitalized implementation costs in a CCA over the life of the service contract.</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Business Combinations, Goodwill and Other Intangible Assets</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 xml:space="preserve">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requires that the acquisition method of accounting be used for all business combinations. The guidance specifies criteria as to intangible assets acquired in a business combination that must be recognized and reported separately from goodwill. Contingent consideration is recognized at its fair value on the acquisition date. 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liability resulting from contingent consideration is re-measured to fair value as of each reporting date until the contingency is resolved, whereby such changes in fair value are recognized in earnings. These fair value measurements represent Level 3 measurements as they are based on significant inputs not observable in the market. Under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all assets and liabilities of the acquired businesses, including goodwill, are assigned to reporting units. Acquisition related costs are expensed as incurred under general and administrative expenses.</w:t>
      </w:r>
    </w:p>
    <w:p>
      <w:pPr>
        <w:spacing w:after="0" w:line="124"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Goodwill represents the cost of the acquired businesses in excess of the fair value of identifiable tangible and intangible net assets purchased in a business combination. Goodwill is not amortized but is tested for impairment at least on an annual basis, relying on a number of factors including operating results, business plans and estimated future cash flows of the reporting units to which it is assigned. The Company undertakes studies to determine the fair values of assets and liabilities acquired and allocate purchase consideration to assets and liabilities, including property and equipment, goodwill and other identifiable intangibles. The Company examines the carrying value of the goodwill annually in the fourth quarter, or more frequently, as circumstances warrant, to determine whether there are any impairment losses. The Company tests for goodwill impairment at the reporting unit level, as that term is defined in U.S. GAAP. The Company also assesses any potential goodwill impairment for all its reporting units immediately prior to any segment changes and reallocates goodwill to its new reporting units using a relative fair value approach.</w:t>
      </w:r>
    </w:p>
    <w:p>
      <w:pPr>
        <w:spacing w:after="0" w:line="129"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 xml:space="preserve">Refer to Note 9 - Business Combinations, Goodwill and Intangible Assets to the consolidated financial statements for discussion of the Company's goodwill impairment testing. The Company adopted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effective January 1, 2018 in conjunction with our goodwill impairment assessment.</w:t>
      </w:r>
    </w:p>
    <w:p>
      <w:pPr>
        <w:spacing w:after="0" w:line="120" w:lineRule="exact"/>
        <w:rPr>
          <w:sz w:val="20"/>
          <w:szCs w:val="20"/>
          <w:color w:val="auto"/>
        </w:rPr>
      </w:pPr>
    </w:p>
    <w:p>
      <w:pPr>
        <w:jc w:val="both"/>
        <w:ind w:firstLine="393"/>
        <w:spacing w:after="0" w:line="277" w:lineRule="auto"/>
        <w:rPr>
          <w:sz w:val="20"/>
          <w:szCs w:val="20"/>
          <w:color w:val="auto"/>
        </w:rPr>
      </w:pPr>
      <w:r>
        <w:rPr>
          <w:rFonts w:ascii="Arial" w:cs="Arial" w:eastAsia="Arial" w:hAnsi="Arial"/>
          <w:sz w:val="16"/>
          <w:szCs w:val="16"/>
          <w:color w:val="auto"/>
        </w:rPr>
        <w:t>The goodwill quantitative impairment test involves a comparison of the fair value of a reporting unit with its carrying amount. The Company estimates the fair value of reporting unit using a combination of the income approach, using discounted cash flow analysis (“DCF model”), and also the market approach, using market multiples for reporting units whereby the fair value is not substantially in excess of carrying value. Under the income approach, fair value is determined based on the present value of estimated future cash flows, discounted at an appropriate risk-adjusted rate. The Company uses its internal forecasts to estimate future cash flows and include an estimate of long-term future growth rates based on its most recent views of the long-term outlook for each business. Actual results may differ from those assumed in our forecasts. Discount rate assumptions are based on an assessment of the risk inherent in the future cash flows of the respective reporting units. The discount rate is mainly based on judgment of the specific risk inherent within each reporting unit. The variables within the discount rate, many of which are outside of the Company’s control, provide the Company’s best estimate of all assumptions applied within the DCF model. The Company also uses the “Market approach” to corroborate the results of the income approach for some of the Company’s reporting units. Under the market approach, the Company estimates fair value based on market multiples of revenues and earnings derived from comparable publicly-traded companies with characteristics similar to the reporting unit and comparable market transactions. The estimates used to calculate the fair value of a reporting unit change from year to year based on operating results, market conditions and other factors. Changes in these estimates and assumptions could materially affect the determination of fair value for each reporting unit.</w:t>
      </w:r>
    </w:p>
    <w:p>
      <w:pPr>
        <w:spacing w:after="0" w:line="124"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Determining fair value requires the use of estimates and exercise of significant judgment, including assumptions about appropriate discount rates, perpetual growth rates, amount and timing of expected future cash flows, market multiples of revenues and earnings and comparable market transactions. These estimates and judgements may not be within the control of the Company and accordingly it is reasonably possible that the estimates and judgments described above could change in future periods. There can be no assurance that operations will achieve the future cash flows reflected in the projections. If the carrying amount of the reporting unit exceeds its fair value, an impairment loss shall be recognized, in an amount equal to that excess, limited to the total amount of goodwill allocated to that reporting unit.</w:t>
      </w:r>
    </w:p>
    <w:p>
      <w:pPr>
        <w:spacing w:after="0" w:line="126" w:lineRule="exact"/>
        <w:rPr>
          <w:sz w:val="20"/>
          <w:szCs w:val="20"/>
          <w:color w:val="auto"/>
        </w:rPr>
      </w:pPr>
    </w:p>
    <w:p>
      <w:pPr>
        <w:jc w:val="both"/>
        <w:ind w:firstLine="393"/>
        <w:spacing w:after="0" w:line="286" w:lineRule="auto"/>
        <w:rPr>
          <w:sz w:val="20"/>
          <w:szCs w:val="20"/>
          <w:color w:val="auto"/>
        </w:rPr>
      </w:pPr>
      <w:r>
        <w:rPr>
          <w:rFonts w:ascii="Arial" w:cs="Arial" w:eastAsia="Arial" w:hAnsi="Arial"/>
          <w:sz w:val="16"/>
          <w:szCs w:val="16"/>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Company’s definite lived intangible assets are amortized over their estimated useful lives as listed below using a straight-line method:</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300" w:type="dxa"/>
            <w:vAlign w:val="bottom"/>
          </w:tcPr>
          <w:p>
            <w:pPr>
              <w:ind w:left="480"/>
              <w:spacing w:after="0"/>
              <w:rPr>
                <w:sz w:val="20"/>
                <w:szCs w:val="20"/>
                <w:color w:val="auto"/>
              </w:rPr>
            </w:pPr>
            <w:r>
              <w:rPr>
                <w:rFonts w:ascii="Arial" w:cs="Arial" w:eastAsia="Arial" w:hAnsi="Arial"/>
                <w:sz w:val="14"/>
                <w:szCs w:val="14"/>
                <w:b w:val="1"/>
                <w:bCs w:val="1"/>
                <w:color w:val="auto"/>
                <w:w w:val="96"/>
              </w:rPr>
              <w:t>Useful Lives</w:t>
            </w:r>
          </w:p>
        </w:tc>
      </w:tr>
      <w:tr>
        <w:trPr>
          <w:trHeight w:val="183"/>
        </w:trPr>
        <w:tc>
          <w:tcPr>
            <w:tcW w:w="84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(in years)</w:t>
            </w:r>
          </w:p>
        </w:tc>
      </w:tr>
      <w:tr>
        <w:trPr>
          <w:trHeight w:val="217"/>
        </w:trPr>
        <w:tc>
          <w:tcPr>
            <w:tcW w:w="84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Customer relationships</w:t>
            </w:r>
          </w:p>
        </w:tc>
        <w:tc>
          <w:tcPr>
            <w:tcW w:w="1300" w:type="dxa"/>
            <w:vAlign w:val="bottom"/>
            <w:shd w:val="clear" w:color="auto" w:fill="CCEEFF"/>
          </w:tcPr>
          <w:p>
            <w:pPr>
              <w:jc w:val="center"/>
              <w:ind w:left="298"/>
              <w:spacing w:after="0"/>
              <w:rPr>
                <w:sz w:val="20"/>
                <w:szCs w:val="20"/>
                <w:color w:val="auto"/>
              </w:rPr>
            </w:pPr>
            <w:r>
              <w:rPr>
                <w:rFonts w:ascii="Arial" w:cs="Arial" w:eastAsia="Arial" w:hAnsi="Arial"/>
                <w:sz w:val="17"/>
                <w:szCs w:val="17"/>
                <w:color w:val="auto"/>
                <w:w w:val="93"/>
              </w:rPr>
              <w:t>7-15</w:t>
            </w:r>
          </w:p>
        </w:tc>
      </w:tr>
      <w:tr>
        <w:trPr>
          <w:trHeight w:val="223"/>
        </w:trPr>
        <w:tc>
          <w:tcPr>
            <w:tcW w:w="8460" w:type="dxa"/>
            <w:vAlign w:val="bottom"/>
          </w:tcPr>
          <w:p>
            <w:pPr>
              <w:ind w:left="400"/>
              <w:spacing w:after="0"/>
              <w:rPr>
                <w:sz w:val="20"/>
                <w:szCs w:val="20"/>
                <w:color w:val="auto"/>
              </w:rPr>
            </w:pPr>
            <w:r>
              <w:rPr>
                <w:rFonts w:ascii="Arial" w:cs="Arial" w:eastAsia="Arial" w:hAnsi="Arial"/>
                <w:sz w:val="17"/>
                <w:szCs w:val="17"/>
                <w:color w:val="auto"/>
              </w:rPr>
              <w:t>Developed technology</w:t>
            </w:r>
          </w:p>
        </w:tc>
        <w:tc>
          <w:tcPr>
            <w:tcW w:w="1300" w:type="dxa"/>
            <w:vAlign w:val="bottom"/>
          </w:tcPr>
          <w:p>
            <w:pPr>
              <w:jc w:val="center"/>
              <w:ind w:left="298"/>
              <w:spacing w:after="0"/>
              <w:rPr>
                <w:sz w:val="20"/>
                <w:szCs w:val="20"/>
                <w:color w:val="auto"/>
              </w:rPr>
            </w:pPr>
            <w:r>
              <w:rPr>
                <w:rFonts w:ascii="Arial" w:cs="Arial" w:eastAsia="Arial" w:hAnsi="Arial"/>
                <w:sz w:val="17"/>
                <w:szCs w:val="17"/>
                <w:color w:val="auto"/>
                <w:w w:val="93"/>
              </w:rPr>
              <w:t>3-10</w:t>
            </w:r>
          </w:p>
        </w:tc>
      </w:tr>
      <w:tr>
        <w:trPr>
          <w:trHeight w:val="236"/>
        </w:trPr>
        <w:tc>
          <w:tcPr>
            <w:tcW w:w="84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Non-compete agreements</w:t>
            </w:r>
          </w:p>
        </w:tc>
        <w:tc>
          <w:tcPr>
            <w:tcW w:w="1300" w:type="dxa"/>
            <w:vAlign w:val="bottom"/>
            <w:shd w:val="clear" w:color="auto" w:fill="CCEEFF"/>
          </w:tcPr>
          <w:p>
            <w:pPr>
              <w:jc w:val="center"/>
              <w:ind w:left="318"/>
              <w:spacing w:after="0"/>
              <w:rPr>
                <w:sz w:val="20"/>
                <w:szCs w:val="20"/>
                <w:color w:val="auto"/>
              </w:rPr>
            </w:pPr>
            <w:r>
              <w:rPr>
                <w:rFonts w:ascii="Arial" w:cs="Arial" w:eastAsia="Arial" w:hAnsi="Arial"/>
                <w:sz w:val="17"/>
                <w:szCs w:val="17"/>
                <w:color w:val="auto"/>
              </w:rPr>
              <w:t>4</w:t>
            </w:r>
          </w:p>
        </w:tc>
      </w:tr>
      <w:tr>
        <w:trPr>
          <w:trHeight w:val="222"/>
        </w:trPr>
        <w:tc>
          <w:tcPr>
            <w:tcW w:w="8460" w:type="dxa"/>
            <w:vAlign w:val="bottom"/>
          </w:tcPr>
          <w:p>
            <w:pPr>
              <w:ind w:left="400"/>
              <w:spacing w:after="0"/>
              <w:rPr>
                <w:sz w:val="20"/>
                <w:szCs w:val="20"/>
                <w:color w:val="auto"/>
              </w:rPr>
            </w:pPr>
            <w:r>
              <w:rPr>
                <w:rFonts w:ascii="Arial" w:cs="Arial" w:eastAsia="Arial" w:hAnsi="Arial"/>
                <w:sz w:val="17"/>
                <w:szCs w:val="17"/>
                <w:color w:val="auto"/>
              </w:rPr>
              <w:t>Trade names and trademarks</w:t>
            </w:r>
          </w:p>
        </w:tc>
        <w:tc>
          <w:tcPr>
            <w:tcW w:w="1300" w:type="dxa"/>
            <w:vAlign w:val="bottom"/>
          </w:tcPr>
          <w:p>
            <w:pPr>
              <w:jc w:val="center"/>
              <w:ind w:left="298"/>
              <w:spacing w:after="0"/>
              <w:rPr>
                <w:sz w:val="20"/>
                <w:szCs w:val="20"/>
                <w:color w:val="auto"/>
              </w:rPr>
            </w:pPr>
            <w:r>
              <w:rPr>
                <w:rFonts w:ascii="Arial" w:cs="Arial" w:eastAsia="Arial" w:hAnsi="Arial"/>
                <w:sz w:val="17"/>
                <w:szCs w:val="17"/>
                <w:color w:val="auto"/>
                <w:w w:val="93"/>
              </w:rPr>
              <w:t>2-10</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 Investment in Equity Affiliate</w:t>
      </w:r>
    </w:p>
    <w:p>
      <w:pPr>
        <w:spacing w:after="0" w:line="172"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Investments in equity affiliate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consolidated statements of income. The Company periodically reviews the carrying value of its investment to determine if there has been any other than temporary decline in carrying value. The investment balance for an investee is increased or decreased for cash contribution and distributions to or from, respectively.</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Impairment of Long-lived Assets</w:t>
      </w:r>
    </w:p>
    <w:p>
      <w:pPr>
        <w:spacing w:after="0" w:line="172"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7"/>
          <w:szCs w:val="17"/>
          <w:color w:val="auto"/>
        </w:rPr>
        <w:t>Long-lived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In turn, measurement of an impairment loss requires a determination of fair value, which is based on the best information available. The Company derives the required undiscounted cash flow estimates from its historical experience and its internal business plans. To determine fair value, the Company follows the discounted cash flow approach and uses its internal cash flow estimates discounted at an appropriate discount rate and independent appraisals, as appropriate. The impairment amount to be recognized is measured as the amount by which the carrying value of the assets exceeds their fair value.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 Derivative Financial Instruments</w:t>
      </w:r>
    </w:p>
    <w:p>
      <w:pPr>
        <w:spacing w:after="0" w:line="17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In the normal course of business, the Company uses derivative instruments for the purpose of mitigating the exposure from risk of foreign currency fluctuation associated with forecasted transactions denominated in certain foreign currencies and to minimize earnings and cash flow volatility associated with changes in foreign currency exchange rates, and not for speculative trading purposes. These derivative contracts are purchased adhering to the Company’s policy and are with counterparties that are highly rated financial institutions.</w:t>
      </w:r>
    </w:p>
    <w:p>
      <w:pPr>
        <w:spacing w:after="0" w:line="124"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Company hedges forecasted transactions that are subject to foreign exchange exposure with foreign currency exchange contracts that qualify as cash flow hedges. Changes in the fair value of these cash flow hedges are recorded as a component of accumulated other comprehensive income/(loss) (“AOCI”), net of tax, until the hedged transactions occurs. The resultant foreign exchange gain/(loss) upon settlement of cash flow hedges are recorded in the consolidated statements of income along with the underlying hedged item in the same line as part of “Cost of revenues,” “General and administrative expenses,” “Selling and marketing expenses,” and “Depreciation and amortization expense,” as applicable.</w:t>
      </w:r>
    </w:p>
    <w:p>
      <w:pPr>
        <w:spacing w:after="0" w:line="12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Company evaluates hedge effectiveness of cash flow hedges at the time a contract is entered into as well as on an ongoing basis. For hedge relationships that are discontinued because the forecasted transaction is not expected to occur by the end of the originally specified period, any related derivative amounts recorded in equity are reclassified to earnings.</w:t>
      </w:r>
    </w:p>
    <w:p>
      <w:pPr>
        <w:spacing w:after="0" w:line="120"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Company uses derivatives instruments consisting of foreign currency exchange contracts to economically hedge intercompany balances and other monetary assets or liabilities denominated in currencies other than the functional currency, against the risk of foreign currency fluctuations associated with remeasurement of such assets and liabilities to functional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currency. Changes in the fair value of these derivatives are recognized in the consolidated statements of income and are included in foreign exchange gain/(loss).</w:t>
      </w:r>
    </w:p>
    <w:p>
      <w:pPr>
        <w:spacing w:after="0" w:line="106" w:lineRule="exact"/>
        <w:rPr>
          <w:sz w:val="20"/>
          <w:szCs w:val="20"/>
          <w:color w:val="auto"/>
        </w:rPr>
      </w:pPr>
    </w:p>
    <w:p>
      <w:pPr>
        <w:jc w:val="both"/>
        <w:ind w:firstLine="433"/>
        <w:spacing w:after="0" w:line="322" w:lineRule="auto"/>
        <w:rPr>
          <w:sz w:val="20"/>
          <w:szCs w:val="20"/>
          <w:color w:val="auto"/>
        </w:rPr>
      </w:pPr>
      <w:r>
        <w:rPr>
          <w:rFonts w:ascii="Arial" w:cs="Arial" w:eastAsia="Arial" w:hAnsi="Arial"/>
          <w:sz w:val="16"/>
          <w:szCs w:val="16"/>
          <w:color w:val="auto"/>
        </w:rPr>
        <w:t>The Company also uses forward contracts designated as net investment hedges to hedge the foreign currency risks related to the Company's investment in foreign subsidiaries. Gains and losses on these forward contracts are recognized in AOCI as part of the foreign currency translation adjustment.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 Borrowings</w:t>
      </w:r>
    </w:p>
    <w:p>
      <w:pPr>
        <w:spacing w:after="0" w:line="172"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 xml:space="preserve">The Company accounts for convertible notes in accordance with the guidelines established by the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xml:space="preserve"> The Company separates the convertible notes into liability and equity components. The Beneficial Conversion Feature ("BCF") of a convertible note, which is the equity component and recorded as additional paid-in capital, is normally characterized as the convertible portion or feature of certain notes payable that provide a rate of conversion that is below market value or in-the-money when issued. The Company records a BCF related to the issuance of a convertible note when issued.</w:t>
      </w:r>
    </w:p>
    <w:p>
      <w:pPr>
        <w:spacing w:after="0" w:line="12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 xml:space="preserve">If a convertible note is within the scope of the Cash Conversion Subsections and contains embedded features other than the embedded conversion option, the guidance in ASC 815-15, </w:t>
      </w:r>
      <w:r>
        <w:rPr>
          <w:rFonts w:ascii="Arial" w:cs="Arial" w:eastAsia="Arial" w:hAnsi="Arial"/>
          <w:sz w:val="17"/>
          <w:szCs w:val="17"/>
          <w:i w:val="1"/>
          <w:iCs w:val="1"/>
          <w:color w:val="auto"/>
        </w:rPr>
        <w:t>Derivatives and Hedging - Embedded Derivatives</w:t>
      </w:r>
      <w:r>
        <w:rPr>
          <w:rFonts w:ascii="Arial" w:cs="Arial" w:eastAsia="Arial" w:hAnsi="Arial"/>
          <w:sz w:val="17"/>
          <w:szCs w:val="17"/>
          <w:color w:val="auto"/>
        </w:rPr>
        <w:t xml:space="preserve"> (ASC 815-15), is applied to determine if any of those features must be separately accounted for as a derivative instrument.</w:t>
      </w:r>
    </w:p>
    <w:p>
      <w:pPr>
        <w:spacing w:after="0" w:line="120"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estimated fair value of the liability component at issuance is determined using a discounted cash flow technique, which considers debt issuances with similar features of the Company’s convertible notes, excluding the conversion feature. The excess of the gross proceeds received over the estimated fair value of the liability component is allocated to the BCF, which is credited to additional paid-in-capital, with a corresponding offset recognized as a discount to reduce the net carrying value of the convertible notes. The discount is amortized to interest expense over the expected term of the convertible notes using the effective interest method.</w:t>
      </w:r>
    </w:p>
    <w:p>
      <w:pPr>
        <w:spacing w:after="0" w:line="127" w:lineRule="exact"/>
        <w:rPr>
          <w:sz w:val="20"/>
          <w:szCs w:val="20"/>
          <w:color w:val="auto"/>
        </w:rPr>
      </w:pPr>
    </w:p>
    <w:p>
      <w:pPr>
        <w:jc w:val="both"/>
        <w:ind w:firstLine="393"/>
        <w:spacing w:after="0" w:line="305" w:lineRule="auto"/>
        <w:rPr>
          <w:sz w:val="20"/>
          <w:szCs w:val="20"/>
          <w:color w:val="auto"/>
        </w:rPr>
      </w:pPr>
      <w:r>
        <w:rPr>
          <w:rFonts w:ascii="Arial" w:cs="Arial" w:eastAsia="Arial" w:hAnsi="Arial"/>
          <w:sz w:val="15"/>
          <w:szCs w:val="15"/>
          <w:color w:val="auto"/>
        </w:rPr>
        <w:t>Pursuant to ASC Subtopic 470-20, total consideration paid for the settlement of an existing convertible note is separated into liability and equity components. The fair value of the liability component is estimated using a discounted cash flow technique, which considers debt issuances with terms similar to that of the Company’s debt, however without the conversion feature. The excess of consideration over the fair value of the liability component is assigned to the equity component. The effective interest rate used to estimate the fair value of the liability component is based on the income and market based approaches, adjusted for the remaining tenor of the extinguished debt. The difference between the fair value and the carrying value of the extinguished debt, net of the unamortized debt discount and unamortized debt issuance costs, is recorded as a gain or loss on settlement in the consolidated statements of income.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 Employee Benefits</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Contributions to defined contribution plans are charged to the consolidated statements of income in the period in which services are rendered by the covered employees. Current service costs for defined benefit plans are recognized in the period to which they relate. The liability in respect of defined benefit plans is calculated annually by the Company using the projected unit credit method.</w:t>
      </w:r>
    </w:p>
    <w:p>
      <w:pPr>
        <w:spacing w:after="0" w:line="120"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The Company records annual amounts relating to its defined benefit plans based on calculations that incorporate various actuarial and other assumptions, including discount rates, mortality, assumed rates of return on plan assets, future compensation increases and attrition rates. The Company reviews its assumptions on an annual basis and makes modifications to the assumptions based on current rates and trends when it is appropriate to do so. The effect of modifications to those assumptions is recorded in other comprehensive income (loss) and amortized to net periodic benefit cost over the expected remaining period of service of the covered employees using the corridor method. The Company believes that the assumptions utilized in recording its obligations under its plans are reasonable based on its experience and market conditions. These assumptions may not be within the control of the Company and accordingly it is reasonably possible that these assumptions could change in future periods.</w:t>
      </w:r>
    </w:p>
    <w:p>
      <w:pPr>
        <w:spacing w:after="0" w:line="118"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Company includes the service cost component of the net periodic benefit cost in the same line item or items as other compensation costs arising from services rendered by the respective employees during the period. The interest cost, expected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return on plan assets and amortization of actuarial gains/loss, are included in “Other income, net.” Refer to Note 19 - Employee Benefit Plans to the consolidated financial statements for details.</w:t>
      </w:r>
    </w:p>
    <w:p>
      <w:pPr>
        <w:spacing w:after="0" w:line="10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Company recognizes its liabilities for compensated absences depending on whether the obligation is attributable to employee services already rendered, rights to compensated absences vest or accumulate and payment is probable and estimable.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 Stock-Based Compensation</w:t>
      </w:r>
    </w:p>
    <w:p>
      <w:pPr>
        <w:spacing w:after="0" w:line="159" w:lineRule="exact"/>
        <w:rPr>
          <w:sz w:val="20"/>
          <w:szCs w:val="20"/>
          <w:color w:val="auto"/>
        </w:rPr>
      </w:pPr>
    </w:p>
    <w:p>
      <w:pPr>
        <w:jc w:val="both"/>
        <w:ind w:firstLine="393"/>
        <w:spacing w:after="0" w:line="237" w:lineRule="auto"/>
        <w:rPr>
          <w:sz w:val="20"/>
          <w:szCs w:val="20"/>
          <w:color w:val="auto"/>
        </w:rPr>
      </w:pPr>
      <w:r>
        <w:rPr>
          <w:rFonts w:ascii="Arial" w:cs="Arial" w:eastAsia="Arial" w:hAnsi="Arial"/>
          <w:sz w:val="17"/>
          <w:szCs w:val="17"/>
          <w:color w:val="auto"/>
        </w:rPr>
        <w:t>The Company recognizes stock-based compensation expense in the consolidated statements of income for awards of equity instruments to employees and non-employee directors based on the grant-date fair value of those awards. The Company recognizes these compensation costs on straight-line basis over the requisite service period of the award, or to the date on which retirement eligibility is achieved, if shorter. Forfeitures are accounted when the actual forfeitures occur.</w:t>
      </w:r>
    </w:p>
    <w:p>
      <w:pPr>
        <w:spacing w:after="0" w:line="133"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Under the Company’s 2018 Omnibus Incentive Plan (the “2018 Plan”), which was adopted by the Company's stockholders on June 15, 2018, which replaces and supersedes the 2015 Amendment and Restatement of the Company’s 2006 Omnibus Award Plan (the “Prior Plan”) and is effective upon the date approved by the Company’s stockholders, the Company grants performance-based restricted stock units (“PRSUs”) to executive officers and other specified employees. Generally the grants provide that 50% of the PRSUs cliff vest based on an aggregated revenue target (“PU”) for a three-year period. The remaining 50% vest based on a market condition (“MUs”) that is contingent on meeting or exceeding the Company's total shareholder return relative to a group of peer companies specified under the program, measured over a three-year performance period. The award recipient may earn up to 200% of the PRSUs granted based on the actual achievement of both targets. However, the features of the equity incentive compensation program are subject to change by the Compensation Committee of our Board of Directors.</w:t>
      </w:r>
    </w:p>
    <w:p>
      <w:pPr>
        <w:spacing w:after="0" w:line="129"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The fair value of each PU is determined based on the market price of one common share of the Company on the day prior to the date of grant, and the associated compensation expense is calculated on the basis that performance targets at 100% are probable of being achieved. The compensation expense for the PUs is recognized on a straight-line basis over the service period, which is through the end of the third year. Over this period, the number of shares that will be issued is adjusted upward or downward based upon the probability of achievement of the performance targets. The final number of shares issued and the related compensation cost recognized as an expense will be based on a comparison of the final performance metrics to the specified targets. The expense related to the unvested PUs as of December 31, 2021 was based on the Company's assessment of performance criteria for these grants that would most likely be met during the respective years of vesting against the targeted performance level.</w:t>
      </w:r>
    </w:p>
    <w:p>
      <w:pPr>
        <w:spacing w:after="0" w:line="11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grant date fair value for the MUs is determined using a Monte Carlo simulation model and the related compensation expense is expensed on a straight-line basis over the vesting period. All compensation expense related to the MUs will be recognized if the requisite performance period is fulfilled, regardless of the extent of the market condition achieved.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 Income Taxes</w:t>
      </w:r>
    </w:p>
    <w:p>
      <w:pPr>
        <w:spacing w:after="0" w:line="159" w:lineRule="exact"/>
        <w:rPr>
          <w:sz w:val="20"/>
          <w:szCs w:val="20"/>
          <w:color w:val="auto"/>
        </w:rPr>
      </w:pPr>
    </w:p>
    <w:p>
      <w:pPr>
        <w:jc w:val="both"/>
        <w:ind w:firstLine="393"/>
        <w:spacing w:after="0" w:line="246" w:lineRule="auto"/>
        <w:rPr>
          <w:sz w:val="20"/>
          <w:szCs w:val="20"/>
          <w:color w:val="auto"/>
        </w:rPr>
      </w:pPr>
      <w:r>
        <w:rPr>
          <w:rFonts w:ascii="Arial" w:cs="Arial" w:eastAsia="Arial" w:hAnsi="Arial"/>
          <w:sz w:val="16"/>
          <w:szCs w:val="16"/>
          <w:color w:val="auto"/>
        </w:rPr>
        <w:t>The Company accounts for income taxes using the asset and liability method of accounting for income taxes. 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statements of income in the period in which the change is identified. The Company releases the tax effects from AOCI at the time of reclassification of cash flows hedges gains/ (losses) from AOCI to the consolidated statements of income. Deferred tax assets are reduced by a valuation allowance if, based on available evidence, it is more likely than not that some portion or all of the deferred tax assets will not be realized.</w:t>
      </w:r>
    </w:p>
    <w:p>
      <w:pPr>
        <w:spacing w:after="0" w:line="130"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Company establishes provisions for uncertain tax provisions and related interest and penalties when the Company believes those tax positions are not more likely than not of being sustained, if challenged.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  Financial Instruments and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i w:val="1"/>
          <w:iCs w:val="1"/>
          <w:color w:val="auto"/>
        </w:rPr>
        <w:t>Financial Instruments</w:t>
      </w:r>
      <w:r>
        <w:rPr>
          <w:rFonts w:ascii="Arial" w:cs="Arial" w:eastAsia="Arial" w:hAnsi="Arial"/>
          <w:sz w:val="20"/>
          <w:szCs w:val="20"/>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For certain financial instruments, including cash and cash equivalents, short-term investments (except investment in mutual funds,</w:t>
      </w:r>
      <w:r>
        <w:rPr>
          <w:rFonts w:ascii="Arial" w:cs="Arial" w:eastAsia="Arial" w:hAnsi="Arial"/>
          <w:sz w:val="17"/>
          <w:szCs w:val="17"/>
          <w:i w:val="1"/>
          <w:iCs w:val="1"/>
          <w:color w:val="auto"/>
        </w:rPr>
        <w:t xml:space="preserve"> </w:t>
      </w:r>
      <w:r>
        <w:rPr>
          <w:rFonts w:ascii="Arial" w:cs="Arial" w:eastAsia="Arial" w:hAnsi="Arial"/>
          <w:sz w:val="17"/>
          <w:szCs w:val="17"/>
          <w:color w:val="auto"/>
        </w:rPr>
        <w:t>as disclosed in Note 15), restricted cash, accounts receivable, accrued interest on term deposits, accrued capital expenditures, accrued expenses and interest payable on borrowings for which fair values approximate their carrying amounts due to their short-term nature. The carrying value of the Company’s outstanding revolving credit facility approximates its fair value because the Company’s interest rate yield is near current market rates for comparable debt instruments.</w:t>
      </w:r>
    </w:p>
    <w:p>
      <w:pPr>
        <w:spacing w:after="0" w:line="129" w:lineRule="exact"/>
        <w:rPr>
          <w:sz w:val="20"/>
          <w:szCs w:val="20"/>
          <w:color w:val="auto"/>
        </w:rPr>
      </w:pPr>
    </w:p>
    <w:p>
      <w:pPr>
        <w:jc w:val="both"/>
        <w:ind w:firstLine="393"/>
        <w:spacing w:after="0" w:line="261" w:lineRule="auto"/>
        <w:rPr>
          <w:sz w:val="20"/>
          <w:szCs w:val="20"/>
          <w:color w:val="auto"/>
        </w:rPr>
      </w:pPr>
      <w:r>
        <w:rPr>
          <w:rFonts w:ascii="Arial" w:cs="Arial" w:eastAsia="Arial" w:hAnsi="Arial"/>
          <w:sz w:val="17"/>
          <w:szCs w:val="17"/>
          <w:i w:val="1"/>
          <w:iCs w:val="1"/>
          <w:color w:val="auto"/>
        </w:rPr>
        <w:t>Concentration of Credit Risk</w:t>
      </w:r>
      <w:r>
        <w:rPr>
          <w:rFonts w:ascii="Arial" w:cs="Arial" w:eastAsia="Arial" w:hAnsi="Arial"/>
          <w:sz w:val="17"/>
          <w:szCs w:val="17"/>
          <w:color w:val="auto"/>
        </w:rPr>
        <w:t>. Financial instruments that potentially subject the Company to concentrations of credit risk consist principally of cash and</w:t>
      </w:r>
      <w:r>
        <w:rPr>
          <w:rFonts w:ascii="Arial" w:cs="Arial" w:eastAsia="Arial" w:hAnsi="Arial"/>
          <w:sz w:val="17"/>
          <w:szCs w:val="17"/>
          <w:i w:val="1"/>
          <w:iCs w:val="1"/>
          <w:color w:val="auto"/>
        </w:rPr>
        <w:t xml:space="preserve"> </w:t>
      </w:r>
      <w:r>
        <w:rPr>
          <w:rFonts w:ascii="Arial" w:cs="Arial" w:eastAsia="Arial" w:hAnsi="Arial"/>
          <w:sz w:val="17"/>
          <w:szCs w:val="17"/>
          <w:color w:val="auto"/>
        </w:rPr>
        <w:t>cash equivalents, time deposits, mutual fund investments, accounts receivable and derivative financial instruments. By their nature, all such financial instruments involve risks including the credit risks of non-performance by counterparties. Pursuant to the Company’s investment policy, surplus funds are maintained as cash equivalents and short- term investments, and are invested in highly-rated mutual funds, money market accounts and time deposits, placed with highly rated financial institutions to reduce its exposure to market risk with regard to these funds. The Company’s exposure to credit risk on account receivable is influenced mainly by the individual characteristic of each customer and the concentration of risk from the top few customer</w:t>
      </w:r>
      <w:r>
        <w:rPr>
          <w:rFonts w:ascii="Arial" w:cs="Arial" w:eastAsia="Arial" w:hAnsi="Arial"/>
          <w:sz w:val="13"/>
          <w:szCs w:val="13"/>
          <w:color w:val="auto"/>
        </w:rPr>
        <w:t>s.</w:t>
      </w:r>
      <w:r>
        <w:rPr>
          <w:rFonts w:ascii="Arial" w:cs="Arial" w:eastAsia="Arial" w:hAnsi="Arial"/>
          <w:sz w:val="17"/>
          <w:szCs w:val="17"/>
          <w:color w:val="auto"/>
        </w:rPr>
        <w:t xml:space="preserve"> To mitigate this risk the Company evaluates the creditworthiness of its clients in conjunction with its revenue recognition processes as well as through its ongoing collectability assessment processes for accounts receivable. The Company does not enter into or trade financial instruments, including derivative financial instruments, for speculative purposes.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  Leases</w:t>
      </w:r>
    </w:p>
    <w:p>
      <w:pPr>
        <w:spacing w:after="0" w:line="159" w:lineRule="exact"/>
        <w:rPr>
          <w:sz w:val="20"/>
          <w:szCs w:val="20"/>
          <w:color w:val="auto"/>
        </w:rPr>
      </w:pPr>
    </w:p>
    <w:p>
      <w:pPr>
        <w:jc w:val="both"/>
        <w:ind w:firstLine="393"/>
        <w:spacing w:after="0" w:line="233" w:lineRule="auto"/>
        <w:rPr>
          <w:sz w:val="20"/>
          <w:szCs w:val="20"/>
          <w:color w:val="auto"/>
        </w:rPr>
      </w:pPr>
      <w:r>
        <w:rPr>
          <w:rFonts w:ascii="Arial" w:cs="Arial" w:eastAsia="Arial" w:hAnsi="Arial"/>
          <w:sz w:val="17"/>
          <w:szCs w:val="17"/>
          <w:color w:val="auto"/>
        </w:rPr>
        <w:t>The Company determines if an arrangement is a lease at inception of the contract. The Company’s assessment is based on whether: (1) the contract involves the use of a distinct identified asset, (2) the Company obtains the right to substantially all the economic benefit from the use of the asset throughout the term of the contract, and (3) the Company has the right to direct the use of the asset. A lease is classified as a finance lease if any one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or (4) the present value of the lease payments equals or exceeds substantially all of the fair value of the asset.</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Operating leases are recorded in “Operating lease right-of-use assets,” “Current portion of operating lease liabilities” and “Operating lease liabilities, less</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current portion” in the Company's consolidated balance sheets. Long-lived assets underlying finance leases are recorded in “Property and equipment” and the current and non-current portion of finance lease liabilities are presented within “Accrued expenses and other current liabilities” and “other non-current liabilities,” respectively, in the Company's consolidated balance sheets.</w:t>
      </w:r>
    </w:p>
    <w:p>
      <w:pPr>
        <w:spacing w:after="0" w:line="132"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ROU assets represent the Company’s right to use an underlying asset during the lease term and lease liabilities represent the Company’s obligation to make lease payments arising from the lease arrangement. Operating lease ROU assets and liabilities are recognized at commencement date based on the present value of lease payments over the lease term. For leases in which the rate implicit in the lease is not readily determinable, the Company uses its incremental borrowing rate based on the information available at commencement date for determining the present value of lease payments. Lease terms includes the effects of options to extend or terminate the lease when it is reasonably certain that the Company will exercise that option. Lease expense for operating lease arrangements is recognized on a straight-line basis over the lease term. The Company has lease agreements with lease and non-lease components, which are accounted for separately.</w:t>
      </w:r>
    </w:p>
    <w:p>
      <w:pPr>
        <w:spacing w:after="0" w:line="132" w:lineRule="exact"/>
        <w:rPr>
          <w:sz w:val="20"/>
          <w:szCs w:val="20"/>
          <w:color w:val="auto"/>
        </w:rPr>
      </w:pPr>
    </w:p>
    <w:p>
      <w:pPr>
        <w:jc w:val="both"/>
        <w:ind w:firstLine="393"/>
        <w:spacing w:after="0" w:line="322" w:lineRule="auto"/>
        <w:rPr>
          <w:sz w:val="20"/>
          <w:szCs w:val="20"/>
          <w:color w:val="auto"/>
        </w:rPr>
      </w:pPr>
      <w:r>
        <w:rPr>
          <w:rFonts w:ascii="Arial" w:cs="Arial" w:eastAsia="Arial" w:hAnsi="Arial"/>
          <w:sz w:val="16"/>
          <w:szCs w:val="16"/>
          <w:color w:val="auto"/>
        </w:rPr>
        <w:t xml:space="preserve">The Company accounts for lease-related concessions to mitigate the economic effects of COVID-19 on lessees in accordance with guidance in Topic 842, </w:t>
      </w:r>
      <w:r>
        <w:rPr>
          <w:rFonts w:ascii="Arial" w:cs="Arial" w:eastAsia="Arial" w:hAnsi="Arial"/>
          <w:sz w:val="16"/>
          <w:szCs w:val="16"/>
          <w:i w:val="1"/>
          <w:iCs w:val="1"/>
          <w:color w:val="auto"/>
        </w:rPr>
        <w:t>Leases</w:t>
      </w:r>
      <w:r>
        <w:rPr>
          <w:rFonts w:ascii="Arial" w:cs="Arial" w:eastAsia="Arial" w:hAnsi="Arial"/>
          <w:sz w:val="16"/>
          <w:szCs w:val="16"/>
          <w:color w:val="auto"/>
        </w:rPr>
        <w:t>, to determine, on a lease-by-lease basis, whether the concession provided by lessor should be accounted for as a lease modification.</w:t>
      </w:r>
    </w:p>
    <w:p>
      <w:pPr>
        <w:spacing w:after="0" w:line="83"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The Company accounts for a modification as a separate contract when it grants an additional right of use not included in the original lease and the increase is commensurate with the standalone price for the additional right of use, adjusted for the circumstances of the particular contract. Modifications which are not accounted for as a separate contract are reassessed as of the effective date of the modification based on its modified terms and conditions and the facts and circumstances as of that date. Upon modification, the Company remeasures the lease liability to reflect changes to the remaining lease payments and discount rates and recognizes the amount of the remeasurement of the lease liability as an adjustment to the ROU assets. However, if the carrying amount of the ROU assets is reduced to zero as a result of modification, any remaining amount of the remeasurement is recognized as an expense in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Company reviews ROU assets for impairment whenever events or changes in circumstances indicate that the related carrying amount may not be recoverable.</w:t>
      </w:r>
    </w:p>
    <w:p>
      <w:pPr>
        <w:spacing w:after="0" w:line="106"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i w:val="1"/>
          <w:iCs w:val="1"/>
          <w:color w:val="auto"/>
        </w:rPr>
        <w:t>(t)</w:t>
      </w:r>
      <w:r>
        <w:rPr>
          <w:sz w:val="20"/>
          <w:szCs w:val="20"/>
          <w:color w:val="auto"/>
        </w:rPr>
        <w:tab/>
      </w:r>
      <w:r>
        <w:rPr>
          <w:rFonts w:ascii="Arial" w:cs="Arial" w:eastAsia="Arial" w:hAnsi="Arial"/>
          <w:sz w:val="15"/>
          <w:szCs w:val="15"/>
          <w:b w:val="1"/>
          <w:bCs w:val="1"/>
          <w:i w:val="1"/>
          <w:iCs w:val="1"/>
          <w:color w:val="auto"/>
        </w:rPr>
        <w:t>Government Grants</w:t>
      </w:r>
    </w:p>
    <w:p>
      <w:pPr>
        <w:spacing w:after="0" w:line="17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Government grants related to income are recognized as a reduction of expenses in the consolidated statements of income when there is a reasonable assurance that the entity will comply with the conditions attached to the grant and that the grants will be received.</w:t>
      </w:r>
    </w:p>
    <w:p>
      <w:pPr>
        <w:spacing w:after="0" w:line="106" w:lineRule="exact"/>
        <w:rPr>
          <w:sz w:val="20"/>
          <w:szCs w:val="20"/>
          <w:color w:val="auto"/>
        </w:rPr>
      </w:pPr>
    </w:p>
    <w:p>
      <w:pPr>
        <w:jc w:val="both"/>
        <w:ind w:firstLine="393"/>
        <w:spacing w:after="0" w:line="305" w:lineRule="auto"/>
        <w:rPr>
          <w:sz w:val="20"/>
          <w:szCs w:val="20"/>
          <w:color w:val="auto"/>
        </w:rPr>
      </w:pPr>
      <w:r>
        <w:rPr>
          <w:rFonts w:ascii="Arial" w:cs="Arial" w:eastAsia="Arial" w:hAnsi="Arial"/>
          <w:sz w:val="15"/>
          <w:szCs w:val="15"/>
          <w:color w:val="auto"/>
        </w:rPr>
        <w:t>Certain units of our Indian subsidiaries were established as 100% Export-Oriented units under the Software Technology Parks of India (“STPI”) or Special Economic Zone ("SEZ") scheme promulgated by the Government of India. These units enjoy exemption from payment of customs, central excise duties, and levies on imported and indigenous capital goods, subject to certain performance conditions being fulfilled by these units. Such exemption is considered as a government grant. Grants from the government are recognized when there is reasonable assurance that these units will comply with those conditions. The carrying amount of an item of property and equipment is reduced by government grants received (i.e. the asset is accounted for on the basis of its net acquisition cost). The grant is recognized in the consolidated statements of income over the life of the depreciable asset in the form of reduced depreciation expense.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 Earnings per share</w:t>
      </w:r>
    </w:p>
    <w:p>
      <w:pPr>
        <w:spacing w:after="0" w:line="172"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Basic earnings per share is computed using the weighted average number of common shares outstanding, adjusted for outstanding shares that are subject to repurchase during the period. Diluted earnings per share is computed using the weighted average number of common and dilutive common equivalent shares outstanding during the period. For the purposes of calculating diluted earnings per share, the treasury stock method is used for stock-based awards and outstanding convertible notes except where the results would be anti-dilutive.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26"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 Company calculates the dilutive effect of convertible notes using the treasury stock method through the maturity date of the convertible notes, if it has the intent and ability to settle the principal amount of the outstanding convertible notes in cash. Under the treasury stock method, the convertible notes shall have a dilutive impact related to the conversion premium, if any, on diluted earnings per share to the extent the issuance is dilutive based on the average market price of our common stock for a reporting period being greater the conversion price.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  Commitments and contingencies</w:t>
      </w:r>
    </w:p>
    <w:p>
      <w:pPr>
        <w:spacing w:after="0" w:line="17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recorded when it is probable that a liability has been incurred and the amount of the assessment and/or remediation can be reasonably estimated. Legal costs incurred in connection with such liabilities are expensed as incurred.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 Recent Accounting Pronouncements</w:t>
      </w:r>
    </w:p>
    <w:p>
      <w:pPr>
        <w:spacing w:after="0" w:line="159"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6"/>
          <w:szCs w:val="16"/>
          <w:color w:val="auto"/>
        </w:rPr>
        <w:t xml:space="preserve">In March 2020, Financial Accounting Standard Board (“FASB”) issued Accounting Standard Update (“ASU”) No. 2020-04, </w:t>
      </w:r>
      <w:r>
        <w:rPr>
          <w:rFonts w:ascii="Arial" w:cs="Arial" w:eastAsia="Arial" w:hAnsi="Arial"/>
          <w:sz w:val="16"/>
          <w:szCs w:val="16"/>
          <w:i w:val="1"/>
          <w:iCs w:val="1"/>
          <w:color w:val="auto"/>
        </w:rPr>
        <w:t>Reference Rate Reform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848)</w:t>
      </w:r>
      <w:r>
        <w:rPr>
          <w:rFonts w:ascii="Arial" w:cs="Arial" w:eastAsia="Arial" w:hAnsi="Arial"/>
          <w:sz w:val="16"/>
          <w:szCs w:val="16"/>
          <w:color w:val="auto"/>
        </w:rPr>
        <w:t>:</w:t>
      </w:r>
      <w:r>
        <w:rPr>
          <w:rFonts w:ascii="Arial" w:cs="Arial" w:eastAsia="Arial" w:hAnsi="Arial"/>
          <w:sz w:val="16"/>
          <w:szCs w:val="16"/>
          <w:i w:val="1"/>
          <w:iCs w:val="1"/>
          <w:color w:val="auto"/>
        </w:rPr>
        <w:t xml:space="preserve"> Facilitation of the Effects of Reference Rate Reform on Financial Reporting</w:t>
      </w:r>
      <w:r>
        <w:rPr>
          <w:rFonts w:ascii="Arial" w:cs="Arial" w:eastAsia="Arial" w:hAnsi="Arial"/>
          <w:sz w:val="16"/>
          <w:szCs w:val="16"/>
          <w:color w:val="auto"/>
        </w:rPr>
        <w:t>. This ASU provides optional guidance for a limited period of time to ease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accounting impacts associated with transitioning away from reference rates that are expected to be discontinued, such as interbank offered rates and London Inter-Bank Offered Rate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The Company is currently evaluating the impact of this ASU on its consolidated financial statements.</w:t>
      </w:r>
    </w:p>
    <w:p>
      <w:pPr>
        <w:spacing w:after="0" w:line="127"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 xml:space="preserve">In October 2021, FASB issued ASU No. 2021-08,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This ASU provides guidance in Topic 805 to require the acquirer entity to recognize and measure contract assets and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liabilities acquired in a business combination in accordance with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if it had originated the contracts. Generally, this should result in an acquirer recognizing and measuring the acquired contract assets and contract liabilities consistent with how they were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recognized and measured in the acquiree’s financial statements, if the acquiree prepared financial statements in accordance with U.S. GAAP. The ASU is effective for fiscal years beginning after December 15, 2022. An entity may early adopt the ASU including adoption in an interim period, with retrospective application to all business combinations within the fiscal year that includes such interim period. The Company is currently evaluating the impact of this ASU on its consolidated financial statements.</w:t>
      </w:r>
    </w:p>
    <w:p>
      <w:pPr>
        <w:spacing w:after="0" w:line="124"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i w:val="1"/>
          <w:iCs w:val="1"/>
          <w:color w:val="auto"/>
        </w:rPr>
        <w:t>(x)</w:t>
      </w:r>
      <w:r>
        <w:rPr>
          <w:sz w:val="20"/>
          <w:szCs w:val="20"/>
          <w:color w:val="auto"/>
        </w:rPr>
        <w:tab/>
      </w:r>
      <w:r>
        <w:rPr>
          <w:rFonts w:ascii="Arial" w:cs="Arial" w:eastAsia="Arial" w:hAnsi="Arial"/>
          <w:sz w:val="14"/>
          <w:szCs w:val="14"/>
          <w:b w:val="1"/>
          <w:bCs w:val="1"/>
          <w:i w:val="1"/>
          <w:iCs w:val="1"/>
          <w:color w:val="auto"/>
        </w:rPr>
        <w:t>Recently Adopted Accounting Pronouncements</w:t>
      </w:r>
    </w:p>
    <w:p>
      <w:pPr>
        <w:spacing w:after="0" w:line="145" w:lineRule="exact"/>
        <w:rPr>
          <w:sz w:val="20"/>
          <w:szCs w:val="20"/>
          <w:color w:val="auto"/>
        </w:rPr>
      </w:pPr>
    </w:p>
    <w:p>
      <w:pPr>
        <w:jc w:val="both"/>
        <w:ind w:firstLine="393"/>
        <w:spacing w:after="0" w:line="237" w:lineRule="auto"/>
        <w:rPr>
          <w:sz w:val="20"/>
          <w:szCs w:val="20"/>
          <w:color w:val="auto"/>
        </w:rPr>
      </w:pPr>
      <w:r>
        <w:rPr>
          <w:rFonts w:ascii="Arial" w:cs="Arial" w:eastAsia="Arial" w:hAnsi="Arial"/>
          <w:sz w:val="17"/>
          <w:szCs w:val="17"/>
          <w:color w:val="auto"/>
        </w:rPr>
        <w:t xml:space="preserve">In December 2019, FASB issued ASU No. 2019-12, </w:t>
      </w:r>
      <w:r>
        <w:rPr>
          <w:rFonts w:ascii="Arial" w:cs="Arial" w:eastAsia="Arial" w:hAnsi="Arial"/>
          <w:sz w:val="17"/>
          <w:szCs w:val="17"/>
          <w:i w:val="1"/>
          <w:iCs w:val="1"/>
          <w:color w:val="auto"/>
        </w:rPr>
        <w:t>Income Taxes Simplifying the Accounting for Income Taxes</w:t>
      </w:r>
      <w:r>
        <w:rPr>
          <w:rFonts w:ascii="Arial" w:cs="Arial" w:eastAsia="Arial" w:hAnsi="Arial"/>
          <w:sz w:val="17"/>
          <w:szCs w:val="17"/>
          <w:color w:val="auto"/>
        </w:rPr>
        <w:t>. This ASU eliminates certain exceptions related to the approach for intraperiod tax allocation, the methodology for calculating income taxes in an interim period and the recognition of deferred tax liabilities for outside basis differences. The Company adopted this ASU on January 1, 2021. The adoption of this ASU did not have a material impact on the Company’s consolidated financial statements.</w:t>
      </w:r>
    </w:p>
    <w:p>
      <w:pPr>
        <w:spacing w:after="0" w:line="133"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 xml:space="preserve">In October 2020, FASB issued ASU No.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to provide guidance for technical corrections such as conforming amendments, clarifications to guidance, simplifications to wording or structure of guidance, and other minor improvements. The amendments in this ASU improve the consistency of the ASC by ensuring that all guidance that requires or provides an option for an entity to provide information in the notes to financial statements is codified in the disclosure section of the ASC. The Company adopted this ASU on January 1, 2021. The adoption of this ASU did not have a material impact on the Company’s consolidated financial statements.</w:t>
      </w:r>
    </w:p>
    <w:p>
      <w:pPr>
        <w:spacing w:after="0" w:line="127"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 xml:space="preserve">In January 2021, FASB issued ASU No.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to expand the scope of Topic 848 to include derivative instruments affected by changes to the interest rates used for discounting, margining or contract price alignment (commonly referred to as the discounting transition). This ASU extends some of Topic 848’s optional expedients and exceptions for contract modifications and hedge accounting to derivative instruments impacted by discounting transition as a result of the discontinuation of the use of LIBOR as a benchmark interest rate due to reference rate reform. This ASU is effective immediately for all entities with the option to be applied retrospectively as of any date from the beginning of an interim period that includes or is subsequent to March 12, 2020, and prospectively to any new contract modifications made on or after January 7, 2021 through December 31, 2022. The adoption of this ASU did not have a material impact on the Company’s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Segment and Geographical Information</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is a provider of data analytics and digital operations and solutions.</w:t>
      </w:r>
    </w:p>
    <w:p>
      <w:pPr>
        <w:spacing w:after="0" w:line="172"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color w:val="auto"/>
        </w:rPr>
        <w:t>Effective January 1, 2020, the Company made certain operational and structural changes to more closely integrate its businesses and to simplify its organizational structure. The Company since then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 In line with the Company’s strategy of vertical integration and focus on domain expertise, the Company has integrated its Finance &amp; Accounting and Consulting operating segments within each of the Insurance and Healthcare operating segments based on the corresponding industry-specific clients. Finance &amp; Accounting and Consulting services to clients outside of the Insurance and Healthcare industries are part of the Company’s “Emerging Business” operating segment. In addition, the Company integrated its former Travel, Transportation and Logistics, Banking and Financial Services, and Utilities operating segments under Emerging Business to further leverage and optimize the operating scale in providing digital operations and solutions.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Company’s reportable segments effective January 1, 2020 are as follows:</w:t>
      </w:r>
    </w:p>
    <w:p>
      <w:pPr>
        <w:spacing w:after="0" w:line="172" w:lineRule="exact"/>
        <w:rPr>
          <w:sz w:val="20"/>
          <w:szCs w:val="20"/>
          <w:color w:val="auto"/>
        </w:rPr>
      </w:pPr>
    </w:p>
    <w:p>
      <w:pPr>
        <w:ind w:left="620" w:hanging="300"/>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Insurance,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Healthcare,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Emerging Business,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Analytics</w:t>
      </w:r>
    </w:p>
    <w:p>
      <w:pPr>
        <w:spacing w:after="0" w:line="172" w:lineRule="exact"/>
        <w:rPr>
          <w:sz w:val="20"/>
          <w:szCs w:val="20"/>
          <w:color w:val="auto"/>
        </w:rPr>
      </w:pPr>
    </w:p>
    <w:p>
      <w:pPr>
        <w:jc w:val="both"/>
        <w:ind w:right="100" w:firstLine="315"/>
        <w:spacing w:after="0" w:line="289" w:lineRule="auto"/>
        <w:rPr>
          <w:sz w:val="20"/>
          <w:szCs w:val="20"/>
          <w:color w:val="auto"/>
        </w:rPr>
      </w:pPr>
      <w:r>
        <w:rPr>
          <w:rFonts w:ascii="Arial" w:cs="Arial" w:eastAsia="Arial" w:hAnsi="Arial"/>
          <w:sz w:val="17"/>
          <w:szCs w:val="17"/>
          <w:color w:val="auto"/>
        </w:rPr>
        <w:t>In conjunction with the new reporting structure, the Company has recast its segment disclosures for prior periods presented to conform to the way the Company internally manages and monitors segment performance.</w:t>
      </w:r>
    </w:p>
    <w:p>
      <w:pPr>
        <w:spacing w:after="0" w:line="106" w:lineRule="exact"/>
        <w:rPr>
          <w:sz w:val="20"/>
          <w:szCs w:val="20"/>
          <w:color w:val="auto"/>
        </w:rPr>
      </w:pPr>
    </w:p>
    <w:p>
      <w:pPr>
        <w:jc w:val="both"/>
        <w:ind w:right="100" w:firstLine="315"/>
        <w:spacing w:after="0" w:line="289" w:lineRule="auto"/>
        <w:rPr>
          <w:sz w:val="20"/>
          <w:szCs w:val="20"/>
          <w:color w:val="auto"/>
        </w:rPr>
      </w:pPr>
      <w:r>
        <w:rPr>
          <w:rFonts w:ascii="Arial" w:cs="Arial" w:eastAsia="Arial" w:hAnsi="Arial"/>
          <w:sz w:val="17"/>
          <w:szCs w:val="17"/>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06" w:lineRule="exact"/>
        <w:rPr>
          <w:sz w:val="20"/>
          <w:szCs w:val="20"/>
          <w:color w:val="auto"/>
        </w:rPr>
      </w:pPr>
    </w:p>
    <w:p>
      <w:pPr>
        <w:jc w:val="both"/>
        <w:ind w:right="100" w:firstLine="315"/>
        <w:spacing w:after="0" w:line="273" w:lineRule="auto"/>
        <w:rPr>
          <w:sz w:val="20"/>
          <w:szCs w:val="20"/>
          <w:color w:val="auto"/>
        </w:rPr>
      </w:pPr>
      <w:r>
        <w:rPr>
          <w:rFonts w:ascii="Arial" w:cs="Arial" w:eastAsia="Arial" w:hAnsi="Arial"/>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20" w:lineRule="exact"/>
        <w:rPr>
          <w:sz w:val="20"/>
          <w:szCs w:val="20"/>
          <w:color w:val="auto"/>
        </w:rPr>
      </w:pPr>
    </w:p>
    <w:p>
      <w:pPr>
        <w:jc w:val="both"/>
        <w:ind w:right="100" w:firstLine="315"/>
        <w:spacing w:after="0" w:line="289" w:lineRule="auto"/>
        <w:rPr>
          <w:sz w:val="20"/>
          <w:szCs w:val="20"/>
          <w:color w:val="auto"/>
        </w:rPr>
      </w:pPr>
      <w:r>
        <w:rPr>
          <w:rFonts w:ascii="Arial" w:cs="Arial" w:eastAsia="Arial" w:hAnsi="Arial"/>
          <w:sz w:val="17"/>
          <w:szCs w:val="17"/>
          <w:color w:val="auto"/>
        </w:rPr>
        <w:t>The December 2021 acquisition of Clairvoyant AI Inc. (“Clairvoyant”) is included in the Analytics reportable segment. Refer to Note 9 - Business Combinations, Goodwill and Intangible Assets to the consolidated financial statements for further details.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Revenues and cost of revenues for the years ended December 31, 2021, 2020 and 2019, respectively, for each of the reportable segments, are as follows: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 w:type="dxa"/>
            <w:vAlign w:val="bottom"/>
            <w:tcBorders>
              <w:bottom w:val="single" w:sz="8" w:color="CCEEFF"/>
            </w:tcBorders>
          </w:tcPr>
          <w:p>
            <w:pPr>
              <w:spacing w:after="0"/>
              <w:rPr>
                <w:sz w:val="17"/>
                <w:szCs w:val="17"/>
                <w:color w:val="auto"/>
              </w:rPr>
            </w:pPr>
          </w:p>
        </w:tc>
        <w:tc>
          <w:tcPr>
            <w:tcW w:w="308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 2021</w:t>
            </w:r>
          </w:p>
        </w:tc>
        <w:tc>
          <w:tcPr>
            <w:tcW w:w="9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40"/>
              <w:spacing w:after="0"/>
              <w:rPr>
                <w:sz w:val="20"/>
                <w:szCs w:val="20"/>
                <w:color w:val="auto"/>
              </w:rPr>
            </w:pPr>
            <w:r>
              <w:rPr>
                <w:rFonts w:ascii="Arial" w:cs="Arial" w:eastAsia="Arial" w:hAnsi="Arial"/>
                <w:sz w:val="17"/>
                <w:szCs w:val="17"/>
                <w:b w:val="1"/>
                <w:bCs w:val="1"/>
                <w:color w:val="auto"/>
              </w:rPr>
              <w:t>Insurance</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4"/>
            <w:vMerge w:val="restart"/>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Healthcare</w:t>
            </w:r>
          </w:p>
        </w:tc>
        <w:tc>
          <w:tcPr>
            <w:tcW w:w="1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20"/>
              <w:spacing w:after="0" w:line="177" w:lineRule="exact"/>
              <w:rPr>
                <w:sz w:val="20"/>
                <w:szCs w:val="20"/>
                <w:color w:val="auto"/>
              </w:rPr>
            </w:pPr>
            <w:r>
              <w:rPr>
                <w:rFonts w:ascii="Arial" w:cs="Arial" w:eastAsia="Arial" w:hAnsi="Arial"/>
                <w:sz w:val="17"/>
                <w:szCs w:val="17"/>
                <w:b w:val="1"/>
                <w:bCs w:val="1"/>
                <w:color w:val="auto"/>
              </w:rPr>
              <w:t>Emerging</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spacing w:after="0"/>
              <w:rPr>
                <w:sz w:val="20"/>
                <w:szCs w:val="20"/>
                <w:color w:val="auto"/>
              </w:rPr>
            </w:pPr>
            <w:r>
              <w:rPr>
                <w:rFonts w:ascii="Arial" w:cs="Arial" w:eastAsia="Arial" w:hAnsi="Arial"/>
                <w:sz w:val="17"/>
                <w:szCs w:val="17"/>
                <w:b w:val="1"/>
                <w:bCs w:val="1"/>
                <w:color w:val="auto"/>
              </w:rPr>
              <w:t>Analytics</w:t>
            </w:r>
          </w:p>
        </w:tc>
        <w:tc>
          <w:tcPr>
            <w:tcW w:w="2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93"/>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b w:val="1"/>
                <w:bCs w:val="1"/>
                <w:color w:val="auto"/>
              </w:rPr>
              <w:t>Business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3"/>
          </w:tcPr>
          <w:p>
            <w:pPr>
              <w:ind w:left="20"/>
              <w:spacing w:after="0"/>
              <w:rPr>
                <w:sz w:val="20"/>
                <w:szCs w:val="20"/>
                <w:color w:val="auto"/>
              </w:rPr>
            </w:pPr>
            <w:r>
              <w:rPr>
                <w:rFonts w:ascii="Arial" w:cs="Arial" w:eastAsia="Arial" w:hAnsi="Arial"/>
                <w:sz w:val="17"/>
                <w:szCs w:val="17"/>
                <w:color w:val="auto"/>
              </w:rPr>
              <w:t>Revenues, net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340"/>
              <w:spacing w:after="0"/>
              <w:rPr>
                <w:sz w:val="20"/>
                <w:szCs w:val="20"/>
                <w:color w:val="auto"/>
              </w:rPr>
            </w:pPr>
            <w:r>
              <w:rPr>
                <w:rFonts w:ascii="Arial" w:cs="Arial" w:eastAsia="Arial" w:hAnsi="Arial"/>
                <w:sz w:val="17"/>
                <w:szCs w:val="17"/>
                <w:color w:val="auto"/>
                <w:w w:val="94"/>
              </w:rPr>
              <w:t>381,999</w:t>
            </w:r>
          </w:p>
        </w:tc>
        <w:tc>
          <w:tcPr>
            <w:tcW w:w="580" w:type="dxa"/>
            <w:vAlign w:val="bottom"/>
            <w:gridSpan w:val="3"/>
          </w:tcPr>
          <w:p>
            <w:pPr>
              <w:jc w:val="right"/>
              <w:ind w:right="25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112,386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3"/>
          </w:tcPr>
          <w:p>
            <w:pPr>
              <w:jc w:val="right"/>
              <w:ind w:right="80"/>
              <w:spacing w:after="0"/>
              <w:rPr>
                <w:sz w:val="20"/>
                <w:szCs w:val="20"/>
                <w:color w:val="auto"/>
              </w:rPr>
            </w:pPr>
            <w:r>
              <w:rPr>
                <w:rFonts w:ascii="Arial" w:cs="Arial" w:eastAsia="Arial" w:hAnsi="Arial"/>
                <w:sz w:val="17"/>
                <w:szCs w:val="17"/>
                <w:color w:val="auto"/>
              </w:rPr>
              <w:t>167,236</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460,672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1,122,293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3"/>
            <w:shd w:val="clear" w:color="auto" w:fill="CCEEFF"/>
          </w:tcPr>
          <w:p>
            <w:pPr>
              <w:ind w:left="2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7"/>
                <w:szCs w:val="17"/>
                <w:color w:val="auto"/>
                <w:w w:val="94"/>
              </w:rPr>
              <w:t>239,529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69,760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91,737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289,908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690,934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ind w:left="340"/>
              <w:spacing w:after="0"/>
              <w:rPr>
                <w:sz w:val="20"/>
                <w:szCs w:val="20"/>
                <w:color w:val="auto"/>
              </w:rPr>
            </w:pPr>
            <w:r>
              <w:rPr>
                <w:rFonts w:ascii="Arial" w:cs="Arial" w:eastAsia="Arial" w:hAnsi="Arial"/>
                <w:sz w:val="17"/>
                <w:szCs w:val="17"/>
                <w:color w:val="auto"/>
                <w:w w:val="94"/>
              </w:rPr>
              <w:t>142,470</w:t>
            </w:r>
          </w:p>
        </w:tc>
        <w:tc>
          <w:tcPr>
            <w:tcW w:w="580" w:type="dxa"/>
            <w:vAlign w:val="bottom"/>
            <w:gridSpan w:val="3"/>
          </w:tcPr>
          <w:p>
            <w:pPr>
              <w:jc w:val="right"/>
              <w:ind w:right="253"/>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42,626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3"/>
          </w:tcPr>
          <w:p>
            <w:pPr>
              <w:jc w:val="right"/>
              <w:ind w:right="80"/>
              <w:spacing w:after="0"/>
              <w:rPr>
                <w:sz w:val="20"/>
                <w:szCs w:val="20"/>
                <w:color w:val="auto"/>
              </w:rPr>
            </w:pPr>
            <w:r>
              <w:rPr>
                <w:rFonts w:ascii="Arial" w:cs="Arial" w:eastAsia="Arial" w:hAnsi="Arial"/>
                <w:sz w:val="17"/>
                <w:szCs w:val="17"/>
                <w:color w:val="auto"/>
              </w:rPr>
              <w:t>75,499</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170,764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7"/>
              </w:rPr>
              <w:t>431,359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275,478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040" w:type="dxa"/>
            <w:vAlign w:val="bottom"/>
            <w:gridSpan w:val="6"/>
          </w:tcPr>
          <w:p>
            <w:pPr>
              <w:ind w:left="20"/>
              <w:spacing w:after="0" w:line="172" w:lineRule="exact"/>
              <w:rPr>
                <w:sz w:val="20"/>
                <w:szCs w:val="20"/>
                <w:color w:val="auto"/>
              </w:rPr>
            </w:pPr>
            <w:r>
              <w:rPr>
                <w:rFonts w:ascii="Arial" w:cs="Arial" w:eastAsia="Arial" w:hAnsi="Arial"/>
                <w:sz w:val="17"/>
                <w:szCs w:val="17"/>
                <w:color w:val="auto"/>
                <w:w w:val="93"/>
              </w:rPr>
              <w:t>Loss on settlement of convertible notes, foreign exchange gain, interest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(9,320)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860" w:type="dxa"/>
            <w:vAlign w:val="bottom"/>
            <w:gridSpan w:val="3"/>
          </w:tcPr>
          <w:p>
            <w:pPr>
              <w:ind w:left="20"/>
              <w:spacing w:after="0"/>
              <w:rPr>
                <w:sz w:val="20"/>
                <w:szCs w:val="20"/>
                <w:color w:val="auto"/>
              </w:rPr>
            </w:pPr>
            <w:r>
              <w:rPr>
                <w:rFonts w:ascii="Arial" w:cs="Arial" w:eastAsia="Arial" w:hAnsi="Arial"/>
                <w:sz w:val="17"/>
                <w:szCs w:val="17"/>
                <w:color w:val="auto"/>
              </w:rPr>
              <w:t>expense and other income, net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Gain from equity-method investment</w:t>
            </w: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114,758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22"/>
                <w:szCs w:val="22"/>
                <w:color w:val="auto"/>
                <w:w w:val="92"/>
                <w:vertAlign w:val="superscript"/>
              </w:rPr>
              <w:t>(1)</w:t>
            </w:r>
            <w:r>
              <w:rPr>
                <w:rFonts w:ascii="Arial" w:cs="Arial" w:eastAsia="Arial" w:hAnsi="Arial"/>
                <w:sz w:val="17"/>
                <w:szCs w:val="17"/>
                <w:color w:val="auto"/>
                <w:w w:val="92"/>
              </w:rPr>
              <w:t xml:space="preserve"> Exclusive of depreciation and amortization expense.</w:t>
            </w: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38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6"/>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30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89"/>
              </w:rPr>
              <w:t>Year ended December 31, 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97"/>
              </w:rPr>
              <w:t>Insurance</w:t>
            </w:r>
          </w:p>
        </w:tc>
        <w:tc>
          <w:tcPr>
            <w:tcW w:w="20" w:type="dxa"/>
            <w:vAlign w:val="bottom"/>
            <w:vMerge w:val="restart"/>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gridSpan w:val="4"/>
            <w:vMerge w:val="restart"/>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96"/>
              </w:rPr>
              <w:t>Healthcare</w:t>
            </w:r>
          </w:p>
        </w:tc>
        <w:tc>
          <w:tcPr>
            <w:tcW w:w="80" w:type="dxa"/>
            <w:vAlign w:val="bottom"/>
            <w:vMerge w:val="restart"/>
            <w:shd w:val="clear" w:color="auto" w:fill="CCEEFF"/>
          </w:tcPr>
          <w:p>
            <w:pPr>
              <w:spacing w:after="0"/>
              <w:rPr>
                <w:sz w:val="14"/>
                <w:szCs w:val="14"/>
                <w:color w:val="auto"/>
              </w:rPr>
            </w:pPr>
          </w:p>
        </w:tc>
        <w:tc>
          <w:tcPr>
            <w:tcW w:w="1980" w:type="dxa"/>
            <w:vAlign w:val="bottom"/>
            <w:gridSpan w:val="6"/>
            <w:shd w:val="clear" w:color="auto" w:fill="CCEEFF"/>
          </w:tcPr>
          <w:p>
            <w:pPr>
              <w:jc w:val="right"/>
              <w:ind w:right="640"/>
              <w:spacing w:after="0" w:line="164" w:lineRule="exact"/>
              <w:rPr>
                <w:sz w:val="20"/>
                <w:szCs w:val="20"/>
                <w:color w:val="auto"/>
              </w:rPr>
            </w:pPr>
            <w:r>
              <w:rPr>
                <w:rFonts w:ascii="Arial" w:cs="Arial" w:eastAsia="Arial" w:hAnsi="Arial"/>
                <w:sz w:val="17"/>
                <w:szCs w:val="17"/>
                <w:b w:val="1"/>
                <w:bCs w:val="1"/>
                <w:color w:val="auto"/>
              </w:rPr>
              <w:t>Emerging</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b w:val="1"/>
                <w:bCs w:val="1"/>
                <w:color w:val="auto"/>
              </w:rPr>
              <w:t>Analytics</w:t>
            </w:r>
          </w:p>
        </w:tc>
        <w:tc>
          <w:tcPr>
            <w:tcW w:w="8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4"/>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560" w:type="dxa"/>
            <w:vAlign w:val="bottom"/>
            <w:tcBorders>
              <w:bottom w:val="single" w:sz="8" w:color="auto"/>
            </w:tcBorders>
            <w:gridSpan w:val="4"/>
            <w:shd w:val="clear" w:color="auto" w:fill="CCEEFF"/>
          </w:tcPr>
          <w:p>
            <w:pPr>
              <w:jc w:val="right"/>
              <w:ind w:right="373"/>
              <w:spacing w:after="0"/>
              <w:rPr>
                <w:sz w:val="20"/>
                <w:szCs w:val="20"/>
                <w:color w:val="auto"/>
              </w:rPr>
            </w:pPr>
            <w:r>
              <w:rPr>
                <w:rFonts w:ascii="Arial" w:cs="Arial" w:eastAsia="Arial" w:hAnsi="Arial"/>
                <w:sz w:val="17"/>
                <w:szCs w:val="17"/>
                <w:b w:val="1"/>
                <w:bCs w:val="1"/>
                <w:color w:val="auto"/>
              </w:rPr>
              <w:t>Business</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460" w:type="dxa"/>
            <w:vAlign w:val="bottom"/>
            <w:gridSpan w:val="2"/>
          </w:tcPr>
          <w:p>
            <w:pPr>
              <w:ind w:left="400"/>
              <w:spacing w:after="0"/>
              <w:rPr>
                <w:sz w:val="20"/>
                <w:szCs w:val="20"/>
                <w:color w:val="auto"/>
              </w:rPr>
            </w:pPr>
            <w:r>
              <w:rPr>
                <w:rFonts w:ascii="Arial" w:cs="Arial" w:eastAsia="Arial" w:hAnsi="Arial"/>
                <w:sz w:val="17"/>
                <w:szCs w:val="17"/>
                <w:color w:val="auto"/>
              </w:rPr>
              <w:t>Revenues, net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341,770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Arial" w:cs="Arial" w:eastAsia="Arial" w:hAnsi="Arial"/>
                <w:sz w:val="17"/>
                <w:szCs w:val="17"/>
                <w:color w:val="auto"/>
              </w:rPr>
              <w:t>$</w:t>
            </w:r>
          </w:p>
        </w:tc>
        <w:tc>
          <w:tcPr>
            <w:tcW w:w="1060" w:type="dxa"/>
            <w:vAlign w:val="bottom"/>
            <w:gridSpan w:val="4"/>
          </w:tcPr>
          <w:p>
            <w:pPr>
              <w:jc w:val="right"/>
              <w:spacing w:after="0"/>
              <w:rPr>
                <w:sz w:val="20"/>
                <w:szCs w:val="20"/>
                <w:color w:val="auto"/>
              </w:rPr>
            </w:pPr>
            <w:r>
              <w:rPr>
                <w:rFonts w:ascii="Arial" w:cs="Arial" w:eastAsia="Arial" w:hAnsi="Arial"/>
                <w:sz w:val="17"/>
                <w:szCs w:val="17"/>
                <w:color w:val="auto"/>
              </w:rPr>
              <w:t>101,315</w:t>
            </w:r>
          </w:p>
        </w:tc>
        <w:tc>
          <w:tcPr>
            <w:tcW w:w="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7"/>
              </w:rPr>
              <w:t>152,670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362,679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958,4</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460" w:type="dxa"/>
            <w:vAlign w:val="bottom"/>
            <w:gridSpan w:val="2"/>
            <w:shd w:val="clear" w:color="auto" w:fill="CCEEFF"/>
          </w:tcPr>
          <w:p>
            <w:pPr>
              <w:ind w:left="40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231,884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2"/>
              </w:rPr>
              <w:t>73,143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229,450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623,9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080" w:type="dxa"/>
            <w:vAlign w:val="bottom"/>
          </w:tcPr>
          <w:p>
            <w:pPr>
              <w:ind w:left="400"/>
              <w:spacing w:after="0" w:line="216"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3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109,886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w w:val="92"/>
              </w:rPr>
              <w:t>28,172</w:t>
            </w: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63,211</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133,229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334,4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0" w:type="dxa"/>
            <w:vAlign w:val="bottom"/>
          </w:tcPr>
          <w:p>
            <w:pPr>
              <w:spacing w:after="0"/>
              <w:rPr>
                <w:sz w:val="18"/>
                <w:szCs w:val="18"/>
                <w:color w:val="auto"/>
              </w:rPr>
            </w:pPr>
          </w:p>
        </w:tc>
        <w:tc>
          <w:tcPr>
            <w:tcW w:w="30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Operating 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224,4</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3460" w:type="dxa"/>
            <w:vAlign w:val="bottom"/>
            <w:gridSpan w:val="2"/>
          </w:tcPr>
          <w:p>
            <w:pPr>
              <w:ind w:left="400"/>
              <w:spacing w:after="0" w:line="172" w:lineRule="exact"/>
              <w:rPr>
                <w:sz w:val="20"/>
                <w:szCs w:val="20"/>
                <w:color w:val="auto"/>
              </w:rPr>
            </w:pPr>
            <w:r>
              <w:rPr>
                <w:rFonts w:ascii="Arial" w:cs="Arial" w:eastAsia="Arial" w:hAnsi="Arial"/>
                <w:sz w:val="17"/>
                <w:szCs w:val="17"/>
                <w:color w:val="auto"/>
              </w:rPr>
              <w:t>Foreign exchange gain, interest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3460" w:type="dxa"/>
            <w:vAlign w:val="bottom"/>
            <w:gridSpan w:val="2"/>
          </w:tcPr>
          <w:p>
            <w:pPr>
              <w:ind w:left="20"/>
              <w:spacing w:after="0"/>
              <w:rPr>
                <w:sz w:val="20"/>
                <w:szCs w:val="20"/>
                <w:color w:val="auto"/>
              </w:rPr>
            </w:pPr>
            <w:r>
              <w:rPr>
                <w:rFonts w:ascii="Arial" w:cs="Arial" w:eastAsia="Arial" w:hAnsi="Arial"/>
                <w:sz w:val="17"/>
                <w:szCs w:val="17"/>
                <w:color w:val="auto"/>
              </w:rPr>
              <w:t>expense and other income, net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4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Income tax expense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46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rPr>
              <w:t>Loss from equity-method investment</w:t>
            </w: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41"/>
        </w:trPr>
        <w:tc>
          <w:tcPr>
            <w:tcW w:w="400" w:type="dxa"/>
            <w:vAlign w:val="bottom"/>
          </w:tcPr>
          <w:p>
            <w:pPr>
              <w:spacing w:after="0"/>
              <w:rPr>
                <w:sz w:val="20"/>
                <w:szCs w:val="20"/>
                <w:color w:val="auto"/>
              </w:rPr>
            </w:pPr>
          </w:p>
        </w:tc>
        <w:tc>
          <w:tcPr>
            <w:tcW w:w="3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200" w:hanging="195"/>
        <w:spacing w:after="0"/>
        <w:tabs>
          <w:tab w:leader="none" w:pos="200" w:val="left"/>
        </w:tabs>
        <w:numPr>
          <w:ilvl w:val="0"/>
          <w:numId w:val="36"/>
        </w:numPr>
        <w:rPr>
          <w:rFonts w:ascii="Arial" w:cs="Arial" w:eastAsia="Arial" w:hAnsi="Arial"/>
          <w:sz w:val="23"/>
          <w:szCs w:val="23"/>
          <w:color w:val="auto"/>
          <w:vertAlign w:val="superscript"/>
        </w:rPr>
      </w:pPr>
      <w:r>
        <w:rPr>
          <w:rFonts w:ascii="Arial" w:cs="Arial" w:eastAsia="Arial" w:hAnsi="Arial"/>
          <w:sz w:val="15"/>
          <w:szCs w:val="15"/>
          <w:color w:val="auto"/>
        </w:rPr>
        <w:t>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9"/>
              </w:rPr>
              <w:t>Year ended December 31, 2019</w:t>
            </w:r>
          </w:p>
        </w:tc>
        <w:tc>
          <w:tcPr>
            <w:tcW w:w="10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53"/>
              <w:spacing w:after="0"/>
              <w:rPr>
                <w:sz w:val="20"/>
                <w:szCs w:val="20"/>
                <w:color w:val="auto"/>
              </w:rPr>
            </w:pPr>
            <w:r>
              <w:rPr>
                <w:rFonts w:ascii="Arial" w:cs="Arial" w:eastAsia="Arial" w:hAnsi="Arial"/>
                <w:sz w:val="17"/>
                <w:szCs w:val="17"/>
                <w:b w:val="1"/>
                <w:bCs w:val="1"/>
                <w:color w:val="auto"/>
                <w:w w:val="99"/>
              </w:rPr>
              <w:t>Insurance</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b w:val="1"/>
                <w:bCs w:val="1"/>
                <w:color w:val="auto"/>
                <w:w w:val="98"/>
              </w:rPr>
              <w:t>Healthcare</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100"/>
              <w:spacing w:after="0" w:line="164" w:lineRule="exact"/>
              <w:rPr>
                <w:sz w:val="20"/>
                <w:szCs w:val="20"/>
                <w:color w:val="auto"/>
              </w:rPr>
            </w:pPr>
            <w:r>
              <w:rPr>
                <w:rFonts w:ascii="Arial" w:cs="Arial" w:eastAsia="Arial" w:hAnsi="Arial"/>
                <w:sz w:val="17"/>
                <w:szCs w:val="17"/>
                <w:b w:val="1"/>
                <w:bCs w:val="1"/>
                <w:color w:val="auto"/>
              </w:rPr>
              <w:t>Emerging</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92"/>
              </w:rPr>
              <w:t>Analytics</w:t>
            </w:r>
          </w:p>
        </w:tc>
        <w:tc>
          <w:tcPr>
            <w:tcW w:w="100" w:type="dxa"/>
            <w:vAlign w:val="bottom"/>
            <w:vMerge w:val="restart"/>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Business</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Arial" w:cs="Arial" w:eastAsia="Arial" w:hAnsi="Arial"/>
                <w:sz w:val="17"/>
                <w:szCs w:val="17"/>
                <w:color w:val="auto"/>
              </w:rPr>
              <w:t>Revenues, net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346,434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97,465</w:t>
            </w:r>
          </w:p>
        </w:tc>
        <w:tc>
          <w:tcPr>
            <w:tcW w:w="3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190,118</w:t>
            </w:r>
          </w:p>
        </w:tc>
        <w:tc>
          <w:tcPr>
            <w:tcW w:w="1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357,329</w:t>
            </w:r>
          </w:p>
        </w:tc>
        <w:tc>
          <w:tcPr>
            <w:tcW w:w="1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991,346</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238,580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77,048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108,617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231,245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655,490</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line="216" w:lineRule="exact"/>
              <w:rPr>
                <w:sz w:val="20"/>
                <w:szCs w:val="20"/>
                <w:color w:val="auto"/>
              </w:rPr>
            </w:pPr>
            <w:r>
              <w:rPr>
                <w:rFonts w:ascii="Arial" w:cs="Arial" w:eastAsia="Arial" w:hAnsi="Arial"/>
                <w:sz w:val="17"/>
                <w:szCs w:val="17"/>
                <w:color w:val="auto"/>
              </w:rPr>
              <w:t>Gross profit</w:t>
            </w:r>
            <w:r>
              <w:rPr>
                <w:rFonts w:ascii="Arial" w:cs="Arial" w:eastAsia="Arial" w:hAnsi="Arial"/>
                <w:sz w:val="22"/>
                <w:szCs w:val="22"/>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107,854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20,417</w:t>
            </w:r>
          </w:p>
        </w:tc>
        <w:tc>
          <w:tcPr>
            <w:tcW w:w="3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81,501</w:t>
            </w:r>
          </w:p>
        </w:tc>
        <w:tc>
          <w:tcPr>
            <w:tcW w:w="1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126,084</w:t>
            </w:r>
          </w:p>
        </w:tc>
        <w:tc>
          <w:tcPr>
            <w:tcW w:w="10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335,856</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259,403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1900"/>
        <w:spacing w:after="0" w:line="241" w:lineRule="auto"/>
        <w:rPr>
          <w:sz w:val="20"/>
          <w:szCs w:val="20"/>
          <w:color w:val="auto"/>
        </w:rPr>
      </w:pPr>
      <w:r>
        <w:rPr>
          <w:rFonts w:ascii="Arial" w:cs="Arial" w:eastAsia="Arial" w:hAnsi="Arial"/>
          <w:sz w:val="17"/>
          <w:szCs w:val="17"/>
          <w:color w:val="auto"/>
        </w:rPr>
        <w:t>Foreign exchange gain, interest expense and other income,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tax expense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Loss from equity-method investment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w:t>
      </w:r>
    </w:p>
    <w:p>
      <w:pPr>
        <w:spacing w:after="0" w:line="198" w:lineRule="exact"/>
        <w:rPr>
          <w:sz w:val="20"/>
          <w:szCs w:val="20"/>
          <w:color w:val="auto"/>
        </w:rPr>
      </w:pPr>
    </w:p>
    <w:p>
      <w:pPr>
        <w:ind w:left="400" w:right="2160" w:hanging="395"/>
        <w:spacing w:after="0" w:line="451" w:lineRule="auto"/>
        <w:tabs>
          <w:tab w:leader="none" w:pos="209"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Exclusive of depreciation and amortization expense. Revenues, net by service type, were as follows: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6,647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17145</wp:posOffset>
            </wp:positionV>
            <wp:extent cx="7136130" cy="141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15,172</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17145</wp:posOffset>
            </wp:positionV>
            <wp:extent cx="7136130" cy="166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21" w:lineRule="exact"/>
        <w:rPr>
          <w:sz w:val="20"/>
          <w:szCs w:val="20"/>
          <w:color w:val="auto"/>
        </w:rPr>
      </w:pPr>
    </w:p>
    <w:p>
      <w:pPr>
        <w:jc w:val="both"/>
        <w:ind w:left="3160"/>
        <w:spacing w:after="0"/>
        <w:tabs>
          <w:tab w:leader="none" w:pos="39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67,659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1993265</wp:posOffset>
            </wp:positionH>
            <wp:positionV relativeFrom="paragraph">
              <wp:posOffset>41910</wp:posOffset>
            </wp:positionV>
            <wp:extent cx="8661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3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17145</wp:posOffset>
            </wp:positionV>
            <wp:extent cx="26816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2681605" cy="8255"/>
                    </a:xfrm>
                    <a:prstGeom prst="rect">
                      <a:avLst/>
                    </a:prstGeom>
                    <a:noFill/>
                  </pic:spPr>
                </pic:pic>
              </a:graphicData>
            </a:graphic>
          </wp:anchor>
        </w:drawing>
      </w:r>
    </w:p>
    <w:p>
      <w:pPr>
        <w:spacing w:after="0" w:line="19" w:lineRule="exact"/>
        <w:rPr>
          <w:sz w:val="20"/>
          <w:szCs w:val="20"/>
          <w:color w:val="auto"/>
        </w:rPr>
      </w:pPr>
    </w:p>
    <w:p>
      <w:pPr>
        <w:spacing w:after="0"/>
        <w:tabs>
          <w:tab w:leader="none" w:pos="1420" w:val="left"/>
          <w:tab w:leader="none" w:pos="286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p>
    <w:p>
      <w:pPr>
        <w:sectPr>
          <w:pgSz w:w="11900" w:h="16838" w:orient="portrait"/>
          <w:cols w:equalWidth="0" w:num="2">
            <w:col w:w="6020" w:space="720"/>
            <w:col w:w="4500"/>
          </w:cols>
          <w:pgMar w:left="320" w:top="121" w:right="339" w:bottom="1440" w:gutter="0" w:footer="0" w:header="0"/>
          <w:type w:val="continuous"/>
        </w:sectPr>
      </w:pPr>
    </w:p>
    <w:tbl>
      <w:tblPr>
        <w:tblLayout w:type="fixed"/>
        <w:tblInd w:w="800" w:type="dxa"/>
        <w:tblCellMar>
          <w:top w:w="0" w:type="dxa"/>
          <w:left w:w="0" w:type="dxa"/>
          <w:bottom w:w="0" w:type="dxa"/>
          <w:right w:w="0" w:type="dxa"/>
        </w:tblCellMar>
      </w:tblPr>
      <w:tr>
        <w:trPr>
          <w:trHeight w:val="222"/>
        </w:trPr>
        <w:tc>
          <w:tcPr>
            <w:tcW w:w="54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7"/>
                <w:szCs w:val="17"/>
                <w:color w:val="auto"/>
              </w:rPr>
              <w:t>Digital operations and solutions</w:t>
            </w:r>
            <w:r>
              <w:rPr>
                <w:rFonts w:ascii="Arial" w:cs="Arial" w:eastAsia="Arial" w:hAnsi="Arial"/>
                <w:sz w:val="22"/>
                <w:szCs w:val="22"/>
                <w:color w:val="auto"/>
                <w:vertAlign w:val="superscript"/>
              </w:rPr>
              <w:t>(1)</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661,621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595,755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634,017</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Analytics services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460,672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362,679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357,329</w:t>
            </w:r>
          </w:p>
        </w:tc>
      </w:tr>
      <w:tr>
        <w:trPr>
          <w:trHeight w:val="24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1,122,293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958,434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991,346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right="320" w:firstLine="398"/>
        <w:spacing w:after="0" w:line="222" w:lineRule="auto"/>
        <w:tabs>
          <w:tab w:leader="none" w:pos="582"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Digital operations and solutions include revenues of the Company's Insurance, Healthcare and Emerging Business reportable segments. Refer to the reportable segment disclosure above.</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attributes the revenues to regions based upon the location of its customers.</w:t>
      </w:r>
    </w:p>
    <w:p>
      <w:pPr>
        <w:spacing w:after="0" w:line="20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5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53"/>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3"/>
        </w:trPr>
        <w:tc>
          <w:tcPr>
            <w:tcW w:w="5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r>
      <w:tr>
        <w:trPr>
          <w:trHeight w:val="206"/>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net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964,059</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814,672</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817,878</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Non-United States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5420" w:type="dxa"/>
            <w:vAlign w:val="bottom"/>
          </w:tcPr>
          <w:p>
            <w:pPr>
              <w:ind w:left="460"/>
              <w:spacing w:after="0"/>
              <w:rPr>
                <w:sz w:val="20"/>
                <w:szCs w:val="20"/>
                <w:color w:val="auto"/>
              </w:rPr>
            </w:pPr>
            <w:r>
              <w:rPr>
                <w:rFonts w:ascii="Arial" w:cs="Arial" w:eastAsia="Arial" w:hAnsi="Arial"/>
                <w:sz w:val="17"/>
                <w:szCs w:val="17"/>
                <w:color w:val="auto"/>
              </w:rPr>
              <w:t>United Kingdom</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105,734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88,659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113,036</w:t>
            </w:r>
          </w:p>
        </w:tc>
      </w:tr>
      <w:tr>
        <w:trPr>
          <w:trHeight w:val="223"/>
        </w:trPr>
        <w:tc>
          <w:tcPr>
            <w:tcW w:w="54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60,432</w:t>
            </w:r>
          </w:p>
        </w:tc>
      </w:tr>
      <w:tr>
        <w:trPr>
          <w:trHeight w:val="21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Non-United States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158,234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143,762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173,468</w:t>
            </w:r>
          </w:p>
        </w:tc>
      </w:tr>
      <w:tr>
        <w:trPr>
          <w:trHeight w:val="24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1,122,293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958,434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991,346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Long-lived assets by geographic area, which consist of property and equipment, net and operating lease right-of-use assets, were as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r>
      <w:tr>
        <w:trPr>
          <w:trHeight w:val="203"/>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7"/>
                <w:szCs w:val="17"/>
                <w:color w:val="auto"/>
              </w:rPr>
            </w:pPr>
          </w:p>
        </w:tc>
        <w:tc>
          <w:tcPr>
            <w:tcW w:w="1560" w:type="dxa"/>
            <w:vAlign w:val="bottom"/>
          </w:tcPr>
          <w:p>
            <w:pPr>
              <w:jc w:val="right"/>
              <w:ind w:right="134"/>
              <w:spacing w:after="0"/>
              <w:rPr>
                <w:sz w:val="20"/>
                <w:szCs w:val="20"/>
                <w:color w:val="auto"/>
              </w:rPr>
            </w:pPr>
            <w:r>
              <w:rPr>
                <w:rFonts w:ascii="Arial" w:cs="Arial" w:eastAsia="Arial" w:hAnsi="Arial"/>
                <w:sz w:val="16"/>
                <w:szCs w:val="16"/>
                <w:b w:val="1"/>
                <w:bCs w:val="1"/>
                <w:color w:val="auto"/>
                <w:w w:val="91"/>
              </w:rPr>
              <w:t>December 31, 2020</w:t>
            </w:r>
          </w:p>
        </w:tc>
      </w:tr>
      <w:tr>
        <w:trPr>
          <w:trHeight w:val="206"/>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w:t>
            </w: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7"/>
                <w:szCs w:val="17"/>
                <w:color w:val="auto"/>
              </w:rPr>
              <w:t>India</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79,604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97,261</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46,659</w:t>
            </w:r>
          </w:p>
        </w:tc>
      </w:tr>
      <w:tr>
        <w:trPr>
          <w:trHeight w:val="223"/>
        </w:trPr>
        <w:tc>
          <w:tcPr>
            <w:tcW w:w="6040" w:type="dxa"/>
            <w:vAlign w:val="bottom"/>
          </w:tcPr>
          <w:p>
            <w:pPr>
              <w:ind w:left="20"/>
              <w:spacing w:after="0"/>
              <w:rPr>
                <w:sz w:val="20"/>
                <w:szCs w:val="20"/>
                <w:color w:val="auto"/>
              </w:rPr>
            </w:pPr>
            <w:r>
              <w:rPr>
                <w:rFonts w:ascii="Arial" w:cs="Arial" w:eastAsia="Arial" w:hAnsi="Arial"/>
                <w:sz w:val="17"/>
                <w:szCs w:val="17"/>
                <w:color w:val="auto"/>
              </w:rPr>
              <w:t>Philippines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22,011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29,434</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 of World</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11,439</w:t>
            </w:r>
          </w:p>
        </w:tc>
      </w:tr>
      <w:tr>
        <w:trPr>
          <w:trHeight w:val="216"/>
        </w:trPr>
        <w:tc>
          <w:tcPr>
            <w:tcW w:w="604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162,700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184,793</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Revenues, net</w:t>
      </w:r>
    </w:p>
    <w:p>
      <w:pPr>
        <w:spacing w:after="0" w:line="178"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Refer to Note 3 - Segment and Geographical Information to the consolidated financial statements for revenues disaggregated by reportable segments and geography.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balances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provides information about accounts receivable, contract assets and contract liabilities from contracts with customers:</w:t>
      </w:r>
    </w:p>
    <w:p>
      <w:pPr>
        <w:spacing w:after="0" w:line="249"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6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r>
      <w:tr>
        <w:trPr>
          <w:trHeight w:val="229"/>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9"/>
                <w:szCs w:val="19"/>
                <w:color w:val="auto"/>
              </w:rPr>
            </w:pPr>
          </w:p>
        </w:tc>
        <w:tc>
          <w:tcPr>
            <w:tcW w:w="1640" w:type="dxa"/>
            <w:vAlign w:val="bottom"/>
          </w:tcPr>
          <w:p>
            <w:pPr>
              <w:jc w:val="right"/>
              <w:ind w:right="194"/>
              <w:spacing w:after="0"/>
              <w:rPr>
                <w:sz w:val="20"/>
                <w:szCs w:val="20"/>
                <w:color w:val="auto"/>
              </w:rPr>
            </w:pPr>
            <w:r>
              <w:rPr>
                <w:rFonts w:ascii="Arial" w:cs="Arial" w:eastAsia="Arial" w:hAnsi="Arial"/>
                <w:sz w:val="16"/>
                <w:szCs w:val="16"/>
                <w:b w:val="1"/>
                <w:bCs w:val="1"/>
                <w:color w:val="auto"/>
                <w:w w:val="92"/>
              </w:rPr>
              <w:t>December 31, 2020</w:t>
            </w:r>
          </w:p>
        </w:tc>
      </w:tr>
      <w:tr>
        <w:trPr>
          <w:trHeight w:val="219"/>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194,232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147,635</w:t>
            </w:r>
          </w:p>
        </w:tc>
      </w:tr>
      <w:tr>
        <w:trPr>
          <w:trHeight w:val="223"/>
        </w:trPr>
        <w:tc>
          <w:tcPr>
            <w:tcW w:w="6000" w:type="dxa"/>
            <w:vAlign w:val="bottom"/>
          </w:tcPr>
          <w:p>
            <w:pPr>
              <w:spacing w:after="0"/>
              <w:rPr>
                <w:sz w:val="20"/>
                <w:szCs w:val="20"/>
                <w:color w:val="auto"/>
              </w:rPr>
            </w:pPr>
            <w:r>
              <w:rPr>
                <w:rFonts w:ascii="Arial" w:cs="Arial" w:eastAsia="Arial" w:hAnsi="Arial"/>
                <w:sz w:val="17"/>
                <w:szCs w:val="17"/>
                <w:color w:val="auto"/>
              </w:rPr>
              <w:t>Contract assets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2,524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4,437</w:t>
            </w:r>
          </w:p>
        </w:tc>
      </w:tr>
      <w:tr>
        <w:trPr>
          <w:trHeight w:val="223"/>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Contract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3"/>
        </w:trPr>
        <w:tc>
          <w:tcPr>
            <w:tcW w:w="6000" w:type="dxa"/>
            <w:vAlign w:val="bottom"/>
          </w:tcPr>
          <w:p>
            <w:pPr>
              <w:ind w:left="180"/>
              <w:spacing w:after="0"/>
              <w:rPr>
                <w:sz w:val="20"/>
                <w:szCs w:val="20"/>
                <w:color w:val="auto"/>
              </w:rPr>
            </w:pPr>
            <w:r>
              <w:rPr>
                <w:rFonts w:ascii="Arial" w:cs="Arial" w:eastAsia="Arial" w:hAnsi="Arial"/>
                <w:sz w:val="17"/>
                <w:szCs w:val="17"/>
                <w:color w:val="auto"/>
              </w:rPr>
              <w:t>Deferred revenue (consideration received in advance)</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18,247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30,450</w:t>
            </w:r>
          </w:p>
        </w:tc>
      </w:tr>
      <w:tr>
        <w:trPr>
          <w:trHeight w:val="223"/>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Consideration received for process transition activities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w:t>
            </w:r>
          </w:p>
        </w:tc>
      </w:tr>
    </w:tbl>
    <w:p>
      <w:pPr>
        <w:spacing w:after="0" w:line="23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Accounts receivable includes $93,336 and $63,995 as of December 31, 2021 and 2020,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20"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Contract assets represent upfront payments such as deal signing discounts or deal signing bonuses made to customers. These costs are amortized over the expected period of the benefit and are recorded as an adjustment to transaction price and reduced from revenues. The Company’s assessment did not indicate any impairment losses on its contract assets for the periods presented.</w:t>
      </w:r>
    </w:p>
    <w:p>
      <w:pPr>
        <w:spacing w:after="0" w:line="120"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consolidated balance sheets. The revenues are recognized as (or when) the performance obligation is fulfilled under the contract with customer.</w:t>
      </w:r>
    </w:p>
    <w:p>
      <w:pPr>
        <w:spacing w:after="0" w:line="127"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Revenue recognized during the years ended December 31, 2021 and 2020, which was included in the contract liabilities balance at the beginning of the respective periods: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60" w:type="dxa"/>
            <w:vAlign w:val="bottom"/>
            <w:gridSpan w:val="5"/>
          </w:tcPr>
          <w:p>
            <w:pPr>
              <w:ind w:left="400"/>
              <w:spacing w:after="0"/>
              <w:rPr>
                <w:sz w:val="20"/>
                <w:szCs w:val="20"/>
                <w:color w:val="auto"/>
              </w:rPr>
            </w:pPr>
            <w:r>
              <w:rPr>
                <w:rFonts w:ascii="Arial" w:cs="Arial" w:eastAsia="Arial" w:hAnsi="Arial"/>
                <w:sz w:val="17"/>
                <w:szCs w:val="17"/>
                <w:b w:val="1"/>
                <w:bCs w:val="1"/>
                <w:color w:val="auto"/>
              </w:rPr>
              <w:t>Year ended December 31,</w:t>
            </w:r>
          </w:p>
        </w:tc>
      </w:tr>
      <w:tr>
        <w:trPr>
          <w:trHeight w:val="216"/>
        </w:trPr>
        <w:tc>
          <w:tcPr>
            <w:tcW w:w="400" w:type="dxa"/>
            <w:vAlign w:val="bottom"/>
          </w:tcPr>
          <w:p>
            <w:pPr>
              <w:spacing w:after="0"/>
              <w:rPr>
                <w:sz w:val="18"/>
                <w:szCs w:val="18"/>
                <w:color w:val="auto"/>
              </w:rPr>
            </w:pPr>
          </w:p>
        </w:tc>
        <w:tc>
          <w:tcPr>
            <w:tcW w:w="464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2020</w:t>
            </w:r>
          </w:p>
        </w:tc>
        <w:tc>
          <w:tcPr>
            <w:tcW w:w="820" w:type="dxa"/>
            <w:vAlign w:val="bottom"/>
          </w:tcPr>
          <w:p>
            <w:pPr>
              <w:spacing w:after="0"/>
              <w:rPr>
                <w:sz w:val="18"/>
                <w:szCs w:val="18"/>
                <w:color w:val="auto"/>
              </w:rPr>
            </w:pPr>
          </w:p>
        </w:tc>
      </w:tr>
      <w:tr>
        <w:trPr>
          <w:trHeight w:val="229"/>
        </w:trPr>
        <w:tc>
          <w:tcPr>
            <w:tcW w:w="400" w:type="dxa"/>
            <w:vAlign w:val="bottom"/>
          </w:tcPr>
          <w:p>
            <w:pPr>
              <w:spacing w:after="0"/>
              <w:rPr>
                <w:sz w:val="19"/>
                <w:szCs w:val="19"/>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Deferred revenue (consideration received in advance)</w:t>
            </w:r>
          </w:p>
        </w:tc>
        <w:tc>
          <w:tcPr>
            <w:tcW w:w="2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30,089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10,949</w:t>
            </w:r>
          </w:p>
        </w:tc>
        <w:tc>
          <w:tcPr>
            <w:tcW w:w="820" w:type="dxa"/>
            <w:vAlign w:val="bottom"/>
          </w:tcPr>
          <w:p>
            <w:pPr>
              <w:spacing w:after="0"/>
              <w:rPr>
                <w:sz w:val="19"/>
                <w:szCs w:val="19"/>
                <w:color w:val="auto"/>
              </w:rPr>
            </w:pPr>
          </w:p>
        </w:tc>
      </w:tr>
      <w:tr>
        <w:trPr>
          <w:trHeight w:val="249"/>
        </w:trPr>
        <w:tc>
          <w:tcPr>
            <w:tcW w:w="400" w:type="dxa"/>
            <w:vAlign w:val="bottom"/>
          </w:tcPr>
          <w:p>
            <w:pPr>
              <w:spacing w:after="0"/>
              <w:rPr>
                <w:sz w:val="21"/>
                <w:szCs w:val="21"/>
                <w:color w:val="auto"/>
              </w:rPr>
            </w:pPr>
          </w:p>
        </w:tc>
        <w:tc>
          <w:tcPr>
            <w:tcW w:w="4640" w:type="dxa"/>
            <w:vAlign w:val="bottom"/>
          </w:tcPr>
          <w:p>
            <w:pPr>
              <w:ind w:left="400"/>
              <w:spacing w:after="0"/>
              <w:rPr>
                <w:sz w:val="20"/>
                <w:szCs w:val="20"/>
                <w:color w:val="auto"/>
              </w:rPr>
            </w:pPr>
            <w:r>
              <w:rPr>
                <w:rFonts w:ascii="Arial" w:cs="Arial" w:eastAsia="Arial" w:hAnsi="Arial"/>
                <w:sz w:val="17"/>
                <w:szCs w:val="17"/>
                <w:color w:val="auto"/>
              </w:rPr>
              <w:t>Consideration received for process transition activities</w:t>
            </w:r>
          </w:p>
        </w:tc>
        <w:tc>
          <w:tcPr>
            <w:tcW w:w="2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1,886</w:t>
            </w:r>
          </w:p>
        </w:tc>
        <w:tc>
          <w:tcPr>
            <w:tcW w:w="100" w:type="dxa"/>
            <w:vAlign w:val="bottom"/>
          </w:tcPr>
          <w:p>
            <w:pPr>
              <w:spacing w:after="0"/>
              <w:rPr>
                <w:sz w:val="21"/>
                <w:szCs w:val="21"/>
                <w:color w:val="auto"/>
              </w:rPr>
            </w:pPr>
          </w:p>
        </w:tc>
        <w:tc>
          <w:tcPr>
            <w:tcW w:w="7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1,424</w:t>
            </w:r>
          </w:p>
        </w:tc>
        <w:tc>
          <w:tcPr>
            <w:tcW w:w="820" w:type="dxa"/>
            <w:vAlign w:val="bottom"/>
          </w:tcPr>
          <w:p>
            <w:pPr>
              <w:spacing w:after="0"/>
              <w:rPr>
                <w:sz w:val="21"/>
                <w:szCs w:val="21"/>
                <w:color w:val="auto"/>
              </w:rPr>
            </w:pPr>
          </w:p>
        </w:tc>
      </w:tr>
      <w:tr>
        <w:trPr>
          <w:trHeight w:val="865"/>
        </w:trPr>
        <w:tc>
          <w:tcPr>
            <w:tcW w:w="4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340" w:type="dxa"/>
            <w:vAlign w:val="bottom"/>
            <w:gridSpan w:val="2"/>
          </w:tcPr>
          <w:p>
            <w:pPr>
              <w:jc w:val="right"/>
              <w:ind w:right="1600"/>
              <w:spacing w:after="0"/>
              <w:rPr>
                <w:sz w:val="20"/>
                <w:szCs w:val="20"/>
                <w:color w:val="auto"/>
              </w:rPr>
            </w:pPr>
            <w:r>
              <w:rPr>
                <w:rFonts w:ascii="Arial" w:cs="Arial" w:eastAsia="Arial" w:hAnsi="Arial"/>
                <w:sz w:val="17"/>
                <w:szCs w:val="17"/>
                <w:color w:val="auto"/>
              </w:rPr>
              <w:t>F-26</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jc w:val="right"/>
        <w:ind w:righ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Contract acquisition and fulfillment costs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provides details of the Company’s contract acquisition and fulfillment costs:</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Contract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27940</wp:posOffset>
            </wp:positionV>
            <wp:extent cx="22898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2289810" cy="8255"/>
                    </a:xfrm>
                    <a:prstGeom prst="rect">
                      <a:avLst/>
                    </a:prstGeom>
                    <a:noFill/>
                  </pic:spPr>
                </pic:pic>
              </a:graphicData>
            </a:graphic>
          </wp:anchor>
        </w:drawing>
      </w:r>
    </w:p>
    <w:p>
      <w:pPr>
        <w:spacing w:after="0" w:line="32"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Year ended December 31,</w:t>
      </w:r>
    </w:p>
    <w:p>
      <w:pPr>
        <w:spacing w:after="0" w:line="32" w:lineRule="exact"/>
        <w:rPr>
          <w:sz w:val="20"/>
          <w:szCs w:val="20"/>
          <w:color w:val="auto"/>
        </w:rPr>
      </w:pPr>
    </w:p>
    <w:p>
      <w:pPr>
        <w:ind w:left="4320"/>
        <w:spacing w:after="0"/>
        <w:tabs>
          <w:tab w:leader="none" w:pos="6160" w:val="left"/>
        </w:tabs>
        <w:rPr>
          <w:sz w:val="20"/>
          <w:szCs w:val="20"/>
          <w:color w:val="auto"/>
        </w:rPr>
      </w:pPr>
      <w:r>
        <w:rPr>
          <w:rFonts w:ascii="Arial" w:cs="Arial" w:eastAsia="Arial" w:hAnsi="Arial"/>
          <w:sz w:val="15"/>
          <w:szCs w:val="15"/>
          <w:b w:val="1"/>
          <w:bCs w:val="1"/>
          <w:color w:val="auto"/>
        </w:rPr>
        <w:t>2021</w:t>
      </w:r>
      <w:r>
        <w:rPr>
          <w:sz w:val="20"/>
          <w:szCs w:val="20"/>
          <w:color w:val="auto"/>
        </w:rPr>
        <w:tab/>
      </w:r>
      <w:r>
        <w:rPr>
          <w:rFonts w:ascii="Arial" w:cs="Arial" w:eastAsia="Arial" w:hAnsi="Arial"/>
          <w:sz w:val="15"/>
          <w:szCs w:val="15"/>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6852920" cy="149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6852920" cy="149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Contract Fulfillment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27940</wp:posOffset>
            </wp:positionV>
            <wp:extent cx="22313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2231390" cy="8255"/>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Year ended December 31,</w:t>
      </w:r>
    </w:p>
    <w:p>
      <w:pPr>
        <w:spacing w:after="0" w:line="41" w:lineRule="exact"/>
        <w:rPr>
          <w:sz w:val="20"/>
          <w:szCs w:val="20"/>
          <w:color w:val="auto"/>
        </w:rPr>
      </w:pPr>
    </w:p>
    <w:p>
      <w:pPr>
        <w:spacing w:after="0"/>
        <w:tabs>
          <w:tab w:leader="none" w:pos="1780" w:val="left"/>
        </w:tabs>
        <w:rPr>
          <w:sz w:val="20"/>
          <w:szCs w:val="20"/>
          <w:color w:val="auto"/>
        </w:rPr>
      </w:pPr>
      <w:r>
        <w:rPr>
          <w:rFonts w:ascii="Arial" w:cs="Arial" w:eastAsia="Arial" w:hAnsi="Arial"/>
          <w:sz w:val="15"/>
          <w:szCs w:val="15"/>
          <w:b w:val="1"/>
          <w:bCs w:val="1"/>
          <w:color w:val="auto"/>
        </w:rPr>
        <w:t>2021</w:t>
      </w:r>
      <w:r>
        <w:rPr>
          <w:sz w:val="20"/>
          <w:szCs w:val="20"/>
          <w:color w:val="auto"/>
        </w:rPr>
        <w:tab/>
      </w:r>
      <w:r>
        <w:rPr>
          <w:rFonts w:ascii="Arial" w:cs="Arial" w:eastAsia="Arial" w:hAnsi="Arial"/>
          <w:sz w:val="15"/>
          <w:szCs w:val="15"/>
          <w:b w:val="1"/>
          <w:bCs w:val="1"/>
          <w:color w:val="auto"/>
        </w:rPr>
        <w:t>2020</w:t>
      </w:r>
    </w:p>
    <w:p>
      <w:pPr>
        <w:spacing w:after="0" w:line="55" w:lineRule="exact"/>
        <w:rPr>
          <w:sz w:val="20"/>
          <w:szCs w:val="20"/>
          <w:color w:val="auto"/>
        </w:rPr>
      </w:pPr>
    </w:p>
    <w:p>
      <w:pPr>
        <w:sectPr>
          <w:pgSz w:w="11900" w:h="16838" w:orient="portrait"/>
          <w:cols w:equalWidth="0" w:num="2">
            <w:col w:w="7300" w:space="720"/>
            <w:col w:w="3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580" w:type="dxa"/>
            <w:vAlign w:val="bottom"/>
          </w:tcPr>
          <w:p>
            <w:pPr>
              <w:ind w:left="20"/>
              <w:spacing w:after="0"/>
              <w:rPr>
                <w:sz w:val="20"/>
                <w:szCs w:val="20"/>
                <w:color w:val="auto"/>
              </w:rPr>
            </w:pPr>
            <w:r>
              <w:rPr>
                <w:rFonts w:ascii="Arial" w:cs="Arial" w:eastAsia="Arial" w:hAnsi="Arial"/>
                <w:sz w:val="17"/>
                <w:szCs w:val="17"/>
                <w:color w:val="auto"/>
              </w:rPr>
              <w:t>Opening Balance</w:t>
            </w:r>
          </w:p>
        </w:tc>
        <w:tc>
          <w:tcPr>
            <w:tcW w:w="740" w:type="dxa"/>
            <w:vAlign w:val="bottom"/>
            <w:tcBorders>
              <w:top w:val="single" w:sz="8" w:color="auto"/>
            </w:tcBorders>
          </w:tcPr>
          <w:p>
            <w:pPr>
              <w:jc w:val="right"/>
              <w:ind w:right="55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ind w:right="47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1,307</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ind w:right="51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center"/>
              <w:ind w:left="473"/>
              <w:spacing w:after="0"/>
              <w:rPr>
                <w:sz w:val="20"/>
                <w:szCs w:val="20"/>
                <w:color w:val="auto"/>
              </w:rPr>
            </w:pPr>
            <w:r>
              <w:rPr>
                <w:rFonts w:ascii="Arial" w:cs="Arial" w:eastAsia="Arial" w:hAnsi="Arial"/>
                <w:sz w:val="17"/>
                <w:szCs w:val="17"/>
                <w:color w:val="auto"/>
                <w:w w:val="93"/>
              </w:rPr>
              <w:t>5,631</w:t>
            </w: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ind w:right="4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7,255</w:t>
            </w: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473"/>
              <w:spacing w:after="0"/>
              <w:rPr>
                <w:sz w:val="20"/>
                <w:szCs w:val="20"/>
                <w:color w:val="auto"/>
              </w:rPr>
            </w:pPr>
            <w:r>
              <w:rPr>
                <w:rFonts w:ascii="Arial" w:cs="Arial" w:eastAsia="Arial" w:hAnsi="Arial"/>
                <w:sz w:val="17"/>
                <w:szCs w:val="17"/>
                <w:color w:val="auto"/>
                <w:w w:val="93"/>
              </w:rPr>
              <w:t>3,742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r>
      <w:tr>
        <w:trPr>
          <w:trHeight w:val="22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w:t>
            </w: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(590)</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53"/>
              <w:spacing w:after="0"/>
              <w:rPr>
                <w:sz w:val="20"/>
                <w:szCs w:val="20"/>
                <w:color w:val="auto"/>
              </w:rPr>
            </w:pPr>
            <w:r>
              <w:rPr>
                <w:rFonts w:ascii="Arial" w:cs="Arial" w:eastAsia="Arial" w:hAnsi="Arial"/>
                <w:sz w:val="17"/>
                <w:szCs w:val="17"/>
                <w:color w:val="auto"/>
                <w:w w:val="92"/>
              </w:rPr>
              <w:t>(3,578)</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(2,403)</w:t>
            </w:r>
          </w:p>
        </w:tc>
      </w:tr>
      <w:tr>
        <w:trPr>
          <w:trHeight w:val="241"/>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Closing Balance</w:t>
            </w: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center"/>
              <w:ind w:left="473"/>
              <w:spacing w:after="0"/>
              <w:rPr>
                <w:sz w:val="20"/>
                <w:szCs w:val="20"/>
                <w:color w:val="auto"/>
              </w:rPr>
            </w:pPr>
            <w:r>
              <w:rPr>
                <w:rFonts w:ascii="Arial" w:cs="Arial" w:eastAsia="Arial" w:hAnsi="Arial"/>
                <w:sz w:val="17"/>
                <w:szCs w:val="17"/>
                <w:color w:val="auto"/>
                <w:w w:val="93"/>
              </w:rPr>
              <w:t>5,795</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5,631</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right="260" w:firstLine="393"/>
        <w:spacing w:after="0" w:line="289" w:lineRule="auto"/>
        <w:rPr>
          <w:sz w:val="20"/>
          <w:szCs w:val="20"/>
          <w:color w:val="auto"/>
        </w:rPr>
      </w:pPr>
      <w:r>
        <w:rPr>
          <w:rFonts w:ascii="Arial" w:cs="Arial" w:eastAsia="Arial" w:hAnsi="Arial"/>
          <w:sz w:val="17"/>
          <w:szCs w:val="17"/>
          <w:color w:val="auto"/>
        </w:rPr>
        <w:t>There was no impairment for contract acquisition and contract fulfillment costs as of December 31, 2021 and 2020. The capitalized costs are amortized over the expected period of benefit of the contract.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expected credit losses</w:t>
      </w:r>
    </w:p>
    <w:p>
      <w:pPr>
        <w:spacing w:after="0" w:line="138"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6"/>
          <w:szCs w:val="16"/>
          <w:color w:val="auto"/>
        </w:rPr>
        <w:t xml:space="preserve">On January 1, 2020, the Company adopted ASC Topic 326,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Accounts receivable and contract assets are in the scope for which assessment is made. 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COVID-19. There was not a material impact on the provision for credit losses upon adoption of the Topic 326 guidance.</w:t>
      </w:r>
    </w:p>
    <w:p>
      <w:pPr>
        <w:spacing w:after="0" w:line="127"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duration and severity of COVID-19 and continued market volatility is highly uncertain and, as such, the impact on expected losses is subject to significant judgment, including but not limited to changes in customers’ credit rating, and may cause variability in the Company’s allowance for credit losses in future periods.</w:t>
      </w:r>
    </w:p>
    <w:p>
      <w:pPr>
        <w:spacing w:after="0" w:line="140" w:lineRule="exact"/>
        <w:rPr>
          <w:sz w:val="20"/>
          <w:szCs w:val="20"/>
          <w:color w:val="auto"/>
        </w:rPr>
      </w:pPr>
    </w:p>
    <w:tbl>
      <w:tblPr>
        <w:tblLayout w:type="fixed"/>
        <w:tblInd w:w="40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7"/>
                <w:szCs w:val="17"/>
                <w:b w:val="1"/>
                <w:bCs w:val="1"/>
                <w:color w:val="auto"/>
                <w:w w:val="94"/>
              </w:rPr>
              <w:t>As of</w:t>
            </w:r>
          </w:p>
        </w:tc>
        <w:tc>
          <w:tcPr>
            <w:tcW w:w="1700" w:type="dxa"/>
            <w:vAlign w:val="bottom"/>
            <w:tcBorders>
              <w:bottom w:val="single" w:sz="8" w:color="auto"/>
            </w:tcBorders>
          </w:tcPr>
          <w:p>
            <w:pPr>
              <w:spacing w:after="0"/>
              <w:rPr>
                <w:sz w:val="18"/>
                <w:szCs w:val="18"/>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53"/>
              <w:spacing w:after="0" w:line="190" w:lineRule="exact"/>
              <w:rPr>
                <w:sz w:val="20"/>
                <w:szCs w:val="20"/>
                <w:color w:val="auto"/>
              </w:rPr>
            </w:pPr>
            <w:r>
              <w:rPr>
                <w:rFonts w:ascii="Arial" w:cs="Arial" w:eastAsia="Arial" w:hAnsi="Arial"/>
                <w:sz w:val="17"/>
                <w:szCs w:val="17"/>
                <w:b w:val="1"/>
                <w:bCs w:val="1"/>
                <w:color w:val="auto"/>
                <w:w w:val="94"/>
              </w:rPr>
              <w:t>December 31, 2021</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33"/>
              <w:spacing w:after="0" w:line="190" w:lineRule="exact"/>
              <w:rPr>
                <w:sz w:val="20"/>
                <w:szCs w:val="20"/>
                <w:color w:val="auto"/>
              </w:rPr>
            </w:pPr>
            <w:r>
              <w:rPr>
                <w:rFonts w:ascii="Arial" w:cs="Arial" w:eastAsia="Arial" w:hAnsi="Arial"/>
                <w:sz w:val="17"/>
                <w:szCs w:val="17"/>
                <w:b w:val="1"/>
                <w:bCs w:val="1"/>
                <w:color w:val="auto"/>
                <w:w w:val="95"/>
              </w:rPr>
              <w:t>December 31, 2020</w:t>
            </w:r>
          </w:p>
        </w:tc>
      </w:tr>
      <w:tr>
        <w:trPr>
          <w:trHeight w:val="216"/>
        </w:trPr>
        <w:tc>
          <w:tcPr>
            <w:tcW w:w="55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Accounts receivable, including unbilled receivables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194,805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148,824</w:t>
            </w:r>
          </w:p>
        </w:tc>
      </w:tr>
      <w:tr>
        <w:trPr>
          <w:trHeight w:val="223"/>
        </w:trPr>
        <w:tc>
          <w:tcPr>
            <w:tcW w:w="5680" w:type="dxa"/>
            <w:vAlign w:val="bottom"/>
            <w:gridSpan w:val="2"/>
          </w:tcPr>
          <w:p>
            <w:pPr>
              <w:ind w:left="400"/>
              <w:spacing w:after="0"/>
              <w:rPr>
                <w:sz w:val="20"/>
                <w:szCs w:val="20"/>
                <w:color w:val="auto"/>
              </w:rPr>
            </w:pPr>
            <w:r>
              <w:rPr>
                <w:rFonts w:ascii="Arial" w:cs="Arial" w:eastAsia="Arial" w:hAnsi="Arial"/>
                <w:sz w:val="17"/>
                <w:szCs w:val="17"/>
                <w:color w:val="auto"/>
              </w:rPr>
              <w:t>Less: Allowance for expected credit loss</w:t>
            </w:r>
          </w:p>
        </w:tc>
        <w:tc>
          <w:tcPr>
            <w:tcW w:w="5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(573)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(1,189)</w:t>
            </w:r>
          </w:p>
        </w:tc>
      </w:tr>
      <w:tr>
        <w:trPr>
          <w:trHeight w:val="250"/>
        </w:trPr>
        <w:tc>
          <w:tcPr>
            <w:tcW w:w="5580" w:type="dxa"/>
            <w:vAlign w:val="bottom"/>
            <w:tcBorders>
              <w:top w:val="single" w:sz="8" w:color="CCEEFF"/>
              <w:bottom w:val="single" w:sz="8" w:color="CCEEFF"/>
            </w:tcBorders>
            <w:shd w:val="clear" w:color="auto" w:fill="CCEEFF"/>
          </w:tcPr>
          <w:p>
            <w:pPr>
              <w:ind w:left="400"/>
              <w:spacing w:after="0" w:line="190" w:lineRule="exact"/>
              <w:rPr>
                <w:sz w:val="20"/>
                <w:szCs w:val="20"/>
                <w:color w:val="auto"/>
              </w:rPr>
            </w:pPr>
            <w:r>
              <w:rPr>
                <w:rFonts w:ascii="Arial" w:cs="Arial" w:eastAsia="Arial" w:hAnsi="Arial"/>
                <w:sz w:val="17"/>
                <w:szCs w:val="17"/>
                <w:b w:val="1"/>
                <w:bCs w:val="1"/>
                <w:color w:val="auto"/>
              </w:rPr>
              <w:t>Accounts receivable, net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b w:val="1"/>
                <w:bCs w:val="1"/>
                <w:color w:val="auto"/>
              </w:rPr>
              <w:t>$</w:t>
            </w:r>
          </w:p>
        </w:tc>
        <w:tc>
          <w:tcPr>
            <w:tcW w:w="1700" w:type="dxa"/>
            <w:vAlign w:val="bottom"/>
            <w:tcBorders>
              <w:top w:val="single" w:sz="8" w:color="auto"/>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b w:val="1"/>
                <w:bCs w:val="1"/>
                <w:color w:val="auto"/>
              </w:rPr>
              <w:t>194,232</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b w:val="1"/>
                <w:bCs w:val="1"/>
                <w:color w:val="auto"/>
              </w:rPr>
              <w:t>$</w:t>
            </w:r>
          </w:p>
        </w:tc>
        <w:tc>
          <w:tcPr>
            <w:tcW w:w="1700" w:type="dxa"/>
            <w:vAlign w:val="bottom"/>
            <w:tcBorders>
              <w:top w:val="single" w:sz="8" w:color="auto"/>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b w:val="1"/>
                <w:bCs w:val="1"/>
                <w:color w:val="auto"/>
              </w:rPr>
              <w:t>147,635</w:t>
            </w:r>
          </w:p>
        </w:tc>
      </w:tr>
    </w:tbl>
    <w:p>
      <w:pPr>
        <w:spacing w:after="0" w:line="21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movement in “Allowance for expected credit losses” on customer balances for the years ended December 31, 2021 and 2020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spacing w:after="0"/>
              <w:rPr>
                <w:sz w:val="18"/>
                <w:szCs w:val="18"/>
                <w:color w:val="auto"/>
              </w:rPr>
            </w:pPr>
          </w:p>
        </w:tc>
        <w:tc>
          <w:tcPr>
            <w:tcW w:w="2780" w:type="dxa"/>
            <w:vAlign w:val="bottom"/>
            <w:tcBorders>
              <w:bottom w:val="single" w:sz="8" w:color="auto"/>
            </w:tcBorders>
            <w:gridSpan w:val="4"/>
          </w:tcPr>
          <w:p>
            <w:pPr>
              <w:ind w:left="800"/>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r>
      <w:tr>
        <w:trPr>
          <w:trHeight w:val="167"/>
        </w:trPr>
        <w:tc>
          <w:tcPr>
            <w:tcW w:w="79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9"/>
              <w:spacing w:after="0" w:line="167" w:lineRule="exact"/>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4"/>
                <w:szCs w:val="14"/>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the beginning of the year</w:t>
            </w:r>
          </w:p>
        </w:tc>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r>
      <w:tr>
        <w:trPr>
          <w:trHeight w:val="223"/>
        </w:trPr>
        <w:tc>
          <w:tcPr>
            <w:tcW w:w="7920" w:type="dxa"/>
            <w:vAlign w:val="bottom"/>
          </w:tcPr>
          <w:p>
            <w:pPr>
              <w:ind w:left="20"/>
              <w:spacing w:after="0"/>
              <w:rPr>
                <w:sz w:val="20"/>
                <w:szCs w:val="20"/>
                <w:color w:val="auto"/>
              </w:rPr>
            </w:pPr>
            <w:r>
              <w:rPr>
                <w:rFonts w:ascii="Arial" w:cs="Arial" w:eastAsia="Arial" w:hAnsi="Arial"/>
                <w:sz w:val="17"/>
                <w:szCs w:val="17"/>
                <w:color w:val="auto"/>
              </w:rPr>
              <w:t>Additions / (reductions) during the period</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300</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due to write-off of Accounts Receivables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Translation adjustment</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02"/>
        </w:trPr>
        <w:tc>
          <w:tcPr>
            <w:tcW w:w="79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7"/>
                <w:szCs w:val="17"/>
                <w:b w:val="1"/>
                <w:bCs w:val="1"/>
                <w:color w:val="auto"/>
              </w:rPr>
              <w:t>Balance at the end of the year</w:t>
            </w:r>
          </w:p>
        </w:tc>
        <w:tc>
          <w:tcPr>
            <w:tcW w:w="1120" w:type="dxa"/>
            <w:vAlign w:val="bottom"/>
            <w:tcBorders>
              <w:bottom w:val="single" w:sz="8" w:color="auto"/>
            </w:tcBorders>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b w:val="1"/>
                <w:bCs w:val="1"/>
                <w:color w:val="auto"/>
              </w:rPr>
              <w:t>573</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b w:val="1"/>
                <w:bCs w:val="1"/>
                <w:color w:val="auto"/>
              </w:rPr>
              <w:t>1,189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Other Income, net</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Other income, net consists of the following:</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5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113"/>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3"/>
        </w:trPr>
        <w:tc>
          <w:tcPr>
            <w:tcW w:w="65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r>
      <w:tr>
        <w:trPr>
          <w:trHeight w:val="219"/>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sale and mark-to-market of mutual funds and money market funds</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4,891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13,180</w:t>
            </w:r>
          </w:p>
        </w:tc>
      </w:tr>
      <w:tr>
        <w:trPr>
          <w:trHeight w:val="249"/>
        </w:trPr>
        <w:tc>
          <w:tcPr>
            <w:tcW w:w="6560" w:type="dxa"/>
            <w:vAlign w:val="bottom"/>
          </w:tcPr>
          <w:p>
            <w:pPr>
              <w:ind w:left="20"/>
              <w:spacing w:after="0"/>
              <w:rPr>
                <w:sz w:val="20"/>
                <w:szCs w:val="20"/>
                <w:color w:val="auto"/>
              </w:rPr>
            </w:pPr>
            <w:r>
              <w:rPr>
                <w:rFonts w:ascii="Arial" w:cs="Arial" w:eastAsia="Arial" w:hAnsi="Arial"/>
                <w:sz w:val="17"/>
                <w:szCs w:val="17"/>
                <w:color w:val="auto"/>
              </w:rPr>
              <w:t>Interest and dividend income</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2,726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2,184</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Others, net</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1,143</w:t>
            </w:r>
          </w:p>
        </w:tc>
      </w:tr>
      <w:tr>
        <w:trPr>
          <w:trHeight w:val="216"/>
        </w:trPr>
        <w:tc>
          <w:tcPr>
            <w:tcW w:w="6560" w:type="dxa"/>
            <w:vAlign w:val="bottom"/>
          </w:tcPr>
          <w:p>
            <w:pPr>
              <w:ind w:left="20"/>
              <w:spacing w:after="0"/>
              <w:rPr>
                <w:sz w:val="20"/>
                <w:szCs w:val="20"/>
                <w:color w:val="auto"/>
              </w:rPr>
            </w:pPr>
            <w:r>
              <w:rPr>
                <w:rFonts w:ascii="Arial" w:cs="Arial" w:eastAsia="Arial" w:hAnsi="Arial"/>
                <w:sz w:val="17"/>
                <w:szCs w:val="17"/>
                <w:color w:val="auto"/>
              </w:rPr>
              <w:t>Other income, net</w:t>
            </w: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6,773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12,065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16,507</w:t>
            </w:r>
          </w:p>
        </w:tc>
      </w:tr>
      <w:tr>
        <w:trPr>
          <w:trHeight w:val="20"/>
        </w:trPr>
        <w:tc>
          <w:tcPr>
            <w:tcW w:w="6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Earnings Per Share</w:t>
      </w:r>
    </w:p>
    <w:p>
      <w:pPr>
        <w:spacing w:after="0" w:line="243" w:lineRule="exact"/>
        <w:rPr>
          <w:sz w:val="20"/>
          <w:szCs w:val="20"/>
          <w:color w:val="auto"/>
        </w:rPr>
      </w:pPr>
    </w:p>
    <w:p>
      <w:pPr>
        <w:jc w:val="both"/>
        <w:ind w:firstLine="393"/>
        <w:spacing w:after="0" w:line="231"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and an assumed conversion premium of outstanding convertible notes, using the treasury stock method (as discussed further in the subsequent paragraph). Common stock equivalents and the conversion premium on outstanding convertible notes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200" w:lineRule="exact"/>
        <w:rPr>
          <w:sz w:val="20"/>
          <w:szCs w:val="20"/>
          <w:color w:val="auto"/>
        </w:rPr>
      </w:pPr>
    </w:p>
    <w:p>
      <w:pPr>
        <w:jc w:val="both"/>
        <w:ind w:firstLine="393"/>
        <w:spacing w:after="0" w:line="231" w:lineRule="auto"/>
        <w:rPr>
          <w:sz w:val="20"/>
          <w:szCs w:val="20"/>
          <w:color w:val="auto"/>
        </w:rPr>
      </w:pPr>
      <w:r>
        <w:rPr>
          <w:rFonts w:ascii="Arial" w:cs="Arial" w:eastAsia="Arial" w:hAnsi="Arial"/>
          <w:sz w:val="17"/>
          <w:szCs w:val="17"/>
          <w:color w:val="auto"/>
        </w:rPr>
        <w:t>Diluted weighted-average shares outstanding is affected by the treatment of the Company's 3.5% per annum Convertible Senior Notes due October 1, 2024 (the “Notes”). The Company had a choice to settle the Notes in cash, shares or any combination of the two. The Company intended and had the ability to settle the principal balance of the Notes in cash, and as such, the Company applied the treasury stock method. The dilution related to the conversion premium, if any, of the Notes is included in the calculation of diluted weighted-average shares outstanding for the portion of the period until actual settlement and to the extent the issuance is dilutive based on the average stock price during the reporting period being greater than the conversion price of $75. During the third quarter of 2021, the Company settled the Notes by electing a combination of cash and shares of the Company’s common stock and as such included the count of shares issued on settlement in the calculation of basic earnings per share for the portion of the period outstanding. Refer to Note 17 - Borrowings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3"/>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Numerators:</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114,758</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89,476</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67,659</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340"/>
              <w:spacing w:after="0"/>
              <w:rPr>
                <w:sz w:val="20"/>
                <w:szCs w:val="20"/>
                <w:color w:val="auto"/>
              </w:rPr>
            </w:pPr>
            <w:r>
              <w:rPr>
                <w:rFonts w:ascii="Arial" w:cs="Arial" w:eastAsia="Arial" w:hAnsi="Arial"/>
                <w:sz w:val="17"/>
                <w:szCs w:val="17"/>
                <w:color w:val="auto"/>
              </w:rPr>
              <w:t>Basic weighted average common shares outstanding</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33,549,275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34,273,388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34,350,150</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Dilutive effect of share based awards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382,533</w:t>
            </w:r>
          </w:p>
        </w:tc>
        <w:tc>
          <w:tcPr>
            <w:tcW w:w="0" w:type="dxa"/>
            <w:vAlign w:val="bottom"/>
          </w:tcPr>
          <w:p>
            <w:pPr>
              <w:spacing w:after="0"/>
              <w:rPr>
                <w:sz w:val="1"/>
                <w:szCs w:val="1"/>
                <w:color w:val="auto"/>
              </w:rPr>
            </w:pPr>
          </w:p>
        </w:tc>
      </w:tr>
      <w:tr>
        <w:trPr>
          <w:trHeight w:val="249"/>
        </w:trPr>
        <w:tc>
          <w:tcPr>
            <w:tcW w:w="61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Dilutive effect of conversion premium on the Notes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286,510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27,059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 weighted average common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34,244,478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34,555,164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34,732,683</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Earnings per share attributable to ExlService Holdings Inc. stockholders: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23"/>
        </w:trPr>
        <w:tc>
          <w:tcPr>
            <w:tcW w:w="6180" w:type="dxa"/>
            <w:vAlign w:val="bottom"/>
          </w:tcPr>
          <w:p>
            <w:pPr>
              <w:ind w:left="640"/>
              <w:spacing w:after="0"/>
              <w:rPr>
                <w:sz w:val="20"/>
                <w:szCs w:val="20"/>
                <w:color w:val="auto"/>
              </w:rPr>
            </w:pPr>
            <w:r>
              <w:rPr>
                <w:rFonts w:ascii="Arial" w:cs="Arial" w:eastAsia="Arial" w:hAnsi="Arial"/>
                <w:sz w:val="17"/>
                <w:szCs w:val="17"/>
                <w:color w:val="auto"/>
              </w:rPr>
              <w:t>Diluted</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171"/>
        </w:trPr>
        <w:tc>
          <w:tcPr>
            <w:tcW w:w="618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w w:val="95"/>
              </w:rPr>
              <w:t>Weighted average potentially dilutive shares considered anti-dilutive and not included</w:t>
            </w:r>
          </w:p>
        </w:tc>
        <w:tc>
          <w:tcPr>
            <w:tcW w:w="2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10,705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289,061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106,375</w:t>
            </w:r>
          </w:p>
        </w:tc>
        <w:tc>
          <w:tcPr>
            <w:tcW w:w="0" w:type="dxa"/>
            <w:vAlign w:val="bottom"/>
          </w:tcPr>
          <w:p>
            <w:pPr>
              <w:spacing w:after="0"/>
              <w:rPr>
                <w:sz w:val="1"/>
                <w:szCs w:val="1"/>
                <w:color w:val="auto"/>
              </w:rPr>
            </w:pPr>
          </w:p>
        </w:tc>
      </w:tr>
      <w:tr>
        <w:trPr>
          <w:trHeight w:val="222"/>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 computing diluted earnings per share</w:t>
            </w: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Cash, Cash Equivalents and Restricted Cash</w:t>
      </w:r>
    </w:p>
    <w:p>
      <w:pPr>
        <w:spacing w:after="0" w:line="36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For the purpose of statements of cash flows, cash, cash equivalents and restricted cash comprise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As of</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800" w:type="dxa"/>
            <w:vAlign w:val="bottom"/>
          </w:tcPr>
          <w:p>
            <w:pPr>
              <w:spacing w:after="0"/>
              <w:rPr>
                <w:sz w:val="16"/>
                <w:szCs w:val="16"/>
                <w:color w:val="auto"/>
              </w:rPr>
            </w:pPr>
          </w:p>
        </w:tc>
      </w:tr>
      <w:tr>
        <w:trPr>
          <w:trHeight w:val="181"/>
        </w:trPr>
        <w:tc>
          <w:tcPr>
            <w:tcW w:w="3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5"/>
                <w:szCs w:val="15"/>
                <w:color w:val="auto"/>
              </w:rPr>
            </w:pPr>
          </w:p>
        </w:tc>
        <w:tc>
          <w:tcPr>
            <w:tcW w:w="1520" w:type="dxa"/>
            <w:vAlign w:val="bottom"/>
          </w:tcPr>
          <w:p>
            <w:pPr>
              <w:jc w:val="right"/>
              <w:ind w:right="216"/>
              <w:spacing w:after="0"/>
              <w:rPr>
                <w:sz w:val="20"/>
                <w:szCs w:val="20"/>
                <w:color w:val="auto"/>
              </w:rPr>
            </w:pPr>
            <w:r>
              <w:rPr>
                <w:rFonts w:ascii="Arial" w:cs="Arial" w:eastAsia="Arial" w:hAnsi="Arial"/>
                <w:sz w:val="14"/>
                <w:szCs w:val="14"/>
                <w:b w:val="1"/>
                <w:bCs w:val="1"/>
                <w:color w:val="auto"/>
                <w:w w:val="95"/>
              </w:rPr>
              <w:t>December 31, 2019</w:t>
            </w:r>
          </w:p>
        </w:tc>
        <w:tc>
          <w:tcPr>
            <w:tcW w:w="800" w:type="dxa"/>
            <w:vAlign w:val="bottom"/>
          </w:tcPr>
          <w:p>
            <w:pPr>
              <w:spacing w:after="0"/>
              <w:rPr>
                <w:sz w:val="15"/>
                <w:szCs w:val="15"/>
                <w:color w:val="auto"/>
              </w:rPr>
            </w:pPr>
          </w:p>
        </w:tc>
      </w:tr>
      <w:tr>
        <w:trPr>
          <w:trHeight w:val="217"/>
        </w:trPr>
        <w:tc>
          <w:tcPr>
            <w:tcW w:w="3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135,337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218,530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119,165</w:t>
            </w:r>
          </w:p>
        </w:tc>
        <w:tc>
          <w:tcPr>
            <w:tcW w:w="800" w:type="dxa"/>
            <w:vAlign w:val="bottom"/>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Restricted cash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6,174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5,453</w:t>
            </w:r>
          </w:p>
        </w:tc>
        <w:tc>
          <w:tcPr>
            <w:tcW w:w="80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(non-current)</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2,426</w:t>
            </w:r>
          </w:p>
        </w:tc>
        <w:tc>
          <w:tcPr>
            <w:tcW w:w="8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143,810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225,519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127,044</w:t>
            </w:r>
          </w:p>
        </w:tc>
        <w:tc>
          <w:tcPr>
            <w:tcW w:w="80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792"/>
        </w:trPr>
        <w:tc>
          <w:tcPr>
            <w:tcW w:w="3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Arial" w:cs="Arial" w:eastAsia="Arial" w:hAnsi="Arial"/>
                <w:sz w:val="17"/>
                <w:szCs w:val="17"/>
                <w:color w:val="auto"/>
              </w:rPr>
              <w:t>F-29</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2"/>
        </w:trPr>
        <w:tc>
          <w:tcPr>
            <w:tcW w:w="320" w:type="dxa"/>
            <w:vAlign w:val="bottom"/>
            <w:tcBorders>
              <w:bottom w:val="single" w:sz="8" w:color="9A9A9A"/>
            </w:tcBorders>
          </w:tcPr>
          <w:p>
            <w:pPr>
              <w:spacing w:after="0"/>
              <w:rPr>
                <w:sz w:val="9"/>
                <w:szCs w:val="9"/>
                <w:color w:val="auto"/>
              </w:rPr>
            </w:pPr>
          </w:p>
        </w:tc>
        <w:tc>
          <w:tcPr>
            <w:tcW w:w="4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Property and Equipment, net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Property and equipment, net consists of the following:</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04"/>
        </w:trPr>
        <w:tc>
          <w:tcPr>
            <w:tcW w:w="5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900" w:type="dxa"/>
            <w:vAlign w:val="bottom"/>
            <w:gridSpan w:val="2"/>
          </w:tcPr>
          <w:p>
            <w:pPr>
              <w:jc w:val="center"/>
              <w:ind w:right="320"/>
              <w:spacing w:after="0" w:line="144" w:lineRule="exact"/>
              <w:rPr>
                <w:sz w:val="20"/>
                <w:szCs w:val="20"/>
                <w:color w:val="auto"/>
              </w:rPr>
            </w:pPr>
            <w:r>
              <w:rPr>
                <w:rFonts w:ascii="Arial" w:cs="Arial" w:eastAsia="Arial" w:hAnsi="Arial"/>
                <w:sz w:val="16"/>
                <w:szCs w:val="16"/>
                <w:b w:val="1"/>
                <w:bCs w:val="1"/>
                <w:color w:val="auto"/>
                <w:w w:val="86"/>
              </w:rPr>
              <w:t>Estimated useful lives</w:t>
            </w:r>
          </w:p>
        </w:tc>
        <w:tc>
          <w:tcPr>
            <w:tcW w:w="180" w:type="dxa"/>
            <w:vAlign w:val="bottom"/>
          </w:tcPr>
          <w:p>
            <w:pPr>
              <w:spacing w:after="0"/>
              <w:rPr>
                <w:sz w:val="12"/>
                <w:szCs w:val="12"/>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2"/>
                <w:szCs w:val="12"/>
                <w:color w:val="auto"/>
              </w:rPr>
            </w:pPr>
          </w:p>
        </w:tc>
        <w:tc>
          <w:tcPr>
            <w:tcW w:w="160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w w:val="91"/>
              </w:rPr>
              <w:t>December 31, 2020</w:t>
            </w:r>
          </w:p>
        </w:tc>
        <w:tc>
          <w:tcPr>
            <w:tcW w:w="0" w:type="dxa"/>
            <w:vAlign w:val="bottom"/>
          </w:tcPr>
          <w:p>
            <w:pPr>
              <w:spacing w:after="0"/>
              <w:rPr>
                <w:sz w:val="1"/>
                <w:szCs w:val="1"/>
                <w:color w:val="auto"/>
              </w:rPr>
            </w:pPr>
          </w:p>
        </w:tc>
      </w:tr>
      <w:tr>
        <w:trPr>
          <w:trHeight w:val="204"/>
        </w:trPr>
        <w:tc>
          <w:tcPr>
            <w:tcW w:w="5080" w:type="dxa"/>
            <w:vAlign w:val="bottom"/>
          </w:tcPr>
          <w:p>
            <w:pPr>
              <w:spacing w:after="0"/>
              <w:rPr>
                <w:sz w:val="17"/>
                <w:szCs w:val="17"/>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(Years)</w:t>
            </w:r>
          </w:p>
        </w:tc>
        <w:tc>
          <w:tcPr>
            <w:tcW w:w="18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80" w:type="dxa"/>
            <w:vAlign w:val="bottom"/>
          </w:tcPr>
          <w:p>
            <w:pPr>
              <w:ind w:left="20"/>
              <w:spacing w:after="0"/>
              <w:rPr>
                <w:sz w:val="20"/>
                <w:szCs w:val="20"/>
                <w:color w:val="auto"/>
              </w:rPr>
            </w:pPr>
            <w:r>
              <w:rPr>
                <w:rFonts w:ascii="Arial" w:cs="Arial" w:eastAsia="Arial" w:hAnsi="Arial"/>
                <w:sz w:val="17"/>
                <w:szCs w:val="17"/>
                <w:b w:val="1"/>
                <w:bCs w:val="1"/>
                <w:color w:val="auto"/>
              </w:rPr>
              <w:t>Owned Assets:</w:t>
            </w: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Network equipment and computers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3-5</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107,016</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7"/>
                <w:szCs w:val="17"/>
                <w:color w:val="auto"/>
              </w:rPr>
              <w:t>Software</w:t>
            </w:r>
          </w:p>
        </w:tc>
        <w:tc>
          <w:tcPr>
            <w:tcW w:w="1580" w:type="dxa"/>
            <w:vAlign w:val="bottom"/>
          </w:tcPr>
          <w:p>
            <w:pPr>
              <w:jc w:val="center"/>
              <w:spacing w:after="0"/>
              <w:rPr>
                <w:sz w:val="20"/>
                <w:szCs w:val="20"/>
                <w:color w:val="auto"/>
              </w:rPr>
            </w:pPr>
            <w:r>
              <w:rPr>
                <w:rFonts w:ascii="Arial" w:cs="Arial" w:eastAsia="Arial" w:hAnsi="Arial"/>
                <w:sz w:val="17"/>
                <w:szCs w:val="17"/>
                <w:color w:val="auto"/>
                <w:w w:val="89"/>
              </w:rPr>
              <w:t>3-5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101,884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99,708</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3-8</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48,052</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7"/>
                <w:szCs w:val="17"/>
                <w:color w:val="auto"/>
              </w:rPr>
              <w:t>Office furniture and equipment</w:t>
            </w:r>
          </w:p>
        </w:tc>
        <w:tc>
          <w:tcPr>
            <w:tcW w:w="1580" w:type="dxa"/>
            <w:vAlign w:val="bottom"/>
          </w:tcPr>
          <w:p>
            <w:pPr>
              <w:jc w:val="center"/>
              <w:spacing w:after="0"/>
              <w:rPr>
                <w:sz w:val="20"/>
                <w:szCs w:val="20"/>
                <w:color w:val="auto"/>
              </w:rPr>
            </w:pPr>
            <w:r>
              <w:rPr>
                <w:rFonts w:ascii="Arial" w:cs="Arial" w:eastAsia="Arial" w:hAnsi="Arial"/>
                <w:sz w:val="17"/>
                <w:szCs w:val="17"/>
                <w:color w:val="auto"/>
                <w:w w:val="89"/>
              </w:rPr>
              <w:t>3-8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22,302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22,210</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Motor vehicles</w:t>
            </w: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2-5</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7"/>
                <w:szCs w:val="17"/>
                <w:color w:val="auto"/>
              </w:rPr>
              <w:t>Buildings</w:t>
            </w:r>
          </w:p>
        </w:tc>
        <w:tc>
          <w:tcPr>
            <w:tcW w:w="1580" w:type="dxa"/>
            <w:vAlign w:val="bottom"/>
          </w:tcPr>
          <w:p>
            <w:pPr>
              <w:jc w:val="center"/>
              <w:spacing w:after="0"/>
              <w:rPr>
                <w:sz w:val="20"/>
                <w:szCs w:val="20"/>
                <w:color w:val="auto"/>
              </w:rPr>
            </w:pPr>
            <w:r>
              <w:rPr>
                <w:rFonts w:ascii="Arial" w:cs="Arial" w:eastAsia="Arial" w:hAnsi="Arial"/>
                <w:sz w:val="17"/>
                <w:szCs w:val="17"/>
                <w:color w:val="auto"/>
                <w:w w:val="94"/>
              </w:rPr>
              <w:t>30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1,089</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90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work in progress</w:t>
            </w:r>
          </w:p>
        </w:tc>
        <w:tc>
          <w:tcPr>
            <w:tcW w:w="1900" w:type="dxa"/>
            <w:vAlign w:val="bottom"/>
            <w:tcBorders>
              <w:bottom w:val="single" w:sz="8" w:color="CCEEFF"/>
            </w:tcBorders>
            <w:gridSpan w:val="2"/>
          </w:tcPr>
          <w:p>
            <w:pPr>
              <w:jc w:val="center"/>
              <w:ind w:right="3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284,033</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5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(213,699)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(191,629)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92,404</w:t>
            </w:r>
          </w:p>
        </w:tc>
        <w:tc>
          <w:tcPr>
            <w:tcW w:w="0" w:type="dxa"/>
            <w:vAlign w:val="bottom"/>
          </w:tcPr>
          <w:p>
            <w:pPr>
              <w:spacing w:after="0"/>
              <w:rPr>
                <w:sz w:val="1"/>
                <w:szCs w:val="1"/>
                <w:color w:val="auto"/>
              </w:rPr>
            </w:pPr>
          </w:p>
        </w:tc>
      </w:tr>
      <w:tr>
        <w:trPr>
          <w:trHeight w:val="203"/>
        </w:trPr>
        <w:tc>
          <w:tcPr>
            <w:tcW w:w="5080" w:type="dxa"/>
            <w:vAlign w:val="bottom"/>
          </w:tcPr>
          <w:p>
            <w:pPr>
              <w:ind w:left="20"/>
              <w:spacing w:after="0"/>
              <w:rPr>
                <w:sz w:val="20"/>
                <w:szCs w:val="20"/>
                <w:color w:val="auto"/>
              </w:rPr>
            </w:pPr>
            <w:r>
              <w:rPr>
                <w:rFonts w:ascii="Arial" w:cs="Arial" w:eastAsia="Arial" w:hAnsi="Arial"/>
                <w:sz w:val="17"/>
                <w:szCs w:val="17"/>
                <w:b w:val="1"/>
                <w:bCs w:val="1"/>
                <w:color w:val="auto"/>
              </w:rPr>
              <w:t>Right-of-use assets under finance leases:*</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Network equipment and computers</w:t>
            </w: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817</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 and equipment</w:t>
            </w: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Motor vehicles</w:t>
            </w:r>
          </w:p>
        </w:tc>
        <w:tc>
          <w:tcPr>
            <w:tcW w:w="15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1,853</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15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92,875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*Depreciation on assets held under finance leases are computed using the straight-line method over the shorter of the asset's estimated useful lives or the lease term.</w:t>
      </w:r>
    </w:p>
    <w:p>
      <w:pPr>
        <w:spacing w:after="0" w:line="106"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Capital work in progress represents advances paid towards acquisition of property and equipment and costs incurred on internally developed software, not yet ready to be placed in service.</w:t>
      </w:r>
    </w:p>
    <w:p>
      <w:pPr>
        <w:spacing w:after="0" w:line="106"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During the years ended December 31, 2021 and 2020 there were no changes in estimated useful lives of property and equipment during the ordinary course of operations.</w:t>
      </w:r>
    </w:p>
    <w:p>
      <w:pPr>
        <w:spacing w:after="0" w:line="106"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The depreciation and amortization expense, excluding amortization of acquisition-related intangibles recognized in the consolidated statements of income was as follows: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4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6"/>
                <w:szCs w:val="16"/>
                <w:b w:val="1"/>
                <w:bCs w:val="1"/>
                <w:color w:val="auto"/>
                <w:w w:val="89"/>
              </w:rPr>
              <w:t>Year ended December 31,</w:t>
            </w:r>
          </w:p>
        </w:tc>
        <w:tc>
          <w:tcPr>
            <w:tcW w:w="1340" w:type="dxa"/>
            <w:vAlign w:val="bottom"/>
            <w:tcBorders>
              <w:bottom w:val="single" w:sz="8" w:color="auto"/>
            </w:tcBorders>
          </w:tcPr>
          <w:p>
            <w:pPr>
              <w:spacing w:after="0"/>
              <w:rPr>
                <w:sz w:val="18"/>
                <w:szCs w:val="18"/>
                <w:color w:val="auto"/>
              </w:rPr>
            </w:pPr>
          </w:p>
        </w:tc>
      </w:tr>
      <w:tr>
        <w:trPr>
          <w:trHeight w:val="154"/>
        </w:trPr>
        <w:tc>
          <w:tcPr>
            <w:tcW w:w="54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1"/>
              <w:spacing w:after="0" w:line="154"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1"/>
              <w:spacing w:after="0" w:line="154" w:lineRule="exact"/>
              <w:rPr>
                <w:sz w:val="20"/>
                <w:szCs w:val="20"/>
                <w:color w:val="auto"/>
              </w:rPr>
            </w:pPr>
            <w:r>
              <w:rPr>
                <w:rFonts w:ascii="Arial" w:cs="Arial" w:eastAsia="Arial" w:hAnsi="Arial"/>
                <w:sz w:val="14"/>
                <w:szCs w:val="14"/>
                <w:b w:val="1"/>
                <w:bCs w:val="1"/>
                <w:color w:val="auto"/>
              </w:rPr>
              <w:t>2019</w:t>
            </w:r>
          </w:p>
        </w:tc>
      </w:tr>
      <w:tr>
        <w:trPr>
          <w:trHeight w:val="24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36,354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36,050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30,423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effect of foreign exchange gain upon settlement of cash flow hedges recorded under depreciation and amortization, was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Borders>
              <w:bottom w:val="single" w:sz="8" w:color="CCEEFF"/>
            </w:tcBorders>
          </w:tcPr>
          <w:p>
            <w:pPr>
              <w:spacing w:after="0"/>
              <w:rPr>
                <w:sz w:val="14"/>
                <w:szCs w:val="14"/>
                <w:color w:val="auto"/>
              </w:rPr>
            </w:pPr>
          </w:p>
        </w:tc>
        <w:tc>
          <w:tcPr>
            <w:tcW w:w="6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4"/>
                <w:szCs w:val="14"/>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Effect of foreign exchange gains</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524</w:t>
            </w:r>
          </w:p>
        </w:tc>
        <w:tc>
          <w:tcPr>
            <w:tcW w:w="540" w:type="dxa"/>
            <w:vAlign w:val="bottom"/>
            <w:gridSpan w:val="2"/>
            <w:shd w:val="clear" w:color="auto" w:fill="CCEEFF"/>
          </w:tcPr>
          <w:p>
            <w:pPr>
              <w:jc w:val="right"/>
              <w:ind w:right="261"/>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212</w:t>
            </w:r>
          </w:p>
        </w:tc>
      </w:tr>
      <w:tr>
        <w:trPr>
          <w:trHeight w:val="459"/>
        </w:trPr>
        <w:tc>
          <w:tcPr>
            <w:tcW w:w="6900" w:type="dxa"/>
            <w:vAlign w:val="bottom"/>
            <w:gridSpan w:val="2"/>
          </w:tcPr>
          <w:p>
            <w:pPr>
              <w:ind w:left="440"/>
              <w:spacing w:after="0"/>
              <w:rPr>
                <w:sz w:val="20"/>
                <w:szCs w:val="20"/>
                <w:color w:val="auto"/>
              </w:rPr>
            </w:pPr>
            <w:r>
              <w:rPr>
                <w:rFonts w:ascii="Arial" w:cs="Arial" w:eastAsia="Arial" w:hAnsi="Arial"/>
                <w:sz w:val="17"/>
                <w:szCs w:val="17"/>
                <w:color w:val="auto"/>
              </w:rPr>
              <w:t>Internally developed software costs, included under Software, was as follows:</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7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As of</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6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December 31, 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6"/>
                <w:szCs w:val="16"/>
                <w:b w:val="1"/>
                <w:bCs w:val="1"/>
                <w:color w:val="auto"/>
                <w:w w:val="90"/>
              </w:rPr>
              <w:t>December 31, 2020</w:t>
            </w:r>
          </w:p>
        </w:tc>
        <w:tc>
          <w:tcPr>
            <w:tcW w:w="80" w:type="dxa"/>
            <w:vAlign w:val="bottom"/>
          </w:tcPr>
          <w:p>
            <w:pPr>
              <w:spacing w:after="0"/>
              <w:rPr>
                <w:sz w:val="17"/>
                <w:szCs w:val="17"/>
                <w:color w:val="auto"/>
              </w:rPr>
            </w:pPr>
          </w:p>
        </w:tc>
      </w:tr>
      <w:tr>
        <w:trPr>
          <w:trHeight w:val="219"/>
        </w:trPr>
        <w:tc>
          <w:tcPr>
            <w:tcW w:w="700" w:type="dxa"/>
            <w:vAlign w:val="bottom"/>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8"/>
              </w:rPr>
              <w:t>19,289</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9"/>
              </w:rPr>
              <w:t>18,371</w:t>
            </w:r>
          </w:p>
        </w:tc>
        <w:tc>
          <w:tcPr>
            <w:tcW w:w="80" w:type="dxa"/>
            <w:vAlign w:val="bottom"/>
          </w:tcPr>
          <w:p>
            <w:pPr>
              <w:spacing w:after="0"/>
              <w:rPr>
                <w:sz w:val="19"/>
                <w:szCs w:val="19"/>
                <w:color w:val="auto"/>
              </w:rPr>
            </w:pPr>
          </w:p>
        </w:tc>
      </w:tr>
      <w:tr>
        <w:trPr>
          <w:trHeight w:val="223"/>
        </w:trPr>
        <w:tc>
          <w:tcPr>
            <w:tcW w:w="700" w:type="dxa"/>
            <w:vAlign w:val="bottom"/>
          </w:tcPr>
          <w:p>
            <w:pPr>
              <w:spacing w:after="0"/>
              <w:rPr>
                <w:sz w:val="19"/>
                <w:szCs w:val="19"/>
                <w:color w:val="auto"/>
              </w:rPr>
            </w:pPr>
          </w:p>
        </w:tc>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 Accumulated amortization</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(10,226)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w w:val="92"/>
              </w:rPr>
              <w:t>(5,998)</w:t>
            </w:r>
          </w:p>
        </w:tc>
        <w:tc>
          <w:tcPr>
            <w:tcW w:w="80" w:type="dxa"/>
            <w:vAlign w:val="bottom"/>
          </w:tcPr>
          <w:p>
            <w:pPr>
              <w:spacing w:after="0"/>
              <w:rPr>
                <w:sz w:val="19"/>
                <w:szCs w:val="19"/>
                <w:color w:val="auto"/>
              </w:rPr>
            </w:pPr>
          </w:p>
        </w:tc>
      </w:tr>
      <w:tr>
        <w:trPr>
          <w:trHeight w:val="236"/>
        </w:trPr>
        <w:tc>
          <w:tcPr>
            <w:tcW w:w="700" w:type="dxa"/>
            <w:vAlign w:val="bottom"/>
          </w:tcPr>
          <w:p>
            <w:pPr>
              <w:spacing w:after="0"/>
              <w:rPr>
                <w:sz w:val="20"/>
                <w:szCs w:val="20"/>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Internally developed software, net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9,063</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9"/>
              </w:rPr>
              <w:t>12,373</w:t>
            </w:r>
          </w:p>
        </w:tc>
        <w:tc>
          <w:tcPr>
            <w:tcW w:w="80" w:type="dxa"/>
            <w:vAlign w:val="bottom"/>
          </w:tcPr>
          <w:p>
            <w:pPr>
              <w:spacing w:after="0"/>
              <w:rPr>
                <w:sz w:val="20"/>
                <w:szCs w:val="20"/>
                <w:color w:val="auto"/>
              </w:rPr>
            </w:pPr>
          </w:p>
        </w:tc>
      </w:tr>
      <w:tr>
        <w:trPr>
          <w:trHeight w:val="20"/>
        </w:trPr>
        <w:tc>
          <w:tcPr>
            <w:tcW w:w="70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amortization expense on internally developed software recognized in the consolidated statements of income was as follows:</w:t>
      </w:r>
    </w:p>
    <w:p>
      <w:pPr>
        <w:spacing w:after="0" w:line="209"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46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6"/>
                <w:szCs w:val="16"/>
                <w:b w:val="1"/>
                <w:bCs w:val="1"/>
                <w:color w:val="auto"/>
                <w:w w:val="89"/>
              </w:rPr>
              <w:t>Year ended December 31,</w:t>
            </w:r>
          </w:p>
        </w:tc>
        <w:tc>
          <w:tcPr>
            <w:tcW w:w="1360" w:type="dxa"/>
            <w:vAlign w:val="bottom"/>
            <w:tcBorders>
              <w:bottom w:val="single" w:sz="8" w:color="auto"/>
            </w:tcBorders>
          </w:tcPr>
          <w:p>
            <w:pPr>
              <w:spacing w:after="0"/>
              <w:rPr>
                <w:sz w:val="18"/>
                <w:szCs w:val="18"/>
                <w:color w:val="auto"/>
              </w:rPr>
            </w:pPr>
          </w:p>
        </w:tc>
      </w:tr>
      <w:tr>
        <w:trPr>
          <w:trHeight w:val="203"/>
        </w:trPr>
        <w:tc>
          <w:tcPr>
            <w:tcW w:w="46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7"/>
              <w:spacing w:after="0"/>
              <w:rPr>
                <w:sz w:val="20"/>
                <w:szCs w:val="20"/>
                <w:color w:val="auto"/>
              </w:rPr>
            </w:pPr>
            <w:r>
              <w:rPr>
                <w:rFonts w:ascii="Arial" w:cs="Arial" w:eastAsia="Arial" w:hAnsi="Arial"/>
                <w:sz w:val="16"/>
                <w:szCs w:val="16"/>
                <w:b w:val="1"/>
                <w:bCs w:val="1"/>
                <w:color w:val="auto"/>
              </w:rPr>
              <w:t>2019</w:t>
            </w: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As of December 31, 2021 and 2020, the Company believes no impairment exists because the long-lived asset's future undiscounted net cash flows expected to be generated exceeds its carrying value; however, there can be no assurances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It is reasonably possible that the judgments and estimates described above could change in future periods. The duration and severity of COVID-19 and continued market volatility is highly uncertain and, as such, the impact on undiscounted cash flows is subject to significant judgment and may cause variability in the Company’s assessment of the existence of any impairment.</w:t>
      </w:r>
    </w:p>
    <w:p>
      <w:pPr>
        <w:spacing w:after="0" w:line="132" w:lineRule="exact"/>
        <w:rPr>
          <w:sz w:val="20"/>
          <w:szCs w:val="20"/>
          <w:color w:val="auto"/>
        </w:rPr>
      </w:pPr>
    </w:p>
    <w:p>
      <w:pPr>
        <w:jc w:val="both"/>
        <w:ind w:firstLine="433"/>
        <w:spacing w:after="0" w:line="286" w:lineRule="auto"/>
        <w:rPr>
          <w:sz w:val="20"/>
          <w:szCs w:val="20"/>
          <w:color w:val="auto"/>
        </w:rPr>
      </w:pPr>
      <w:r>
        <w:rPr>
          <w:rFonts w:ascii="Arial" w:cs="Arial" w:eastAsia="Arial" w:hAnsi="Arial"/>
          <w:sz w:val="16"/>
          <w:szCs w:val="16"/>
          <w:color w:val="auto"/>
        </w:rPr>
        <w:t>During the year ended December 31, 2019, the Company performed an impairment test of its long-lived assets related to its Health Integrated business. Based on the results, the long-lived assets carrying value exceeded its fair value. The primary factor contributing to a reduction in the fair value is the wind down of the Health Integrated business, due to an anticipated reduction to the Company's estimated future cash flows. As a result of this analysis, the Company recognized impairment charges of $2,178 during the year ended December 31, 2019, to write down the carrying value of property and equipment to its fair value. This impairment charge was recorded in the consolidated statements of income under "Impairment and restructuring charges".</w:t>
      </w:r>
    </w:p>
    <w:p>
      <w:pPr>
        <w:spacing w:after="0" w:line="104" w:lineRule="exact"/>
        <w:rPr>
          <w:sz w:val="20"/>
          <w:szCs w:val="20"/>
          <w:color w:val="auto"/>
        </w:rPr>
      </w:pPr>
    </w:p>
    <w:p>
      <w:pPr>
        <w:ind w:right="6920" w:firstLine="5"/>
        <w:spacing w:after="0" w:line="526" w:lineRule="auto"/>
        <w:tabs>
          <w:tab w:leader="none" w:pos="175"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Goodwill and Intangible Assets Clairvoyant AI Inc.</w:t>
      </w:r>
    </w:p>
    <w:p>
      <w:pPr>
        <w:spacing w:after="0" w:line="2" w:lineRule="exact"/>
        <w:rPr>
          <w:sz w:val="20"/>
          <w:szCs w:val="20"/>
          <w:color w:val="auto"/>
        </w:rPr>
      </w:pPr>
    </w:p>
    <w:p>
      <w:pPr>
        <w:jc w:val="both"/>
        <w:ind w:firstLine="393"/>
        <w:spacing w:after="0" w:line="241" w:lineRule="auto"/>
        <w:rPr>
          <w:sz w:val="20"/>
          <w:szCs w:val="20"/>
          <w:color w:val="auto"/>
        </w:rPr>
      </w:pPr>
      <w:r>
        <w:rPr>
          <w:rFonts w:ascii="Arial" w:cs="Arial" w:eastAsia="Arial" w:hAnsi="Arial"/>
          <w:sz w:val="17"/>
          <w:szCs w:val="17"/>
          <w:color w:val="auto"/>
        </w:rPr>
        <w:t>On December 16, 2021, the Company, through its wholly owned subsidiary ExlService.com, LLC (“Buyer”), completed the acquisition of Clairvoyant, a Delaware corporation, pursuant to an equity securities purchase agreement dated December 16, 2021 (the "Purchase Agreement"). The Company purchased 100% of the issued and outstanding equity securities in Clairvoyant.</w:t>
      </w:r>
    </w:p>
    <w:p>
      <w:pPr>
        <w:spacing w:after="0" w:line="198" w:lineRule="exact"/>
        <w:rPr>
          <w:sz w:val="20"/>
          <w:szCs w:val="20"/>
          <w:color w:val="auto"/>
        </w:rPr>
      </w:pPr>
    </w:p>
    <w:p>
      <w:pPr>
        <w:jc w:val="both"/>
        <w:ind w:firstLine="393"/>
        <w:spacing w:after="0" w:line="237" w:lineRule="auto"/>
        <w:rPr>
          <w:sz w:val="20"/>
          <w:szCs w:val="20"/>
          <w:color w:val="auto"/>
        </w:rPr>
      </w:pPr>
      <w:r>
        <w:rPr>
          <w:rFonts w:ascii="Arial" w:cs="Arial" w:eastAsia="Arial" w:hAnsi="Arial"/>
          <w:sz w:val="17"/>
          <w:szCs w:val="17"/>
          <w:color w:val="auto"/>
        </w:rPr>
        <w:t>Clairvoyant is a global technology consulting and services company that helps organizations in their business transformation by maximizing the value of data through actionable insights. It provides data engineering, analytics, machine learning, product engineering, and cloud-based solutions. The acquisition strengthens the Company’s capabilities by adding additional expertise in data engineering and cloud enablement, further supporting its clients in insurance, healthcare, banking and financial services, and retail.</w:t>
      </w:r>
    </w:p>
    <w:p>
      <w:pPr>
        <w:spacing w:after="0" w:line="198"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base purchase consideration payable at Closing was $80,080, excluding cash and cash equivalents acquired, debt and other estimated post-closing adjustments. As of December 31, 2021, of the total purchase consideration, the Company has paid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$76,831, net of cash and cash equivalents acquired. The Purchase Agreement also allows sellers the ability to earn up to $20,000 in earn-out payments, based on the achievement of certain performance goals by Clairvoyant during 2022 and 2023 calendar years. The earn-out has an estimated fair value of $9,000 and has been presented as contingent consideration under “Other non-current liabilities.” A portion of the purchase consideration otherwise payable was placed into escrow as security for the post-closing working capital adjustments and the indemnification obligations under the Purchase Agreement. To finance the acquisition at Closing, the Company utilized its revolving Credit Facility in the amount of $75,000 and paid the balance with available cash on hand.</w:t>
      </w:r>
    </w:p>
    <w:p>
      <w:pPr>
        <w:spacing w:after="0" w:line="192" w:lineRule="exact"/>
        <w:rPr>
          <w:sz w:val="20"/>
          <w:szCs w:val="20"/>
          <w:color w:val="auto"/>
        </w:rPr>
      </w:pPr>
    </w:p>
    <w:p>
      <w:pPr>
        <w:jc w:val="both"/>
        <w:ind w:firstLine="393"/>
        <w:spacing w:after="0" w:line="241" w:lineRule="auto"/>
        <w:rPr>
          <w:sz w:val="20"/>
          <w:szCs w:val="20"/>
          <w:color w:val="auto"/>
        </w:rPr>
      </w:pPr>
      <w:r>
        <w:rPr>
          <w:rFonts w:ascii="Arial" w:cs="Arial" w:eastAsia="Arial" w:hAnsi="Arial"/>
          <w:sz w:val="17"/>
          <w:szCs w:val="17"/>
          <w:color w:val="auto"/>
        </w:rPr>
        <w:t>The Company is in the process of finalizing the adjustments related to debt, working capital position and other post- closing adjustments, which, when determined, may result in the recognition of additional assets or liabilities as of the acquisition date, and shall accordingly lead to finalization of the purchase consideration.</w:t>
      </w:r>
    </w:p>
    <w:p>
      <w:pPr>
        <w:spacing w:after="0" w:line="198"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7"/>
          <w:szCs w:val="17"/>
          <w:color w:val="auto"/>
        </w:rPr>
        <w:t>The Company accounted for the business combination using the acquisition method of accounting. The measurement period will not exceed one year from the acquisition date.</w:t>
      </w:r>
    </w:p>
    <w:p>
      <w:pPr>
        <w:spacing w:after="0" w:line="185" w:lineRule="exact"/>
        <w:rPr>
          <w:sz w:val="20"/>
          <w:szCs w:val="20"/>
          <w:color w:val="auto"/>
        </w:rPr>
      </w:pPr>
    </w:p>
    <w:p>
      <w:pPr>
        <w:jc w:val="both"/>
        <w:ind w:firstLine="393"/>
        <w:spacing w:after="0" w:line="231" w:lineRule="auto"/>
        <w:rPr>
          <w:sz w:val="20"/>
          <w:szCs w:val="20"/>
          <w:color w:val="auto"/>
        </w:rPr>
      </w:pPr>
      <w:r>
        <w:rPr>
          <w:rFonts w:ascii="Arial" w:cs="Arial" w:eastAsia="Arial" w:hAnsi="Arial"/>
          <w:sz w:val="17"/>
          <w:szCs w:val="17"/>
          <w:color w:val="auto"/>
        </w:rPr>
        <w:t xml:space="preserve">Pursuant to the Company’s business combinations accounting policy, the aggregate purchase consideration for Clairvoyant was allocated to identifiable net tangible and intangible assets based upon their preliminary fair values. The excess of the estimated purchase consideration over fair value of identifiable net tangible and intangible assets was recorded as goodwill. In order to allocate the consideration transferred for Clairvoyant, the fair values of all identifiable assets and liabilities must be established. For accounting and financial reporting purposes, fair value is defined under ASC No. 820, </w:t>
      </w:r>
      <w:r>
        <w:rPr>
          <w:rFonts w:ascii="Arial" w:cs="Arial" w:eastAsia="Arial" w:hAnsi="Arial"/>
          <w:sz w:val="17"/>
          <w:szCs w:val="17"/>
          <w:i w:val="1"/>
          <w:iCs w:val="1"/>
          <w:color w:val="auto"/>
        </w:rPr>
        <w:t>Fair Value Measurement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w:t>
      </w:r>
      <w:r>
        <w:rPr>
          <w:rFonts w:ascii="Arial" w:cs="Arial" w:eastAsia="Arial" w:hAnsi="Arial"/>
          <w:sz w:val="17"/>
          <w:szCs w:val="17"/>
          <w:color w:val="auto"/>
        </w:rPr>
        <w:t>, as the price that would be received upon sale of an asset or the amount paid to transfer a liability in an orderly transaction between market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Company’s preliminary purchase price allocation to net tangible and intangible assets of Clairvoyant as of December 16, 2021 is as follows: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6200" w:type="dxa"/>
            <w:vAlign w:val="bottom"/>
          </w:tcPr>
          <w:p>
            <w:pPr>
              <w:ind w:left="640"/>
              <w:spacing w:after="0"/>
              <w:rPr>
                <w:sz w:val="20"/>
                <w:szCs w:val="20"/>
                <w:color w:val="auto"/>
              </w:rPr>
            </w:pPr>
            <w:r>
              <w:rPr>
                <w:rFonts w:ascii="Arial" w:cs="Arial" w:eastAsia="Arial" w:hAnsi="Arial"/>
                <w:sz w:val="16"/>
                <w:szCs w:val="16"/>
                <w:b w:val="1"/>
                <w:bCs w:val="1"/>
                <w:color w:val="auto"/>
              </w:rPr>
              <w:t>Assets:</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3"/>
        </w:trPr>
        <w:tc>
          <w:tcPr>
            <w:tcW w:w="6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Cash and cash equivalents</w:t>
            </w:r>
          </w:p>
        </w:tc>
        <w:tc>
          <w:tcPr>
            <w:tcW w:w="132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5,606</w:t>
            </w:r>
          </w:p>
        </w:tc>
      </w:tr>
      <w:tr>
        <w:trPr>
          <w:trHeight w:val="223"/>
        </w:trPr>
        <w:tc>
          <w:tcPr>
            <w:tcW w:w="6200" w:type="dxa"/>
            <w:vAlign w:val="bottom"/>
          </w:tcPr>
          <w:p>
            <w:pPr>
              <w:ind w:left="640"/>
              <w:spacing w:after="0"/>
              <w:rPr>
                <w:sz w:val="20"/>
                <w:szCs w:val="20"/>
                <w:color w:val="auto"/>
              </w:rPr>
            </w:pPr>
            <w:r>
              <w:rPr>
                <w:rFonts w:ascii="Arial" w:cs="Arial" w:eastAsia="Arial" w:hAnsi="Arial"/>
                <w:sz w:val="16"/>
                <w:szCs w:val="16"/>
                <w:color w:val="auto"/>
              </w:rPr>
              <w:t>Accounts receivable, net</w:t>
            </w:r>
          </w:p>
        </w:tc>
        <w:tc>
          <w:tcPr>
            <w:tcW w:w="1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9,042</w:t>
            </w:r>
          </w:p>
        </w:tc>
      </w:tr>
      <w:tr>
        <w:trPr>
          <w:trHeight w:val="223"/>
        </w:trPr>
        <w:tc>
          <w:tcPr>
            <w:tcW w:w="6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current assets</w:t>
            </w: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r>
      <w:tr>
        <w:trPr>
          <w:trHeight w:val="223"/>
        </w:trPr>
        <w:tc>
          <w:tcPr>
            <w:tcW w:w="6200" w:type="dxa"/>
            <w:vAlign w:val="bottom"/>
          </w:tcPr>
          <w:p>
            <w:pPr>
              <w:ind w:left="640"/>
              <w:spacing w:after="0"/>
              <w:rPr>
                <w:sz w:val="20"/>
                <w:szCs w:val="20"/>
                <w:color w:val="auto"/>
              </w:rPr>
            </w:pPr>
            <w:r>
              <w:rPr>
                <w:rFonts w:ascii="Arial" w:cs="Arial" w:eastAsia="Arial" w:hAnsi="Arial"/>
                <w:sz w:val="16"/>
                <w:szCs w:val="16"/>
                <w:color w:val="auto"/>
              </w:rPr>
              <w:t>Property and equipment, net</w:t>
            </w:r>
          </w:p>
        </w:tc>
        <w:tc>
          <w:tcPr>
            <w:tcW w:w="1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399</w:t>
            </w:r>
          </w:p>
        </w:tc>
      </w:tr>
      <w:tr>
        <w:trPr>
          <w:trHeight w:val="223"/>
        </w:trPr>
        <w:tc>
          <w:tcPr>
            <w:tcW w:w="6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Intangible assets, net</w:t>
            </w: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6200" w:type="dxa"/>
            <w:vAlign w:val="bottom"/>
          </w:tcPr>
          <w:p>
            <w:pPr>
              <w:ind w:left="860"/>
              <w:spacing w:after="0"/>
              <w:rPr>
                <w:sz w:val="20"/>
                <w:szCs w:val="20"/>
                <w:color w:val="auto"/>
              </w:rPr>
            </w:pPr>
            <w:r>
              <w:rPr>
                <w:rFonts w:ascii="Arial" w:cs="Arial" w:eastAsia="Arial" w:hAnsi="Arial"/>
                <w:sz w:val="16"/>
                <w:szCs w:val="16"/>
                <w:color w:val="auto"/>
              </w:rPr>
              <w:t>Customer relationships</w:t>
            </w:r>
          </w:p>
        </w:tc>
        <w:tc>
          <w:tcPr>
            <w:tcW w:w="1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31,600</w:t>
            </w:r>
          </w:p>
        </w:tc>
      </w:tr>
      <w:tr>
        <w:trPr>
          <w:trHeight w:val="223"/>
        </w:trPr>
        <w:tc>
          <w:tcPr>
            <w:tcW w:w="6200" w:type="dxa"/>
            <w:vAlign w:val="bottom"/>
            <w:shd w:val="clear" w:color="auto" w:fill="CCEEFF"/>
          </w:tcPr>
          <w:p>
            <w:pPr>
              <w:ind w:left="860"/>
              <w:spacing w:after="0"/>
              <w:rPr>
                <w:sz w:val="20"/>
                <w:szCs w:val="20"/>
                <w:color w:val="auto"/>
              </w:rPr>
            </w:pPr>
            <w:r>
              <w:rPr>
                <w:rFonts w:ascii="Arial" w:cs="Arial" w:eastAsia="Arial" w:hAnsi="Arial"/>
                <w:sz w:val="16"/>
                <w:szCs w:val="16"/>
                <w:color w:val="auto"/>
              </w:rPr>
              <w:t>Developed technology</w:t>
            </w: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r>
      <w:tr>
        <w:trPr>
          <w:trHeight w:val="223"/>
        </w:trPr>
        <w:tc>
          <w:tcPr>
            <w:tcW w:w="6200" w:type="dxa"/>
            <w:vAlign w:val="bottom"/>
          </w:tcPr>
          <w:p>
            <w:pPr>
              <w:ind w:left="860"/>
              <w:spacing w:after="0"/>
              <w:rPr>
                <w:sz w:val="20"/>
                <w:szCs w:val="20"/>
                <w:color w:val="auto"/>
              </w:rPr>
            </w:pPr>
            <w:r>
              <w:rPr>
                <w:rFonts w:ascii="Arial" w:cs="Arial" w:eastAsia="Arial" w:hAnsi="Arial"/>
                <w:sz w:val="16"/>
                <w:szCs w:val="16"/>
                <w:color w:val="auto"/>
              </w:rPr>
              <w:t>Trade names and trademarks</w:t>
            </w:r>
          </w:p>
        </w:tc>
        <w:tc>
          <w:tcPr>
            <w:tcW w:w="1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300</w:t>
            </w:r>
          </w:p>
        </w:tc>
      </w:tr>
      <w:tr>
        <w:trPr>
          <w:trHeight w:val="223"/>
        </w:trPr>
        <w:tc>
          <w:tcPr>
            <w:tcW w:w="6200" w:type="dxa"/>
            <w:vAlign w:val="bottom"/>
            <w:shd w:val="clear" w:color="auto" w:fill="CCEEFF"/>
          </w:tcPr>
          <w:p>
            <w:pPr>
              <w:ind w:left="860"/>
              <w:spacing w:after="0"/>
              <w:rPr>
                <w:sz w:val="20"/>
                <w:szCs w:val="20"/>
                <w:color w:val="auto"/>
              </w:rPr>
            </w:pPr>
            <w:r>
              <w:rPr>
                <w:rFonts w:ascii="Arial" w:cs="Arial" w:eastAsia="Arial" w:hAnsi="Arial"/>
                <w:sz w:val="16"/>
                <w:szCs w:val="16"/>
                <w:color w:val="auto"/>
              </w:rPr>
              <w:t>Non-compete agreements</w:t>
            </w: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r>
      <w:tr>
        <w:trPr>
          <w:trHeight w:val="223"/>
        </w:trPr>
        <w:tc>
          <w:tcPr>
            <w:tcW w:w="62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Other assets</w:t>
            </w:r>
          </w:p>
        </w:tc>
        <w:tc>
          <w:tcPr>
            <w:tcW w:w="1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r>
      <w:tr>
        <w:trPr>
          <w:trHeight w:val="216"/>
        </w:trPr>
        <w:tc>
          <w:tcPr>
            <w:tcW w:w="6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1320" w:type="dxa"/>
            <w:vAlign w:val="bottom"/>
            <w:shd w:val="clear" w:color="auto" w:fill="CCEEFF"/>
          </w:tcPr>
          <w:p>
            <w:pPr>
              <w:jc w:val="right"/>
              <w:ind w:right="49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50,045</w:t>
            </w:r>
          </w:p>
        </w:tc>
      </w:tr>
      <w:tr>
        <w:trPr>
          <w:trHeight w:val="92"/>
        </w:trPr>
        <w:tc>
          <w:tcPr>
            <w:tcW w:w="6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23"/>
        </w:trPr>
        <w:tc>
          <w:tcPr>
            <w:tcW w:w="620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Liabilities:</w:t>
            </w: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6200" w:type="dxa"/>
            <w:vAlign w:val="bottom"/>
          </w:tcPr>
          <w:p>
            <w:pPr>
              <w:ind w:left="640"/>
              <w:spacing w:after="0"/>
              <w:rPr>
                <w:sz w:val="20"/>
                <w:szCs w:val="20"/>
                <w:color w:val="auto"/>
              </w:rPr>
            </w:pPr>
            <w:r>
              <w:rPr>
                <w:rFonts w:ascii="Arial" w:cs="Arial" w:eastAsia="Arial" w:hAnsi="Arial"/>
                <w:sz w:val="16"/>
                <w:szCs w:val="16"/>
                <w:color w:val="auto"/>
              </w:rPr>
              <w:t>Accounts payable</w:t>
            </w:r>
          </w:p>
        </w:tc>
        <w:tc>
          <w:tcPr>
            <w:tcW w:w="1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(1,241)</w:t>
            </w:r>
          </w:p>
        </w:tc>
      </w:tr>
      <w:tr>
        <w:trPr>
          <w:trHeight w:val="223"/>
        </w:trPr>
        <w:tc>
          <w:tcPr>
            <w:tcW w:w="6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expenses and other current liabilities</w:t>
            </w: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(4,833)</w:t>
            </w:r>
          </w:p>
        </w:tc>
      </w:tr>
      <w:tr>
        <w:trPr>
          <w:trHeight w:val="223"/>
        </w:trPr>
        <w:tc>
          <w:tcPr>
            <w:tcW w:w="6200" w:type="dxa"/>
            <w:vAlign w:val="bottom"/>
          </w:tcPr>
          <w:p>
            <w:pPr>
              <w:ind w:left="640"/>
              <w:spacing w:after="0"/>
              <w:rPr>
                <w:sz w:val="20"/>
                <w:szCs w:val="20"/>
                <w:color w:val="auto"/>
              </w:rPr>
            </w:pPr>
            <w:r>
              <w:rPr>
                <w:rFonts w:ascii="Arial" w:cs="Arial" w:eastAsia="Arial" w:hAnsi="Arial"/>
                <w:sz w:val="16"/>
                <w:szCs w:val="16"/>
                <w:color w:val="auto"/>
              </w:rPr>
              <w:t>Deferred tax liabilities</w:t>
            </w:r>
          </w:p>
        </w:tc>
        <w:tc>
          <w:tcPr>
            <w:tcW w:w="1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(9,383)</w:t>
            </w:r>
          </w:p>
        </w:tc>
      </w:tr>
      <w:tr>
        <w:trPr>
          <w:trHeight w:val="223"/>
        </w:trPr>
        <w:tc>
          <w:tcPr>
            <w:tcW w:w="6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non-current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r>
      <w:tr>
        <w:trPr>
          <w:trHeight w:val="216"/>
        </w:trPr>
        <w:tc>
          <w:tcPr>
            <w:tcW w:w="6200" w:type="dxa"/>
            <w:vAlign w:val="bottom"/>
          </w:tcPr>
          <w:p>
            <w:pPr>
              <w:ind w:left="640"/>
              <w:spacing w:after="0"/>
              <w:rPr>
                <w:sz w:val="20"/>
                <w:szCs w:val="20"/>
                <w:color w:val="auto"/>
              </w:rPr>
            </w:pPr>
            <w:r>
              <w:rPr>
                <w:rFonts w:ascii="Arial" w:cs="Arial" w:eastAsia="Arial" w:hAnsi="Arial"/>
                <w:sz w:val="16"/>
                <w:szCs w:val="16"/>
                <w:color w:val="auto"/>
              </w:rPr>
              <w:t>Total liabilities</w:t>
            </w:r>
          </w:p>
        </w:tc>
        <w:tc>
          <w:tcPr>
            <w:tcW w:w="1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(15,695)</w:t>
            </w:r>
          </w:p>
        </w:tc>
      </w:tr>
      <w:tr>
        <w:trPr>
          <w:trHeight w:val="223"/>
        </w:trPr>
        <w:tc>
          <w:tcPr>
            <w:tcW w:w="620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Net assets acquired</w:t>
            </w: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34,350</w:t>
            </w:r>
          </w:p>
        </w:tc>
      </w:tr>
      <w:tr>
        <w:trPr>
          <w:trHeight w:val="223"/>
        </w:trPr>
        <w:tc>
          <w:tcPr>
            <w:tcW w:w="62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Goodwill</w:t>
            </w:r>
          </w:p>
        </w:tc>
        <w:tc>
          <w:tcPr>
            <w:tcW w:w="1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55,225</w:t>
            </w:r>
          </w:p>
        </w:tc>
      </w:tr>
      <w:tr>
        <w:trPr>
          <w:trHeight w:val="241"/>
        </w:trPr>
        <w:tc>
          <w:tcPr>
            <w:tcW w:w="6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Total purchase consideration*</w:t>
            </w:r>
          </w:p>
        </w:tc>
        <w:tc>
          <w:tcPr>
            <w:tcW w:w="132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89,575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Includes contingent consideration of $9,000 recognized at fair value.</w:t>
      </w:r>
    </w:p>
    <w:p>
      <w:pPr>
        <w:spacing w:after="0" w:line="224" w:lineRule="exact"/>
        <w:rPr>
          <w:sz w:val="20"/>
          <w:szCs w:val="20"/>
          <w:color w:val="auto"/>
        </w:rPr>
      </w:pPr>
    </w:p>
    <w:p>
      <w:pPr>
        <w:jc w:val="both"/>
        <w:ind w:firstLine="629"/>
        <w:spacing w:after="0" w:line="241" w:lineRule="auto"/>
        <w:rPr>
          <w:sz w:val="20"/>
          <w:szCs w:val="20"/>
          <w:color w:val="auto"/>
        </w:rPr>
      </w:pPr>
      <w:r>
        <w:rPr>
          <w:rFonts w:ascii="Arial" w:cs="Arial" w:eastAsia="Arial" w:hAnsi="Arial"/>
          <w:sz w:val="17"/>
          <w:szCs w:val="17"/>
          <w:color w:val="auto"/>
        </w:rPr>
        <w:t>The fair value of assets acquired and liabilities assumed from the acquisition of Clairvoyant is based on a preliminary valuation and, as such, the Company's estimates and assumptions are subject to change within the measurement period. The primary areas of the purchase price allocation that are not yet finalized are related to direct and indirect taxes and reflect management’s best estimates and assumptions as of the reporting date.</w:t>
      </w:r>
    </w:p>
    <w:p>
      <w:pPr>
        <w:spacing w:after="0" w:line="198" w:lineRule="exact"/>
        <w:rPr>
          <w:sz w:val="20"/>
          <w:szCs w:val="20"/>
          <w:color w:val="auto"/>
        </w:rPr>
      </w:pPr>
    </w:p>
    <w:p>
      <w:pPr>
        <w:jc w:val="both"/>
        <w:ind w:firstLine="629"/>
        <w:spacing w:after="0" w:line="247" w:lineRule="auto"/>
        <w:rPr>
          <w:sz w:val="20"/>
          <w:szCs w:val="20"/>
          <w:color w:val="auto"/>
        </w:rPr>
      </w:pPr>
      <w:r>
        <w:rPr>
          <w:rFonts w:ascii="Arial" w:cs="Arial" w:eastAsia="Arial" w:hAnsi="Arial"/>
          <w:sz w:val="16"/>
          <w:szCs w:val="16"/>
          <w:color w:val="auto"/>
        </w:rPr>
        <w:t>The fair values of customer relationships were determined by using an “income approach,” specifically the Multi-Period Excess Earnings Method ("MPEEM"). The MPEEM is a specific application of the discounted cash flow method. The principle behind the MPEEM is that the value of an intangible asset is equal to the present value of the incremental after-tax cash flows attributable only to the subject intangible asset after deducting Contributory Asset Charges ("CAC"). The principle behind a CAC is that an intangible asset ‘rents’ or ‘leases’ from a hypothetical third party all the assets it requires to produce the cash flows resulting from its development, that each project rents only those assets it needs (including elements of goodwill) and not the ones that it does not need, and that each project pays the owner of the assets a fair return on (and of, when appropriate) the value of the rented assets. The customer relationship assets are being amortized on a straight-line basis (which approximates the economic pattern of benefits) over the estimated economic life of 7 years.</w:t>
      </w:r>
    </w:p>
    <w:p>
      <w:pPr>
        <w:spacing w:after="0" w:line="196" w:lineRule="exact"/>
        <w:rPr>
          <w:sz w:val="20"/>
          <w:szCs w:val="20"/>
          <w:color w:val="auto"/>
        </w:rPr>
      </w:pPr>
    </w:p>
    <w:p>
      <w:pPr>
        <w:jc w:val="both"/>
        <w:ind w:firstLine="629"/>
        <w:spacing w:after="0" w:line="234" w:lineRule="auto"/>
        <w:rPr>
          <w:sz w:val="20"/>
          <w:szCs w:val="20"/>
          <w:color w:val="auto"/>
        </w:rPr>
      </w:pPr>
      <w:r>
        <w:rPr>
          <w:rFonts w:ascii="Arial" w:cs="Arial" w:eastAsia="Arial" w:hAnsi="Arial"/>
          <w:sz w:val="17"/>
          <w:szCs w:val="17"/>
          <w:color w:val="auto"/>
        </w:rPr>
        <w:t>The fair values of the developed technology intangible assets were determined by using the "cost approach," specifically the replacement cost method. In the replacement cost approach, the fair value of an asset is based on the cost of a market participant to reconstruct a substitute asset of comparable utility, adjusted for any obsolescence. The fair value of the asset would include the seller’s expected profit margin in the market and any opportunity costs lost over the period to reconstruct the substitute asset. The technology assets are being amortized on a straight-line basis (which approximates the economic pattern of benefits) over the estimated economic life of 3 years.</w:t>
      </w:r>
    </w:p>
    <w:p>
      <w:pPr>
        <w:spacing w:after="0" w:line="201" w:lineRule="exact"/>
        <w:rPr>
          <w:sz w:val="20"/>
          <w:szCs w:val="20"/>
          <w:color w:val="auto"/>
        </w:rPr>
      </w:pPr>
    </w:p>
    <w:p>
      <w:pPr>
        <w:jc w:val="both"/>
        <w:ind w:firstLine="629"/>
        <w:spacing w:after="0" w:line="237" w:lineRule="auto"/>
        <w:rPr>
          <w:sz w:val="20"/>
          <w:szCs w:val="20"/>
          <w:color w:val="auto"/>
        </w:rPr>
      </w:pPr>
      <w:r>
        <w:rPr>
          <w:rFonts w:ascii="Arial" w:cs="Arial" w:eastAsia="Arial" w:hAnsi="Arial"/>
          <w:sz w:val="17"/>
          <w:szCs w:val="17"/>
          <w:color w:val="auto"/>
        </w:rPr>
        <w:t>The goodwill recognized represents the acquired capabilities, operating synergies and other benefits expected to result from combining the acquired operations with the Company’s existing operations. The amount of goodwill recognized from Clairvoyant’s acquisition is not deductible for tax purposes. The goodwill has been assigned to the Company’s Analytics reportable segment based upon the Company’s assessment of nature of services rendered by Clairvoyant.</w:t>
      </w:r>
    </w:p>
    <w:p>
      <w:pPr>
        <w:spacing w:after="0" w:line="198" w:lineRule="exact"/>
        <w:rPr>
          <w:sz w:val="20"/>
          <w:szCs w:val="20"/>
          <w:color w:val="auto"/>
        </w:rPr>
      </w:pPr>
    </w:p>
    <w:p>
      <w:pPr>
        <w:jc w:val="both"/>
        <w:ind w:firstLine="629"/>
        <w:spacing w:after="0" w:line="257" w:lineRule="auto"/>
        <w:rPr>
          <w:sz w:val="20"/>
          <w:szCs w:val="20"/>
          <w:color w:val="auto"/>
        </w:rPr>
      </w:pPr>
      <w:r>
        <w:rPr>
          <w:rFonts w:ascii="Arial" w:cs="Arial" w:eastAsia="Arial" w:hAnsi="Arial"/>
          <w:sz w:val="17"/>
          <w:szCs w:val="17"/>
          <w:color w:val="auto"/>
        </w:rPr>
        <w:t>Acquisition-related costs are being expensed as incurred and are included in general and administrative expenses in the consolidated statements of income. The Company recognized acquisition-related costs of $761 during the year ended December 31, 2021.</w:t>
      </w:r>
    </w:p>
    <w:p>
      <w:pPr>
        <w:spacing w:after="0" w:line="185" w:lineRule="exact"/>
        <w:rPr>
          <w:sz w:val="20"/>
          <w:szCs w:val="20"/>
          <w:color w:val="auto"/>
        </w:rPr>
      </w:pPr>
    </w:p>
    <w:p>
      <w:pPr>
        <w:jc w:val="both"/>
        <w:ind w:firstLine="629"/>
        <w:spacing w:after="0" w:line="241" w:lineRule="auto"/>
        <w:rPr>
          <w:sz w:val="20"/>
          <w:szCs w:val="20"/>
          <w:color w:val="auto"/>
        </w:rPr>
      </w:pPr>
      <w:r>
        <w:rPr>
          <w:rFonts w:ascii="Arial" w:cs="Arial" w:eastAsia="Arial" w:hAnsi="Arial"/>
          <w:sz w:val="17"/>
          <w:szCs w:val="17"/>
          <w:color w:val="auto"/>
        </w:rPr>
        <w:t>The results of operations of the acquired business and the fair value of the acquired assets and assumed liabilities are included in the Company’s consolidated financial statements with effect from the date of the acquisition. The acquisition did not materially impact the Company's financial position, results of operations or cash flows, and therefore, the Company has not provided unaudited supplemental pro forma results.</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72"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The Company transitioned to new segment reporting structure effective January 1, 2020, which resulted in certain changes to its operating segments and reporting units. The Company reallocated goodwill to its reporting units using a relative fair value approach. In addition, the Company completed an assessment of any potential goodwill impairment for all its reporting units immediately prior to the reallocation and determined that no impairment existed.</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details of changes in goodwill by reportable segment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restart"/>
          </w:tcPr>
          <w:p>
            <w:pPr>
              <w:jc w:val="right"/>
              <w:ind w:right="154"/>
              <w:spacing w:after="0"/>
              <w:rPr>
                <w:sz w:val="20"/>
                <w:szCs w:val="20"/>
                <w:color w:val="auto"/>
              </w:rPr>
            </w:pPr>
            <w:r>
              <w:rPr>
                <w:rFonts w:ascii="Arial" w:cs="Arial" w:eastAsia="Arial" w:hAnsi="Arial"/>
                <w:sz w:val="16"/>
                <w:szCs w:val="16"/>
                <w:b w:val="1"/>
                <w:bCs w:val="1"/>
                <w:color w:val="auto"/>
                <w:w w:val="95"/>
              </w:rPr>
              <w:t>Insurance</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174"/>
              <w:spacing w:after="0"/>
              <w:rPr>
                <w:sz w:val="20"/>
                <w:szCs w:val="20"/>
                <w:color w:val="auto"/>
              </w:rPr>
            </w:pPr>
            <w:r>
              <w:rPr>
                <w:rFonts w:ascii="Arial" w:cs="Arial" w:eastAsia="Arial" w:hAnsi="Arial"/>
                <w:sz w:val="16"/>
                <w:szCs w:val="16"/>
                <w:b w:val="1"/>
                <w:bCs w:val="1"/>
                <w:color w:val="auto"/>
                <w:w w:val="95"/>
              </w:rPr>
              <w:t>Healthcare</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Emerging</w:t>
            </w:r>
          </w:p>
        </w:tc>
        <w:tc>
          <w:tcPr>
            <w:tcW w:w="140" w:type="dxa"/>
            <w:vAlign w:val="bottom"/>
          </w:tcPr>
          <w:p>
            <w:pPr>
              <w:spacing w:after="0"/>
              <w:rPr>
                <w:sz w:val="16"/>
                <w:szCs w:val="16"/>
                <w:color w:val="auto"/>
              </w:rPr>
            </w:pPr>
          </w:p>
        </w:tc>
        <w:tc>
          <w:tcPr>
            <w:tcW w:w="84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w w:val="92"/>
              </w:rPr>
              <w:t>Analytics</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174"/>
              <w:spacing w:after="0"/>
              <w:rPr>
                <w:sz w:val="20"/>
                <w:szCs w:val="20"/>
                <w:color w:val="auto"/>
              </w:rPr>
            </w:pPr>
            <w:r>
              <w:rPr>
                <w:rFonts w:ascii="Arial" w:cs="Arial" w:eastAsia="Arial" w:hAnsi="Arial"/>
                <w:sz w:val="16"/>
                <w:szCs w:val="16"/>
                <w:b w:val="1"/>
                <w:bCs w:val="1"/>
                <w:color w:val="auto"/>
              </w:rPr>
              <w:t>TT&amp;L</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restart"/>
          </w:tcPr>
          <w:p>
            <w:pPr>
              <w:jc w:val="right"/>
              <w:ind w:right="234"/>
              <w:spacing w:after="0"/>
              <w:rPr>
                <w:sz w:val="20"/>
                <w:szCs w:val="20"/>
                <w:color w:val="auto"/>
              </w:rPr>
            </w:pPr>
            <w:r>
              <w:rPr>
                <w:rFonts w:ascii="Arial" w:cs="Arial" w:eastAsia="Arial" w:hAnsi="Arial"/>
                <w:sz w:val="16"/>
                <w:szCs w:val="16"/>
                <w:b w:val="1"/>
                <w:bCs w:val="1"/>
                <w:color w:val="auto"/>
              </w:rPr>
              <w:t>F&amp;A</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ind w:right="94"/>
              <w:spacing w:after="0"/>
              <w:rPr>
                <w:sz w:val="20"/>
                <w:szCs w:val="20"/>
                <w:color w:val="auto"/>
              </w:rPr>
            </w:pPr>
            <w:r>
              <w:rPr>
                <w:rFonts w:ascii="Arial" w:cs="Arial" w:eastAsia="Arial" w:hAnsi="Arial"/>
                <w:sz w:val="16"/>
                <w:szCs w:val="16"/>
                <w:b w:val="1"/>
                <w:bCs w:val="1"/>
                <w:color w:val="auto"/>
                <w:w w:val="97"/>
              </w:rPr>
              <w:t>All Other</w:t>
            </w:r>
          </w:p>
        </w:tc>
        <w:tc>
          <w:tcPr>
            <w:tcW w:w="8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restart"/>
          </w:tcPr>
          <w:p>
            <w:pPr>
              <w:jc w:val="right"/>
              <w:ind w:right="25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2"/>
              </w:rPr>
              <w:t>Business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Balance at January 1, 2020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227,289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349,529</w:t>
            </w:r>
          </w:p>
        </w:tc>
        <w:tc>
          <w:tcPr>
            <w:tcW w:w="0" w:type="dxa"/>
            <w:vAlign w:val="bottom"/>
          </w:tcPr>
          <w:p>
            <w:pPr>
              <w:spacing w:after="0"/>
              <w:rPr>
                <w:sz w:val="1"/>
                <w:szCs w:val="1"/>
                <w:color w:val="auto"/>
              </w:rPr>
            </w:pPr>
          </w:p>
        </w:tc>
      </w:tr>
      <w:tr>
        <w:trPr>
          <w:trHeight w:val="223"/>
        </w:trPr>
        <w:tc>
          <w:tcPr>
            <w:tcW w:w="2060" w:type="dxa"/>
            <w:vAlign w:val="bottom"/>
          </w:tcPr>
          <w:p>
            <w:pPr>
              <w:ind w:left="240"/>
              <w:spacing w:after="0" w:line="223" w:lineRule="exact"/>
              <w:rPr>
                <w:sz w:val="20"/>
                <w:szCs w:val="20"/>
                <w:color w:val="auto"/>
              </w:rPr>
            </w:pPr>
            <w:r>
              <w:rPr>
                <w:rFonts w:ascii="Arial" w:cs="Arial" w:eastAsia="Arial" w:hAnsi="Arial"/>
                <w:sz w:val="17"/>
                <w:szCs w:val="17"/>
                <w:color w:val="auto"/>
              </w:rPr>
              <w:t>Goodwill reallocation</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49,803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(12,457)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(46,905)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(5,326)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2060" w:type="dxa"/>
            <w:vAlign w:val="bottom"/>
            <w:shd w:val="clear" w:color="auto" w:fill="CCEEFF"/>
          </w:tcPr>
          <w:p>
            <w:pPr>
              <w:ind w:left="240"/>
              <w:spacing w:after="0" w:line="172" w:lineRule="exact"/>
              <w:rPr>
                <w:sz w:val="20"/>
                <w:szCs w:val="20"/>
                <w:color w:val="auto"/>
              </w:rPr>
            </w:pPr>
            <w:r>
              <w:rPr>
                <w:rFonts w:ascii="Arial" w:cs="Arial" w:eastAsia="Arial" w:hAnsi="Arial"/>
                <w:sz w:val="17"/>
                <w:szCs w:val="17"/>
                <w:color w:val="auto"/>
              </w:rPr>
              <w:t>Currency translation</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22"/>
        </w:trPr>
        <w:tc>
          <w:tcPr>
            <w:tcW w:w="20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adjustments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60" w:type="dxa"/>
            <w:vAlign w:val="bottom"/>
          </w:tcPr>
          <w:p>
            <w:pPr>
              <w:ind w:left="20"/>
              <w:spacing w:after="0" w:line="151" w:lineRule="exact"/>
              <w:rPr>
                <w:sz w:val="20"/>
                <w:szCs w:val="20"/>
                <w:color w:val="auto"/>
              </w:rPr>
            </w:pPr>
            <w:r>
              <w:rPr>
                <w:rFonts w:ascii="Arial" w:cs="Arial" w:eastAsia="Arial" w:hAnsi="Arial"/>
                <w:sz w:val="17"/>
                <w:szCs w:val="17"/>
                <w:color w:val="auto"/>
              </w:rPr>
              <w:t>Balance at December 31,</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50,499</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21,953</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49,348</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227,288</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vMerge w:val="restart"/>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vMerge w:val="restart"/>
          </w:tcPr>
          <w:p>
            <w:pPr>
              <w:jc w:val="right"/>
              <w:ind w:right="33"/>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349,088</w:t>
            </w:r>
          </w:p>
        </w:tc>
        <w:tc>
          <w:tcPr>
            <w:tcW w:w="0" w:type="dxa"/>
            <w:vAlign w:val="bottom"/>
          </w:tcPr>
          <w:p>
            <w:pPr>
              <w:spacing w:after="0"/>
              <w:rPr>
                <w:sz w:val="1"/>
                <w:szCs w:val="1"/>
                <w:color w:val="auto"/>
              </w:rPr>
            </w:pPr>
          </w:p>
        </w:tc>
      </w:tr>
      <w:tr>
        <w:trPr>
          <w:trHeight w:val="222"/>
        </w:trPr>
        <w:tc>
          <w:tcPr>
            <w:tcW w:w="2060" w:type="dxa"/>
            <w:vAlign w:val="bottom"/>
          </w:tcPr>
          <w:p>
            <w:pPr>
              <w:ind w:left="20"/>
              <w:spacing w:after="0"/>
              <w:rPr>
                <w:sz w:val="20"/>
                <w:szCs w:val="20"/>
                <w:color w:val="auto"/>
              </w:rPr>
            </w:pPr>
            <w:r>
              <w:rPr>
                <w:rFonts w:ascii="Arial" w:cs="Arial" w:eastAsia="Arial" w:hAnsi="Arial"/>
                <w:sz w:val="17"/>
                <w:szCs w:val="17"/>
                <w:color w:val="auto"/>
              </w:rPr>
              <w:t>2020</w:t>
            </w:r>
          </w:p>
        </w:tc>
        <w:tc>
          <w:tcPr>
            <w:tcW w:w="1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Acquisition</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55,225</w:t>
            </w:r>
          </w:p>
        </w:tc>
        <w:tc>
          <w:tcPr>
            <w:tcW w:w="0" w:type="dxa"/>
            <w:vAlign w:val="bottom"/>
          </w:tcPr>
          <w:p>
            <w:pPr>
              <w:spacing w:after="0"/>
              <w:rPr>
                <w:sz w:val="1"/>
                <w:szCs w:val="1"/>
                <w:color w:val="auto"/>
              </w:rPr>
            </w:pPr>
          </w:p>
        </w:tc>
      </w:tr>
      <w:tr>
        <w:trPr>
          <w:trHeight w:val="171"/>
        </w:trPr>
        <w:tc>
          <w:tcPr>
            <w:tcW w:w="2060" w:type="dxa"/>
            <w:vAlign w:val="bottom"/>
          </w:tcPr>
          <w:p>
            <w:pPr>
              <w:ind w:left="240"/>
              <w:spacing w:after="0" w:line="172" w:lineRule="exact"/>
              <w:rPr>
                <w:sz w:val="20"/>
                <w:szCs w:val="20"/>
                <w:color w:val="auto"/>
              </w:rPr>
            </w:pPr>
            <w:r>
              <w:rPr>
                <w:rFonts w:ascii="Arial" w:cs="Arial" w:eastAsia="Arial" w:hAnsi="Arial"/>
                <w:sz w:val="17"/>
                <w:szCs w:val="17"/>
                <w:color w:val="auto"/>
              </w:rPr>
              <w:t>Currency translation</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22"/>
        </w:trPr>
        <w:tc>
          <w:tcPr>
            <w:tcW w:w="20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adjustments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60" w:type="dxa"/>
            <w:vAlign w:val="bottom"/>
            <w:shd w:val="clear" w:color="auto" w:fill="CCEEFF"/>
          </w:tcPr>
          <w:p>
            <w:pPr>
              <w:ind w:left="20"/>
              <w:spacing w:after="0" w:line="151" w:lineRule="exact"/>
              <w:rPr>
                <w:sz w:val="20"/>
                <w:szCs w:val="20"/>
                <w:color w:val="auto"/>
              </w:rPr>
            </w:pPr>
            <w:r>
              <w:rPr>
                <w:rFonts w:ascii="Arial" w:cs="Arial" w:eastAsia="Arial" w:hAnsi="Arial"/>
                <w:sz w:val="17"/>
                <w:szCs w:val="17"/>
                <w:color w:val="auto"/>
              </w:rPr>
              <w:t>Balance at December 31,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50,428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21,942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49,020</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282,512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403,902</w:t>
            </w: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firstLine="5"/>
        <w:spacing w:after="0" w:line="247" w:lineRule="auto"/>
        <w:tabs>
          <w:tab w:leader="none" w:pos="181"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Includes effects of reallocation of goodwill because of the Company reorganizing its operating segments as described in Note 3 - Segment and Geographical Information to the consolidated financial statements.</w:t>
      </w:r>
    </w:p>
    <w:p>
      <w:pPr>
        <w:spacing w:after="0" w:line="139"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During the fourth quarter of 2021, the Company performed its annual goodwill quantitative impairment test for those reporting units that had goodwill recorded. Key assumptions used in determining the fair value of the Company’s reporting units were, a long-term revenue growth rate in the terminal year of 3.0%, which was based upon expected long-term inflation rate and real gross domestic product growth over a long-term, and discount rates ranging from 12.0% to 12.1%, which vary based upon the risks and uncertainties inherent in each individual reporting unit. Based on the results, the fair value of each of the Company’s reporting units exceeded their carrying value and the Company’s goodwill was not impaired. During the fourth quarter of 2020, the Company performed its annual goodwill impairment test, as it has done this year, and also concluded goodwill was not impaired.</w:t>
      </w:r>
    </w:p>
    <w:p>
      <w:pPr>
        <w:spacing w:after="0" w:line="115" w:lineRule="exact"/>
        <w:rPr>
          <w:sz w:val="20"/>
          <w:szCs w:val="20"/>
          <w:color w:val="auto"/>
        </w:rPr>
      </w:pPr>
    </w:p>
    <w:p>
      <w:pPr>
        <w:jc w:val="both"/>
        <w:ind w:firstLine="393"/>
        <w:spacing w:after="0" w:line="252" w:lineRule="auto"/>
        <w:rPr>
          <w:sz w:val="20"/>
          <w:szCs w:val="20"/>
          <w:color w:val="auto"/>
        </w:rPr>
      </w:pPr>
      <w:r>
        <w:rPr>
          <w:rFonts w:ascii="Arial" w:cs="Arial" w:eastAsia="Arial" w:hAnsi="Arial"/>
          <w:sz w:val="17"/>
          <w:szCs w:val="17"/>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 The Company believes there are significant opportunities for additional growth within its existing clients, and can expand these relationships by:</w:t>
      </w:r>
    </w:p>
    <w:p>
      <w:pPr>
        <w:spacing w:after="0" w:line="123" w:lineRule="exact"/>
        <w:rPr>
          <w:sz w:val="20"/>
          <w:szCs w:val="20"/>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Increasing the depth and breadth of the services the Company provides across its clients’ value chains and geographies;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Offering the full suite of the Company's services that includes digital operations and solutions and data and analytics;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Supporting the Company's clients’ geographic expansion leveraging its global footprint.</w:t>
      </w:r>
    </w:p>
    <w:p>
      <w:pPr>
        <w:spacing w:after="0" w:line="172"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Company also considers selective strategic relationships with industry leaders that add new long-term client relationships, enhance the depth and breadth of its services and solutions, and complement its business strategy. Through its various Partnership programs, the Company expands its technology and innovation ecosystem with select partnerships, alliances or investments that the Company expects will enhance go-to-market opportunities and expand the scope and effectiveness of the Company’s services and solutions by adding digital assets and intellectual property, which will help the Company to win new clients or allowing it to enter new industry verticals and geographic markets.</w:t>
      </w:r>
    </w:p>
    <w:p>
      <w:pPr>
        <w:spacing w:after="0" w:line="127"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and severity of COVID-19 and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100"/>
        <w:spacing w:after="0" w:line="268" w:lineRule="auto"/>
        <w:rPr>
          <w:sz w:val="20"/>
          <w:szCs w:val="20"/>
          <w:color w:val="auto"/>
        </w:rPr>
      </w:pPr>
      <w:r>
        <w:rPr>
          <w:rFonts w:ascii="Arial" w:cs="Arial" w:eastAsia="Arial" w:hAnsi="Arial"/>
          <w:sz w:val="17"/>
          <w:szCs w:val="17"/>
          <w:color w:val="auto"/>
        </w:rPr>
        <w:t>continued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 The Company continues to monitor the impacts of COVID-19 on the Company and significant changes in key assumptions that could result in future period impairment charges.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regarding the Company’s intangible assets is set forth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6"/>
                <w:szCs w:val="16"/>
                <w:b w:val="1"/>
                <w:bCs w:val="1"/>
                <w:color w:val="auto"/>
                <w:w w:val="94"/>
              </w:rPr>
              <w:t>As of December 31, 2021</w:t>
            </w: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54"/>
        </w:trPr>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5"/>
          </w:tcPr>
          <w:p>
            <w:pPr>
              <w:jc w:val="right"/>
              <w:ind w:right="821"/>
              <w:spacing w:after="0" w:line="154" w:lineRule="exact"/>
              <w:rPr>
                <w:sz w:val="20"/>
                <w:szCs w:val="20"/>
                <w:color w:val="auto"/>
              </w:rPr>
            </w:pPr>
            <w:r>
              <w:rPr>
                <w:rFonts w:ascii="Arial" w:cs="Arial" w:eastAsia="Arial" w:hAnsi="Arial"/>
                <w:sz w:val="16"/>
                <w:szCs w:val="16"/>
                <w:b w:val="1"/>
                <w:bCs w:val="1"/>
                <w:color w:val="auto"/>
                <w:w w:val="86"/>
              </w:rPr>
              <w:t>Gross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4"/>
          </w:tcPr>
          <w:p>
            <w:pPr>
              <w:ind w:left="280"/>
              <w:spacing w:after="0" w:line="154" w:lineRule="exact"/>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gridSpan w:val="3"/>
          </w:tcPr>
          <w:p>
            <w:pPr>
              <w:jc w:val="right"/>
              <w:spacing w:after="0" w:line="154" w:lineRule="exact"/>
              <w:rPr>
                <w:sz w:val="20"/>
                <w:szCs w:val="20"/>
                <w:color w:val="auto"/>
              </w:rPr>
            </w:pPr>
            <w:r>
              <w:rPr>
                <w:rFonts w:ascii="Arial" w:cs="Arial" w:eastAsia="Arial" w:hAnsi="Arial"/>
                <w:sz w:val="16"/>
                <w:szCs w:val="16"/>
                <w:b w:val="1"/>
                <w:bCs w:val="1"/>
                <w:color w:val="auto"/>
                <w:w w:val="99"/>
              </w:rPr>
              <w:t>Net Carryin</w:t>
            </w:r>
          </w:p>
        </w:tc>
      </w:tr>
      <w:tr>
        <w:trPr>
          <w:trHeight w:val="207"/>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gridSpan w:val="7"/>
          </w:tcPr>
          <w:p>
            <w:pPr>
              <w:jc w:val="right"/>
              <w:ind w:right="641"/>
              <w:spacing w:after="0"/>
              <w:rPr>
                <w:sz w:val="20"/>
                <w:szCs w:val="20"/>
                <w:color w:val="auto"/>
              </w:rPr>
            </w:pPr>
            <w:r>
              <w:rPr>
                <w:rFonts w:ascii="Arial" w:cs="Arial" w:eastAsia="Arial" w:hAnsi="Arial"/>
                <w:sz w:val="16"/>
                <w:szCs w:val="16"/>
                <w:b w:val="1"/>
                <w:bCs w:val="1"/>
                <w:color w:val="auto"/>
              </w:rPr>
              <w:t>Carrying Amount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1"/>
              </w:rPr>
              <w:t>Amortization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5"/>
              </w:rPr>
              <w:t>Amount</w:t>
            </w:r>
          </w:p>
        </w:tc>
      </w:tr>
      <w:tr>
        <w:trPr>
          <w:trHeight w:val="193"/>
        </w:trPr>
        <w:tc>
          <w:tcPr>
            <w:tcW w:w="440" w:type="dxa"/>
            <w:vAlign w:val="bottom"/>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4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Finite-lived intangible assets:</w:t>
            </w: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r>
      <w:tr>
        <w:trPr>
          <w:trHeight w:val="223"/>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40" w:type="dxa"/>
            <w:vAlign w:val="bottom"/>
          </w:tcPr>
          <w:p>
            <w:pPr>
              <w:ind w:left="80"/>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spacing w:after="0"/>
              <w:rPr>
                <w:sz w:val="19"/>
                <w:szCs w:val="19"/>
                <w:color w:val="auto"/>
              </w:rPr>
            </w:pPr>
          </w:p>
        </w:tc>
        <w:tc>
          <w:tcPr>
            <w:tcW w:w="1220" w:type="dxa"/>
            <w:vAlign w:val="bottom"/>
            <w:gridSpan w:val="2"/>
          </w:tcPr>
          <w:p>
            <w:pPr>
              <w:jc w:val="right"/>
              <w:ind w:right="57"/>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103,016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(33,018)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center"/>
              <w:ind w:left="194"/>
              <w:spacing w:after="0"/>
              <w:rPr>
                <w:sz w:val="20"/>
                <w:szCs w:val="20"/>
                <w:color w:val="auto"/>
              </w:rPr>
            </w:pPr>
            <w:r>
              <w:rPr>
                <w:rFonts w:ascii="Arial" w:cs="Arial" w:eastAsia="Arial" w:hAnsi="Arial"/>
                <w:sz w:val="17"/>
                <w:szCs w:val="17"/>
                <w:color w:val="auto"/>
                <w:w w:val="84"/>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69,</w:t>
            </w:r>
          </w:p>
        </w:tc>
      </w:tr>
      <w:tr>
        <w:trPr>
          <w:trHeight w:val="223"/>
        </w:trPr>
        <w:tc>
          <w:tcPr>
            <w:tcW w:w="44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Developed technology</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(15,850)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3"/>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40" w:type="dxa"/>
            <w:vAlign w:val="bottom"/>
          </w:tcPr>
          <w:p>
            <w:pPr>
              <w:ind w:left="80"/>
              <w:spacing w:after="0"/>
              <w:rPr>
                <w:sz w:val="20"/>
                <w:szCs w:val="20"/>
                <w:color w:val="auto"/>
              </w:rPr>
            </w:pPr>
            <w:r>
              <w:rPr>
                <w:rFonts w:ascii="Arial" w:cs="Arial" w:eastAsia="Arial" w:hAnsi="Arial"/>
                <w:sz w:val="17"/>
                <w:szCs w:val="17"/>
                <w:color w:val="auto"/>
              </w:rPr>
              <w:t>Trade names and trademarks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1,700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(1,006)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Non-compete agreements</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7"/>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130,056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(49,874)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center"/>
              <w:ind w:left="194"/>
              <w:spacing w:after="0"/>
              <w:rPr>
                <w:sz w:val="20"/>
                <w:szCs w:val="20"/>
                <w:color w:val="auto"/>
              </w:rPr>
            </w:pPr>
            <w:r>
              <w:rPr>
                <w:rFonts w:ascii="Arial" w:cs="Arial" w:eastAsia="Arial" w:hAnsi="Arial"/>
                <w:sz w:val="17"/>
                <w:szCs w:val="17"/>
                <w:color w:val="auto"/>
                <w:w w:val="84"/>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80,</w:t>
            </w:r>
          </w:p>
        </w:tc>
      </w:tr>
      <w:tr>
        <w:trPr>
          <w:trHeight w:val="210"/>
        </w:trPr>
        <w:tc>
          <w:tcPr>
            <w:tcW w:w="44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Indefinite-lived intangible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40" w:type="dxa"/>
            <w:vAlign w:val="bottom"/>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Trade names and trademarks</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ind w:left="194"/>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36"/>
        </w:trPr>
        <w:tc>
          <w:tcPr>
            <w:tcW w:w="44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Total intangible assets</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130,956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(49,874)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center"/>
              <w:ind w:left="194"/>
              <w:spacing w:after="0"/>
              <w:rPr>
                <w:sz w:val="20"/>
                <w:szCs w:val="20"/>
                <w:color w:val="auto"/>
              </w:rPr>
            </w:pPr>
            <w:r>
              <w:rPr>
                <w:rFonts w:ascii="Arial" w:cs="Arial" w:eastAsia="Arial" w:hAnsi="Arial"/>
                <w:sz w:val="17"/>
                <w:szCs w:val="17"/>
                <w:color w:val="auto"/>
                <w:w w:val="84"/>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0"/>
        </w:trPr>
        <w:tc>
          <w:tcPr>
            <w:tcW w:w="44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468"/>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88"/>
              </w:rPr>
              <w:t>As of December 31, 2020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tcPr>
          <w:p>
            <w:pPr>
              <w:jc w:val="right"/>
              <w:ind w:right="521"/>
              <w:spacing w:after="0" w:line="154" w:lineRule="exact"/>
              <w:rPr>
                <w:sz w:val="20"/>
                <w:szCs w:val="20"/>
                <w:color w:val="auto"/>
              </w:rPr>
            </w:pPr>
            <w:r>
              <w:rPr>
                <w:rFonts w:ascii="Arial" w:cs="Arial" w:eastAsia="Arial" w:hAnsi="Arial"/>
                <w:sz w:val="16"/>
                <w:szCs w:val="16"/>
                <w:b w:val="1"/>
                <w:bCs w:val="1"/>
                <w:color w:val="auto"/>
              </w:rPr>
              <w:t>Gross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4"/>
          </w:tcPr>
          <w:p>
            <w:pPr>
              <w:ind w:left="220"/>
              <w:spacing w:after="0" w:line="154" w:lineRule="exact"/>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ind w:right="240"/>
              <w:spacing w:after="0" w:line="154" w:lineRule="exact"/>
              <w:rPr>
                <w:sz w:val="20"/>
                <w:szCs w:val="20"/>
                <w:color w:val="auto"/>
              </w:rPr>
            </w:pPr>
            <w:r>
              <w:rPr>
                <w:rFonts w:ascii="Arial" w:cs="Arial" w:eastAsia="Arial" w:hAnsi="Arial"/>
                <w:sz w:val="16"/>
                <w:szCs w:val="16"/>
                <w:b w:val="1"/>
                <w:bCs w:val="1"/>
                <w:color w:val="auto"/>
                <w:w w:val="95"/>
              </w:rPr>
              <w:t>Net Carrying</w:t>
            </w:r>
          </w:p>
        </w:tc>
        <w:tc>
          <w:tcPr>
            <w:tcW w:w="100" w:type="dxa"/>
            <w:vAlign w:val="bottom"/>
          </w:tcPr>
          <w:p>
            <w:pPr>
              <w:spacing w:after="0"/>
              <w:rPr>
                <w:sz w:val="13"/>
                <w:szCs w:val="13"/>
                <w:color w:val="auto"/>
              </w:rPr>
            </w:pPr>
          </w:p>
        </w:tc>
      </w:tr>
      <w:tr>
        <w:trPr>
          <w:trHeight w:val="207"/>
        </w:trPr>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40" w:type="dxa"/>
            <w:vAlign w:val="bottom"/>
            <w:gridSpan w:val="6"/>
          </w:tcPr>
          <w:p>
            <w:pPr>
              <w:jc w:val="right"/>
              <w:ind w:right="121"/>
              <w:spacing w:after="0"/>
              <w:rPr>
                <w:sz w:val="20"/>
                <w:szCs w:val="20"/>
                <w:color w:val="auto"/>
              </w:rPr>
            </w:pPr>
            <w:r>
              <w:rPr>
                <w:rFonts w:ascii="Arial" w:cs="Arial" w:eastAsia="Arial" w:hAnsi="Arial"/>
                <w:sz w:val="16"/>
                <w:szCs w:val="16"/>
                <w:b w:val="1"/>
                <w:bCs w:val="1"/>
                <w:color w:val="auto"/>
              </w:rPr>
              <w:t>Carrying Amount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220"/>
              <w:spacing w:after="0"/>
              <w:rPr>
                <w:sz w:val="20"/>
                <w:szCs w:val="20"/>
                <w:color w:val="auto"/>
              </w:rPr>
            </w:pPr>
            <w:r>
              <w:rPr>
                <w:rFonts w:ascii="Arial" w:cs="Arial" w:eastAsia="Arial" w:hAnsi="Arial"/>
                <w:sz w:val="16"/>
                <w:szCs w:val="16"/>
                <w:b w:val="1"/>
                <w:bCs w:val="1"/>
                <w:color w:val="auto"/>
              </w:rPr>
              <w:t>Amortization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Amount</w:t>
            </w:r>
          </w:p>
        </w:tc>
      </w:tr>
      <w:tr>
        <w:trPr>
          <w:trHeight w:val="193"/>
        </w:trPr>
        <w:tc>
          <w:tcPr>
            <w:tcW w:w="52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1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240" w:type="dxa"/>
            <w:vAlign w:val="bottom"/>
            <w:gridSpan w:val="4"/>
          </w:tcPr>
          <w:p>
            <w:pPr>
              <w:ind w:left="20"/>
              <w:spacing w:after="0"/>
              <w:rPr>
                <w:sz w:val="20"/>
                <w:szCs w:val="20"/>
                <w:color w:val="auto"/>
              </w:rPr>
            </w:pPr>
            <w:r>
              <w:rPr>
                <w:rFonts w:ascii="Arial" w:cs="Arial" w:eastAsia="Arial" w:hAnsi="Arial"/>
                <w:sz w:val="17"/>
                <w:szCs w:val="17"/>
                <w:color w:val="auto"/>
              </w:rPr>
              <w:t>Customer relationships</w:t>
            </w:r>
          </w:p>
        </w:tc>
        <w:tc>
          <w:tcPr>
            <w:tcW w:w="160" w:type="dxa"/>
            <w:vAlign w:val="bottom"/>
          </w:tcPr>
          <w:p>
            <w:pPr>
              <w:spacing w:after="0"/>
              <w:rPr>
                <w:sz w:val="19"/>
                <w:szCs w:val="19"/>
                <w:color w:val="auto"/>
              </w:rPr>
            </w:pPr>
          </w:p>
        </w:tc>
        <w:tc>
          <w:tcPr>
            <w:tcW w:w="1540" w:type="dxa"/>
            <w:vAlign w:val="bottom"/>
            <w:gridSpan w:val="3"/>
          </w:tcPr>
          <w:p>
            <w:pPr>
              <w:jc w:val="center"/>
              <w:ind w:left="934"/>
              <w:spacing w:after="0"/>
              <w:rPr>
                <w:sz w:val="20"/>
                <w:szCs w:val="20"/>
                <w:color w:val="auto"/>
              </w:rPr>
            </w:pPr>
            <w:r>
              <w:rPr>
                <w:rFonts w:ascii="Arial" w:cs="Arial" w:eastAsia="Arial" w:hAnsi="Arial"/>
                <w:sz w:val="17"/>
                <w:szCs w:val="17"/>
                <w:color w:val="auto"/>
                <w:w w:val="84"/>
              </w:rPr>
              <w:t>$</w:t>
            </w:r>
          </w:p>
        </w:tc>
        <w:tc>
          <w:tcPr>
            <w:tcW w:w="1320" w:type="dxa"/>
            <w:vAlign w:val="bottom"/>
            <w:gridSpan w:val="5"/>
          </w:tcPr>
          <w:p>
            <w:pPr>
              <w:jc w:val="right"/>
              <w:spacing w:after="0"/>
              <w:rPr>
                <w:sz w:val="20"/>
                <w:szCs w:val="20"/>
                <w:color w:val="auto"/>
              </w:rPr>
            </w:pPr>
            <w:r>
              <w:rPr>
                <w:rFonts w:ascii="Arial" w:cs="Arial" w:eastAsia="Arial" w:hAnsi="Arial"/>
                <w:sz w:val="17"/>
                <w:szCs w:val="17"/>
                <w:color w:val="auto"/>
              </w:rPr>
              <w:t>73,357</w:t>
            </w:r>
          </w:p>
        </w:tc>
        <w:tc>
          <w:tcPr>
            <w:tcW w:w="60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(27,464)</w:t>
            </w:r>
          </w:p>
        </w:tc>
        <w:tc>
          <w:tcPr>
            <w:tcW w:w="20" w:type="dxa"/>
            <w:vAlign w:val="bottom"/>
          </w:tcPr>
          <w:p>
            <w:pPr>
              <w:spacing w:after="0"/>
              <w:rPr>
                <w:sz w:val="19"/>
                <w:szCs w:val="19"/>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45,893</w:t>
            </w:r>
          </w:p>
        </w:tc>
        <w:tc>
          <w:tcPr>
            <w:tcW w:w="100" w:type="dxa"/>
            <w:vAlign w:val="bottom"/>
          </w:tcPr>
          <w:p>
            <w:pPr>
              <w:spacing w:after="0"/>
              <w:rPr>
                <w:sz w:val="19"/>
                <w:szCs w:val="19"/>
                <w:color w:val="auto"/>
              </w:rPr>
            </w:pPr>
          </w:p>
        </w:tc>
      </w:tr>
      <w:tr>
        <w:trPr>
          <w:trHeight w:val="223"/>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23,510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11,652</w:t>
            </w:r>
          </w:p>
        </w:tc>
        <w:tc>
          <w:tcPr>
            <w:tcW w:w="100" w:type="dxa"/>
            <w:vAlign w:val="bottom"/>
          </w:tcPr>
          <w:p>
            <w:pPr>
              <w:spacing w:after="0"/>
              <w:rPr>
                <w:sz w:val="19"/>
                <w:szCs w:val="19"/>
                <w:color w:val="auto"/>
              </w:rPr>
            </w:pPr>
          </w:p>
        </w:tc>
      </w:tr>
      <w:tr>
        <w:trPr>
          <w:trHeight w:val="223"/>
        </w:trPr>
        <w:tc>
          <w:tcPr>
            <w:tcW w:w="524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rPr>
              <w:t>Trade names and trademarks</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5,100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1,149</w:t>
            </w:r>
          </w:p>
        </w:tc>
        <w:tc>
          <w:tcPr>
            <w:tcW w:w="100" w:type="dxa"/>
            <w:vAlign w:val="bottom"/>
          </w:tcPr>
          <w:p>
            <w:pPr>
              <w:spacing w:after="0"/>
              <w:rPr>
                <w:sz w:val="19"/>
                <w:szCs w:val="19"/>
                <w:color w:val="auto"/>
              </w:rPr>
            </w:pPr>
          </w:p>
        </w:tc>
      </w:tr>
      <w:tr>
        <w:trPr>
          <w:trHeight w:val="216"/>
        </w:trPr>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ind w:left="934"/>
              <w:spacing w:after="0"/>
              <w:rPr>
                <w:sz w:val="20"/>
                <w:szCs w:val="20"/>
                <w:color w:val="auto"/>
              </w:rPr>
            </w:pPr>
            <w:r>
              <w:rPr>
                <w:rFonts w:ascii="Arial" w:cs="Arial" w:eastAsia="Arial" w:hAnsi="Arial"/>
                <w:sz w:val="17"/>
                <w:szCs w:val="17"/>
                <w:color w:val="auto"/>
                <w:w w:val="84"/>
              </w:rPr>
              <w:t>$</w:t>
            </w: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101,967</w:t>
            </w: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(43,273)</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58,694</w:t>
            </w:r>
          </w:p>
        </w:tc>
        <w:tc>
          <w:tcPr>
            <w:tcW w:w="100" w:type="dxa"/>
            <w:vAlign w:val="bottom"/>
          </w:tcPr>
          <w:p>
            <w:pPr>
              <w:spacing w:after="0"/>
              <w:rPr>
                <w:sz w:val="18"/>
                <w:szCs w:val="18"/>
                <w:color w:val="auto"/>
              </w:rPr>
            </w:pPr>
          </w:p>
        </w:tc>
      </w:tr>
      <w:tr>
        <w:trPr>
          <w:trHeight w:val="207"/>
        </w:trPr>
        <w:tc>
          <w:tcPr>
            <w:tcW w:w="5240" w:type="dxa"/>
            <w:vAlign w:val="bottom"/>
            <w:gridSpan w:val="4"/>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52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Trade names and trademarks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center"/>
              <w:ind w:right="117"/>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900</w:t>
            </w:r>
          </w:p>
        </w:tc>
        <w:tc>
          <w:tcPr>
            <w:tcW w:w="100" w:type="dxa"/>
            <w:vAlign w:val="bottom"/>
          </w:tcPr>
          <w:p>
            <w:pPr>
              <w:spacing w:after="0"/>
              <w:rPr>
                <w:sz w:val="19"/>
                <w:szCs w:val="19"/>
                <w:color w:val="auto"/>
              </w:rPr>
            </w:pPr>
          </w:p>
        </w:tc>
      </w:tr>
      <w:tr>
        <w:trPr>
          <w:trHeight w:val="216"/>
        </w:trPr>
        <w:tc>
          <w:tcPr>
            <w:tcW w:w="5240" w:type="dxa"/>
            <w:vAlign w:val="bottom"/>
            <w:gridSpan w:val="4"/>
          </w:tcPr>
          <w:p>
            <w:pPr>
              <w:ind w:left="20"/>
              <w:spacing w:after="0"/>
              <w:rPr>
                <w:sz w:val="20"/>
                <w:szCs w:val="20"/>
                <w:color w:val="auto"/>
              </w:rPr>
            </w:pPr>
            <w:r>
              <w:rPr>
                <w:rFonts w:ascii="Arial" w:cs="Arial" w:eastAsia="Arial" w:hAnsi="Arial"/>
                <w:sz w:val="16"/>
                <w:szCs w:val="16"/>
                <w:b w:val="1"/>
                <w:bCs w:val="1"/>
                <w:color w:val="auto"/>
              </w:rPr>
              <w:t>Total intangible assets</w:t>
            </w:r>
          </w:p>
        </w:tc>
        <w:tc>
          <w:tcPr>
            <w:tcW w:w="160" w:type="dxa"/>
            <w:vAlign w:val="bottom"/>
          </w:tcPr>
          <w:p>
            <w:pPr>
              <w:spacing w:after="0"/>
              <w:rPr>
                <w:sz w:val="18"/>
                <w:szCs w:val="18"/>
                <w:color w:val="auto"/>
              </w:rPr>
            </w:pPr>
          </w:p>
        </w:tc>
        <w:tc>
          <w:tcPr>
            <w:tcW w:w="1540" w:type="dxa"/>
            <w:vAlign w:val="bottom"/>
            <w:gridSpan w:val="3"/>
          </w:tcPr>
          <w:p>
            <w:pPr>
              <w:jc w:val="center"/>
              <w:ind w:left="934"/>
              <w:spacing w:after="0"/>
              <w:rPr>
                <w:sz w:val="20"/>
                <w:szCs w:val="20"/>
                <w:color w:val="auto"/>
              </w:rPr>
            </w:pPr>
            <w:r>
              <w:rPr>
                <w:rFonts w:ascii="Arial" w:cs="Arial" w:eastAsia="Arial" w:hAnsi="Arial"/>
                <w:sz w:val="17"/>
                <w:szCs w:val="17"/>
                <w:color w:val="auto"/>
                <w:w w:val="84"/>
              </w:rPr>
              <w:t>$</w:t>
            </w:r>
          </w:p>
        </w:tc>
        <w:tc>
          <w:tcPr>
            <w:tcW w:w="1320" w:type="dxa"/>
            <w:vAlign w:val="bottom"/>
            <w:gridSpan w:val="5"/>
          </w:tcPr>
          <w:p>
            <w:pPr>
              <w:jc w:val="right"/>
              <w:spacing w:after="0"/>
              <w:rPr>
                <w:sz w:val="20"/>
                <w:szCs w:val="20"/>
                <w:color w:val="auto"/>
              </w:rPr>
            </w:pPr>
            <w:r>
              <w:rPr>
                <w:rFonts w:ascii="Arial" w:cs="Arial" w:eastAsia="Arial" w:hAnsi="Arial"/>
                <w:sz w:val="17"/>
                <w:szCs w:val="17"/>
                <w:color w:val="auto"/>
              </w:rPr>
              <w:t>102,867</w:t>
            </w:r>
          </w:p>
        </w:tc>
        <w:tc>
          <w:tcPr>
            <w:tcW w:w="60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(43,273)</w:t>
            </w:r>
          </w:p>
        </w:tc>
        <w:tc>
          <w:tcPr>
            <w:tcW w:w="2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59,594</w:t>
            </w:r>
          </w:p>
        </w:tc>
        <w:tc>
          <w:tcPr>
            <w:tcW w:w="10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7820" w:type="dxa"/>
            <w:vAlign w:val="bottom"/>
            <w:gridSpan w:val="12"/>
          </w:tcPr>
          <w:p>
            <w:pPr>
              <w:jc w:val="right"/>
              <w:ind w:right="1081"/>
              <w:spacing w:after="0"/>
              <w:rPr>
                <w:sz w:val="20"/>
                <w:szCs w:val="20"/>
                <w:color w:val="auto"/>
              </w:rPr>
            </w:pPr>
            <w:r>
              <w:rPr>
                <w:rFonts w:ascii="Arial" w:cs="Arial" w:eastAsia="Arial" w:hAnsi="Arial"/>
                <w:sz w:val="17"/>
                <w:szCs w:val="17"/>
                <w:color w:val="auto"/>
                <w:w w:val="92"/>
              </w:rPr>
              <w:t>The amortization expense recognized in the consolidated statements of income was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3"/>
              </w:rPr>
              <w:t>Year ended December 31,</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gridSpan w:val="3"/>
            <w:shd w:val="clear" w:color="auto" w:fill="CCEEFF"/>
          </w:tcPr>
          <w:p>
            <w:pPr>
              <w:jc w:val="center"/>
              <w:ind w:left="934"/>
              <w:spacing w:after="0"/>
              <w:rPr>
                <w:sz w:val="20"/>
                <w:szCs w:val="20"/>
                <w:color w:val="auto"/>
              </w:rPr>
            </w:pPr>
            <w:r>
              <w:rPr>
                <w:rFonts w:ascii="Arial" w:cs="Arial" w:eastAsia="Arial" w:hAnsi="Arial"/>
                <w:sz w:val="17"/>
                <w:szCs w:val="17"/>
                <w:color w:val="auto"/>
                <w:w w:val="92"/>
              </w:rPr>
              <w:t>12,778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7"/>
                <w:szCs w:val="17"/>
                <w:color w:val="auto"/>
                <w:w w:val="92"/>
              </w:rPr>
              <w:t>14,412</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7"/>
                <w:szCs w:val="17"/>
                <w:color w:val="auto"/>
                <w:w w:val="84"/>
              </w:rPr>
              <w:t>$</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2"/>
              </w:rPr>
              <w:t>21,558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800" w:type="dxa"/>
            <w:vAlign w:val="bottom"/>
            <w:gridSpan w:val="3"/>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8"/>
        </w:trPr>
        <w:tc>
          <w:tcPr>
            <w:tcW w:w="5400" w:type="dxa"/>
            <w:vAlign w:val="bottom"/>
            <w:gridSpan w:val="5"/>
          </w:tcPr>
          <w:p>
            <w:pPr>
              <w:ind w:left="400"/>
              <w:spacing w:after="0"/>
              <w:rPr>
                <w:sz w:val="20"/>
                <w:szCs w:val="20"/>
                <w:color w:val="auto"/>
              </w:rPr>
            </w:pPr>
            <w:r>
              <w:rPr>
                <w:rFonts w:ascii="Arial" w:cs="Arial" w:eastAsia="Arial" w:hAnsi="Arial"/>
                <w:sz w:val="17"/>
                <w:szCs w:val="17"/>
                <w:color w:val="auto"/>
                <w:w w:val="94"/>
              </w:rPr>
              <w:t>The remaining weighted average life of intangible assets is as follows:</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w w:val="92"/>
              </w:rPr>
              <w:t>(in years)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7"/>
                <w:szCs w:val="17"/>
                <w:color w:val="auto"/>
              </w:rPr>
              <w:t>Developed technologies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2.1</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 and trademarks (Finite lived)</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7"/>
                <w:szCs w:val="17"/>
                <w:color w:val="auto"/>
              </w:rPr>
              <w:t>Non-compete agreements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4.0</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65"/>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ind w:left="60"/>
              <w:spacing w:after="0"/>
              <w:rPr>
                <w:sz w:val="20"/>
                <w:szCs w:val="20"/>
                <w:color w:val="auto"/>
              </w:rPr>
            </w:pPr>
            <w:r>
              <w:rPr>
                <w:rFonts w:ascii="Arial" w:cs="Arial" w:eastAsia="Arial" w:hAnsi="Arial"/>
                <w:sz w:val="17"/>
                <w:szCs w:val="17"/>
                <w:color w:val="auto"/>
              </w:rPr>
              <w:t>F-35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00" w:type="dxa"/>
        <w:tblCellMar>
          <w:top w:w="0" w:type="dxa"/>
          <w:left w:w="0" w:type="dxa"/>
          <w:bottom w:w="0" w:type="dxa"/>
          <w:right w:w="0" w:type="dxa"/>
        </w:tblCellMar>
      </w:tblPr>
      <w:tr>
        <w:trPr>
          <w:trHeight w:val="222"/>
        </w:trPr>
        <w:tc>
          <w:tcPr>
            <w:tcW w:w="8760" w:type="dxa"/>
            <w:vAlign w:val="bottom"/>
            <w:gridSpan w:val="2"/>
          </w:tcPr>
          <w:p>
            <w:pPr>
              <w:ind w:left="20"/>
              <w:spacing w:after="0"/>
              <w:rPr>
                <w:sz w:val="20"/>
                <w:szCs w:val="20"/>
                <w:color w:val="auto"/>
              </w:rPr>
            </w:pPr>
            <w:r>
              <w:rPr>
                <w:rFonts w:ascii="Arial" w:cs="Arial" w:eastAsia="Arial" w:hAnsi="Arial"/>
                <w:sz w:val="17"/>
                <w:szCs w:val="17"/>
                <w:color w:val="auto"/>
                <w:w w:val="97"/>
              </w:rPr>
              <w:t>Estimated future amortization expense related to finite-lived intangible assets as of December 31, 2021 was as follows:</w:t>
            </w:r>
          </w:p>
        </w:tc>
        <w:tc>
          <w:tcPr>
            <w:tcW w:w="900" w:type="dxa"/>
            <w:vAlign w:val="bottom"/>
          </w:tcPr>
          <w:p>
            <w:pPr>
              <w:spacing w:after="0"/>
              <w:rPr>
                <w:sz w:val="19"/>
                <w:szCs w:val="19"/>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17,004</w:t>
            </w:r>
          </w:p>
        </w:tc>
      </w:tr>
      <w:tr>
        <w:trPr>
          <w:trHeight w:val="223"/>
        </w:trPr>
        <w:tc>
          <w:tcPr>
            <w:tcW w:w="8320" w:type="dxa"/>
            <w:vAlign w:val="bottom"/>
          </w:tcPr>
          <w:p>
            <w:pPr>
              <w:ind w:left="20"/>
              <w:spacing w:after="0"/>
              <w:rPr>
                <w:sz w:val="20"/>
                <w:szCs w:val="20"/>
                <w:color w:val="auto"/>
              </w:rPr>
            </w:pPr>
            <w:r>
              <w:rPr>
                <w:rFonts w:ascii="Arial" w:cs="Arial" w:eastAsia="Arial" w:hAnsi="Arial"/>
                <w:sz w:val="17"/>
                <w:szCs w:val="17"/>
                <w:color w:val="auto"/>
              </w:rPr>
              <w:t>2023</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14,468</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11,966</w:t>
            </w:r>
          </w:p>
        </w:tc>
      </w:tr>
      <w:tr>
        <w:trPr>
          <w:trHeight w:val="223"/>
        </w:trPr>
        <w:tc>
          <w:tcPr>
            <w:tcW w:w="8320" w:type="dxa"/>
            <w:vAlign w:val="bottom"/>
          </w:tcPr>
          <w:p>
            <w:pPr>
              <w:ind w:left="20"/>
              <w:spacing w:after="0"/>
              <w:rPr>
                <w:sz w:val="20"/>
                <w:szCs w:val="20"/>
                <w:color w:val="auto"/>
              </w:rPr>
            </w:pPr>
            <w:r>
              <w:rPr>
                <w:rFonts w:ascii="Arial" w:cs="Arial" w:eastAsia="Arial" w:hAnsi="Arial"/>
                <w:sz w:val="17"/>
                <w:szCs w:val="17"/>
                <w:color w:val="auto"/>
              </w:rPr>
              <w:t>2025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10,539</w:t>
            </w: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10,195</w:t>
            </w:r>
          </w:p>
        </w:tc>
      </w:tr>
      <w:tr>
        <w:trPr>
          <w:trHeight w:val="22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 and thereafter</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16,010</w:t>
            </w: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80,182</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Other Current Assets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Other current assets consist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6"/>
                <w:szCs w:val="16"/>
                <w:b w:val="1"/>
                <w:bCs w:val="1"/>
                <w:color w:val="auto"/>
              </w:rPr>
              <w:t>As of</w:t>
            </w:r>
          </w:p>
        </w:tc>
        <w:tc>
          <w:tcPr>
            <w:tcW w:w="1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w w:val="87"/>
              </w:rPr>
              <w:t>December 31, 2021</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w w:val="92"/>
              </w:rPr>
              <w:t>December 31, 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Receivables from statutory authorities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18,023</w:t>
            </w: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Derivative instruments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8,682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9,755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Advances to suppliers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Deferred contract fulfillment costs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1,483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Contract assets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Interest accrued on term deposits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892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7"/>
                <w:szCs w:val="17"/>
                <w:color w:val="auto"/>
              </w:rPr>
              <w:t>Other current assets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34,009</w:t>
            </w: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37,109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11. Other Assets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64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60" w:type="dxa"/>
            <w:vAlign w:val="bottom"/>
          </w:tcPr>
          <w:p>
            <w:pPr>
              <w:ind w:left="40"/>
              <w:spacing w:after="0"/>
              <w:rPr>
                <w:sz w:val="20"/>
                <w:szCs w:val="20"/>
                <w:color w:val="auto"/>
              </w:rPr>
            </w:pPr>
            <w:r>
              <w:rPr>
                <w:rFonts w:ascii="Arial" w:cs="Arial" w:eastAsia="Arial" w:hAnsi="Arial"/>
                <w:sz w:val="17"/>
                <w:szCs w:val="17"/>
                <w:color w:val="auto"/>
              </w:rPr>
              <w:t>Other assets consist of the following:</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84"/>
              </w:rPr>
              <w:t>As of</w:t>
            </w:r>
          </w:p>
        </w:tc>
        <w:tc>
          <w:tcPr>
            <w:tcW w:w="1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December 31, 2021</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w w:val="97"/>
              </w:rPr>
              <w:t>December 31, 2020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Lease deposits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9,649</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Deposits with statutory authorities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6,417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6,341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Deferred contract fulfillment costs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4,312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Receivable from Statutory authorities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Term deposits</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Others</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2,071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30,369</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32,099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Accrued Expenses and Other Current Liabilities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Accrued expenses and other current liabilities consist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center"/>
              <w:ind w:left="1633"/>
              <w:spacing w:after="0"/>
              <w:rPr>
                <w:sz w:val="20"/>
                <w:szCs w:val="20"/>
                <w:color w:val="auto"/>
              </w:rPr>
            </w:pPr>
            <w:r>
              <w:rPr>
                <w:rFonts w:ascii="Arial" w:cs="Arial" w:eastAsia="Arial" w:hAnsi="Arial"/>
                <w:sz w:val="16"/>
                <w:szCs w:val="16"/>
                <w:b w:val="1"/>
                <w:bCs w:val="1"/>
                <w:color w:val="auto"/>
                <w:w w:val="84"/>
              </w:rPr>
              <w:t>As of</w:t>
            </w:r>
          </w:p>
        </w:tc>
        <w:tc>
          <w:tcPr>
            <w:tcW w:w="1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520"/>
              <w:spacing w:after="0"/>
              <w:rPr>
                <w:sz w:val="20"/>
                <w:szCs w:val="20"/>
                <w:color w:val="auto"/>
              </w:rPr>
            </w:pPr>
            <w:r>
              <w:rPr>
                <w:rFonts w:ascii="Arial" w:cs="Arial" w:eastAsia="Arial" w:hAnsi="Arial"/>
                <w:sz w:val="17"/>
                <w:szCs w:val="17"/>
                <w:b w:val="1"/>
                <w:bCs w:val="1"/>
                <w:color w:val="auto"/>
                <w:w w:val="91"/>
              </w:rPr>
              <w:t>December 31, 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460"/>
              <w:spacing w:after="0"/>
              <w:rPr>
                <w:sz w:val="20"/>
                <w:szCs w:val="20"/>
                <w:color w:val="auto"/>
              </w:rPr>
            </w:pPr>
            <w:r>
              <w:rPr>
                <w:rFonts w:ascii="Arial" w:cs="Arial" w:eastAsia="Arial" w:hAnsi="Arial"/>
                <w:sz w:val="17"/>
                <w:szCs w:val="17"/>
                <w:b w:val="1"/>
                <w:bCs w:val="1"/>
                <w:color w:val="auto"/>
                <w:w w:val="91"/>
              </w:rPr>
              <w:t>December 31, 2020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44,405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Arial" w:cs="Arial" w:eastAsia="Arial" w:hAnsi="Arial"/>
                <w:sz w:val="17"/>
                <w:szCs w:val="17"/>
                <w:color w:val="auto"/>
              </w:rPr>
              <w:t>Payable to statutory authorities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7"/>
                <w:szCs w:val="17"/>
                <w:color w:val="auto"/>
              </w:rPr>
              <w:t>13,902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10,594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capital expenditures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7,404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Arial" w:cs="Arial" w:eastAsia="Arial" w:hAnsi="Arial"/>
                <w:sz w:val="17"/>
                <w:szCs w:val="17"/>
                <w:color w:val="auto"/>
              </w:rPr>
              <w:t>Client liabilities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7"/>
                <w:szCs w:val="17"/>
                <w:color w:val="auto"/>
              </w:rPr>
              <w:t>6,097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Arial" w:cs="Arial" w:eastAsia="Arial" w:hAnsi="Arial"/>
                <w:sz w:val="17"/>
                <w:szCs w:val="17"/>
                <w:color w:val="auto"/>
              </w:rPr>
              <w:t>Interest payable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7"/>
                <w:szCs w:val="17"/>
                <w:color w:val="auto"/>
              </w:rPr>
              <w:t>252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Finance lease liabilities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current liabilities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1,071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0" w:type="dxa"/>
            <w:vAlign w:val="bottom"/>
          </w:tcPr>
          <w:p>
            <w:pPr>
              <w:spacing w:after="0"/>
              <w:rPr>
                <w:sz w:val="20"/>
                <w:szCs w:val="20"/>
                <w:color w:val="auto"/>
              </w:rPr>
            </w:pPr>
          </w:p>
        </w:tc>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75,124</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66,410</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13. Other Non-Current Liabilities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66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tcPr>
          <w:p>
            <w:pPr>
              <w:ind w:left="140"/>
              <w:spacing w:after="0"/>
              <w:rPr>
                <w:sz w:val="20"/>
                <w:szCs w:val="20"/>
                <w:color w:val="auto"/>
              </w:rPr>
            </w:pPr>
            <w:r>
              <w:rPr>
                <w:rFonts w:ascii="Arial" w:cs="Arial" w:eastAsia="Arial" w:hAnsi="Arial"/>
                <w:sz w:val="17"/>
                <w:szCs w:val="17"/>
                <w:color w:val="auto"/>
              </w:rPr>
              <w:t>Other non-current liabilities consist of the following:</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93"/>
              <w:spacing w:after="0"/>
              <w:rPr>
                <w:sz w:val="20"/>
                <w:szCs w:val="20"/>
                <w:color w:val="auto"/>
              </w:rPr>
            </w:pPr>
            <w:r>
              <w:rPr>
                <w:rFonts w:ascii="Arial" w:cs="Arial" w:eastAsia="Arial" w:hAnsi="Arial"/>
                <w:sz w:val="16"/>
                <w:szCs w:val="16"/>
                <w:b w:val="1"/>
                <w:bCs w:val="1"/>
                <w:color w:val="auto"/>
              </w:rPr>
              <w:t>As of</w:t>
            </w:r>
          </w:p>
        </w:tc>
        <w:tc>
          <w:tcPr>
            <w:tcW w:w="1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4"/>
              </w:rPr>
              <w:t>December 31, 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273"/>
              <w:spacing w:after="0"/>
              <w:rPr>
                <w:sz w:val="20"/>
                <w:szCs w:val="20"/>
                <w:color w:val="auto"/>
              </w:rPr>
            </w:pPr>
            <w:r>
              <w:rPr>
                <w:rFonts w:ascii="Arial" w:cs="Arial" w:eastAsia="Arial" w:hAnsi="Arial"/>
                <w:sz w:val="17"/>
                <w:szCs w:val="17"/>
                <w:b w:val="1"/>
                <w:bCs w:val="1"/>
                <w:color w:val="auto"/>
                <w:w w:val="94"/>
              </w:rPr>
              <w:t>December 31, 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Retirement benefits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Arial" w:cs="Arial" w:eastAsia="Arial" w:hAnsi="Arial"/>
                <w:sz w:val="17"/>
                <w:szCs w:val="17"/>
                <w:color w:val="auto"/>
              </w:rPr>
              <w:t>Contingent consideration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Arial" w:cs="Arial" w:eastAsia="Arial" w:hAnsi="Arial"/>
                <w:sz w:val="17"/>
                <w:szCs w:val="17"/>
                <w:color w:val="auto"/>
              </w:rPr>
              <w:t>Deferred transition revenue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924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tcPr>
          <w:p>
            <w:pPr>
              <w:ind w:left="20"/>
              <w:spacing w:after="0"/>
              <w:rPr>
                <w:sz w:val="20"/>
                <w:szCs w:val="20"/>
                <w:color w:val="auto"/>
              </w:rPr>
            </w:pPr>
            <w:r>
              <w:rPr>
                <w:rFonts w:ascii="Arial" w:cs="Arial" w:eastAsia="Arial" w:hAnsi="Arial"/>
                <w:sz w:val="17"/>
                <w:szCs w:val="17"/>
                <w:color w:val="auto"/>
              </w:rPr>
              <w:t>Finance lease liabilities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capital expenditures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Others</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Accumulated Other Comprehensive Income/(Loss)</w:t>
      </w:r>
    </w:p>
    <w:p>
      <w:pPr>
        <w:spacing w:after="0" w:line="230"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Accumulated other comprehensive income/(loss) (“AOCI”) consists of actuarial gain/(loss) on retirement benefits and foreign currency translation adjustments. In addition, the Company enters into foreign currency exchange contracts, which are designated as cash flow hedges and net investment hedges in accordance with ASC 815. Cumulative changes in the fair values of these foreign currency exchange contracts are recognized in AOCI on the Company's consolidated balance sheets. Upon settlement of foreign exchange contracts designated as cash flow hedges, fair value changes are reclassified from AOCI to net income, whereas such fair value changes related to net investment hedges are included in net income when a foreign operation is disposed or partially disposed. The balances as of December 31, 2021 and 2020 are as follows: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gridSpan w:val="9"/>
          </w:tcPr>
          <w:p>
            <w:pPr>
              <w:ind w:left="1360"/>
              <w:spacing w:after="0"/>
              <w:rPr>
                <w:sz w:val="20"/>
                <w:szCs w:val="20"/>
                <w:color w:val="auto"/>
              </w:rPr>
            </w:pPr>
            <w:r>
              <w:rPr>
                <w:rFonts w:ascii="Arial" w:cs="Arial" w:eastAsia="Arial" w:hAnsi="Arial"/>
                <w:sz w:val="17"/>
                <w:szCs w:val="17"/>
                <w:b w:val="1"/>
                <w:bCs w:val="1"/>
                <w:color w:val="auto"/>
                <w:w w:val="91"/>
              </w:rPr>
              <w:t>Accumulated Other Comprehensive Income/(Loss)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center"/>
              <w:ind w:right="280"/>
              <w:spacing w:after="0" w:line="164" w:lineRule="exact"/>
              <w:rPr>
                <w:sz w:val="20"/>
                <w:szCs w:val="20"/>
                <w:color w:val="auto"/>
              </w:rPr>
            </w:pPr>
            <w:r>
              <w:rPr>
                <w:rFonts w:ascii="Arial" w:cs="Arial" w:eastAsia="Arial" w:hAnsi="Arial"/>
                <w:sz w:val="17"/>
                <w:szCs w:val="17"/>
                <w:b w:val="1"/>
                <w:bCs w:val="1"/>
                <w:color w:val="auto"/>
                <w:w w:val="92"/>
              </w:rPr>
              <w:t>Foreign currency</w:t>
            </w:r>
          </w:p>
        </w:tc>
        <w:tc>
          <w:tcPr>
            <w:tcW w:w="140" w:type="dxa"/>
            <w:vAlign w:val="bottom"/>
          </w:tcPr>
          <w:p>
            <w:pPr>
              <w:spacing w:after="0"/>
              <w:rPr>
                <w:sz w:val="14"/>
                <w:szCs w:val="14"/>
                <w:color w:val="auto"/>
              </w:rPr>
            </w:pPr>
          </w:p>
        </w:tc>
        <w:tc>
          <w:tcPr>
            <w:tcW w:w="1700" w:type="dxa"/>
            <w:vAlign w:val="bottom"/>
            <w:gridSpan w:val="2"/>
          </w:tcPr>
          <w:p>
            <w:pPr>
              <w:jc w:val="center"/>
              <w:ind w:right="240"/>
              <w:spacing w:after="0" w:line="164" w:lineRule="exact"/>
              <w:rPr>
                <w:sz w:val="20"/>
                <w:szCs w:val="20"/>
                <w:color w:val="auto"/>
              </w:rPr>
            </w:pPr>
            <w:r>
              <w:rPr>
                <w:rFonts w:ascii="Arial" w:cs="Arial" w:eastAsia="Arial" w:hAnsi="Arial"/>
                <w:sz w:val="17"/>
                <w:szCs w:val="17"/>
                <w:b w:val="1"/>
                <w:bCs w:val="1"/>
                <w:color w:val="auto"/>
                <w:w w:val="93"/>
              </w:rPr>
              <w:t>Unrealized gain on</w:t>
            </w:r>
          </w:p>
        </w:tc>
        <w:tc>
          <w:tcPr>
            <w:tcW w:w="220" w:type="dxa"/>
            <w:vAlign w:val="bottom"/>
          </w:tcPr>
          <w:p>
            <w:pPr>
              <w:spacing w:after="0"/>
              <w:rPr>
                <w:sz w:val="14"/>
                <w:szCs w:val="14"/>
                <w:color w:val="auto"/>
              </w:rPr>
            </w:pPr>
          </w:p>
        </w:tc>
        <w:tc>
          <w:tcPr>
            <w:tcW w:w="1400" w:type="dxa"/>
            <w:vAlign w:val="bottom"/>
            <w:gridSpan w:val="3"/>
          </w:tcPr>
          <w:p>
            <w:pPr>
              <w:jc w:val="center"/>
              <w:ind w:right="320"/>
              <w:spacing w:after="0" w:line="164" w:lineRule="exact"/>
              <w:rPr>
                <w:sz w:val="20"/>
                <w:szCs w:val="20"/>
                <w:color w:val="auto"/>
              </w:rPr>
            </w:pPr>
            <w:r>
              <w:rPr>
                <w:rFonts w:ascii="Arial" w:cs="Arial" w:eastAsia="Arial" w:hAnsi="Arial"/>
                <w:sz w:val="17"/>
                <w:szCs w:val="17"/>
                <w:b w:val="1"/>
                <w:bCs w:val="1"/>
                <w:color w:val="auto"/>
                <w:w w:val="94"/>
              </w:rPr>
              <w:t>Retirement</w:t>
            </w:r>
          </w:p>
        </w:tc>
        <w:tc>
          <w:tcPr>
            <w:tcW w:w="320" w:type="dxa"/>
            <w:vAlign w:val="bottom"/>
          </w:tcPr>
          <w:p>
            <w:pPr>
              <w:spacing w:after="0"/>
              <w:rPr>
                <w:sz w:val="14"/>
                <w:szCs w:val="14"/>
                <w:color w:val="auto"/>
              </w:rPr>
            </w:pPr>
          </w:p>
        </w:tc>
        <w:tc>
          <w:tcPr>
            <w:tcW w:w="1200" w:type="dxa"/>
            <w:vAlign w:val="bottom"/>
            <w:vMerge w:val="restart"/>
          </w:tcPr>
          <w:p>
            <w:pPr>
              <w:jc w:val="right"/>
              <w:ind w:right="49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89"/>
              </w:rPr>
              <w:t>translation loss</w:t>
            </w:r>
          </w:p>
        </w:tc>
        <w:tc>
          <w:tcPr>
            <w:tcW w:w="140" w:type="dxa"/>
            <w:vAlign w:val="bottom"/>
          </w:tcPr>
          <w:p>
            <w:pPr>
              <w:spacing w:after="0"/>
              <w:rPr>
                <w:sz w:val="11"/>
                <w:szCs w:val="11"/>
                <w:color w:val="auto"/>
              </w:rPr>
            </w:pP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87"/>
              </w:rPr>
              <w:t>cash flow hedges</w:t>
            </w:r>
          </w:p>
        </w:tc>
        <w:tc>
          <w:tcPr>
            <w:tcW w:w="220" w:type="dxa"/>
            <w:vAlign w:val="bottom"/>
          </w:tcPr>
          <w:p>
            <w:pPr>
              <w:spacing w:after="0"/>
              <w:rPr>
                <w:sz w:val="11"/>
                <w:szCs w:val="11"/>
                <w:color w:val="auto"/>
              </w:rPr>
            </w:pPr>
          </w:p>
        </w:tc>
        <w:tc>
          <w:tcPr>
            <w:tcW w:w="1400" w:type="dxa"/>
            <w:vAlign w:val="bottom"/>
            <w:gridSpan w:val="3"/>
            <w:vMerge w:val="restart"/>
          </w:tcPr>
          <w:p>
            <w:pPr>
              <w:jc w:val="center"/>
              <w:ind w:right="340"/>
              <w:spacing w:after="0"/>
              <w:rPr>
                <w:sz w:val="20"/>
                <w:szCs w:val="20"/>
                <w:color w:val="auto"/>
              </w:rPr>
            </w:pPr>
            <w:r>
              <w:rPr>
                <w:rFonts w:ascii="Arial" w:cs="Arial" w:eastAsia="Arial" w:hAnsi="Arial"/>
                <w:sz w:val="17"/>
                <w:szCs w:val="17"/>
                <w:b w:val="1"/>
                <w:bCs w:val="1"/>
                <w:color w:val="auto"/>
                <w:w w:val="88"/>
              </w:rPr>
              <w:t>benefits</w:t>
            </w:r>
          </w:p>
        </w:tc>
        <w:tc>
          <w:tcPr>
            <w:tcW w:w="3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January 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(84,892)</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7"/>
                <w:szCs w:val="17"/>
                <w:color w:val="auto"/>
              </w:rPr>
              <w:t>Gains / (losses) recognized during the year</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12,665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9,724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BFE4FF"/>
            </w:tcBorders>
          </w:tcPr>
          <w:p>
            <w:pPr>
              <w:ind w:left="20"/>
              <w:spacing w:after="0" w:line="223"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2"/>
                <w:szCs w:val="22"/>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151"/>
        </w:trPr>
        <w:tc>
          <w:tcPr>
            <w:tcW w:w="4420" w:type="dxa"/>
            <w:vAlign w:val="bottom"/>
            <w:shd w:val="clear" w:color="auto" w:fill="BFE4FF"/>
          </w:tcPr>
          <w:p>
            <w:pPr>
              <w:ind w:left="20"/>
              <w:spacing w:after="0" w:line="151" w:lineRule="exact"/>
              <w:rPr>
                <w:sz w:val="20"/>
                <w:szCs w:val="20"/>
                <w:color w:val="auto"/>
              </w:rPr>
            </w:pPr>
            <w:r>
              <w:rPr>
                <w:rFonts w:ascii="Arial" w:cs="Arial" w:eastAsia="Arial" w:hAnsi="Arial"/>
                <w:sz w:val="17"/>
                <w:szCs w:val="17"/>
                <w:color w:val="auto"/>
              </w:rPr>
              <w:t>Accumulated other comprehensive income/(loss) as of</w:t>
            </w:r>
          </w:p>
        </w:tc>
        <w:tc>
          <w:tcPr>
            <w:tcW w:w="160" w:type="dxa"/>
            <w:vAlign w:val="bottom"/>
            <w:vMerge w:val="restart"/>
            <w:shd w:val="clear" w:color="auto" w:fill="BFE4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vMerge w:val="restart"/>
            <w:shd w:val="clear" w:color="auto" w:fill="BFE4FF"/>
          </w:tcPr>
          <w:p>
            <w:pPr>
              <w:jc w:val="right"/>
              <w:spacing w:after="0"/>
              <w:rPr>
                <w:sz w:val="20"/>
                <w:szCs w:val="20"/>
                <w:color w:val="auto"/>
              </w:rPr>
            </w:pPr>
            <w:r>
              <w:rPr>
                <w:rFonts w:ascii="Arial" w:cs="Arial" w:eastAsia="Arial" w:hAnsi="Arial"/>
                <w:sz w:val="17"/>
                <w:szCs w:val="17"/>
                <w:color w:val="auto"/>
              </w:rPr>
              <w:t>(86,185)</w:t>
            </w:r>
          </w:p>
        </w:tc>
        <w:tc>
          <w:tcPr>
            <w:tcW w:w="100" w:type="dxa"/>
            <w:vAlign w:val="bottom"/>
            <w:shd w:val="clear" w:color="auto" w:fill="BFE4FF"/>
          </w:tcPr>
          <w:p>
            <w:pPr>
              <w:spacing w:after="0"/>
              <w:rPr>
                <w:sz w:val="13"/>
                <w:szCs w:val="13"/>
                <w:color w:val="auto"/>
              </w:rPr>
            </w:pPr>
          </w:p>
        </w:tc>
        <w:tc>
          <w:tcPr>
            <w:tcW w:w="140" w:type="dxa"/>
            <w:vAlign w:val="bottom"/>
            <w:vMerge w:val="restart"/>
            <w:shd w:val="clear" w:color="auto" w:fill="BFE4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vMerge w:val="restart"/>
            <w:shd w:val="clear" w:color="auto" w:fill="BFE4FF"/>
          </w:tcPr>
          <w:p>
            <w:pPr>
              <w:jc w:val="right"/>
              <w:spacing w:after="0"/>
              <w:rPr>
                <w:sz w:val="20"/>
                <w:szCs w:val="20"/>
                <w:color w:val="auto"/>
              </w:rPr>
            </w:pPr>
            <w:r>
              <w:rPr>
                <w:rFonts w:ascii="Arial" w:cs="Arial" w:eastAsia="Arial" w:hAnsi="Arial"/>
                <w:sz w:val="17"/>
                <w:szCs w:val="17"/>
                <w:color w:val="auto"/>
              </w:rPr>
              <w:t>13,799</w:t>
            </w:r>
          </w:p>
        </w:tc>
        <w:tc>
          <w:tcPr>
            <w:tcW w:w="100" w:type="dxa"/>
            <w:vAlign w:val="bottom"/>
            <w:shd w:val="clear" w:color="auto" w:fill="BFE4FF"/>
          </w:tcPr>
          <w:p>
            <w:pPr>
              <w:spacing w:after="0"/>
              <w:rPr>
                <w:sz w:val="13"/>
                <w:szCs w:val="13"/>
                <w:color w:val="auto"/>
              </w:rPr>
            </w:pPr>
          </w:p>
        </w:tc>
        <w:tc>
          <w:tcPr>
            <w:tcW w:w="220" w:type="dxa"/>
            <w:vAlign w:val="bottom"/>
            <w:vMerge w:val="restart"/>
            <w:shd w:val="clear" w:color="auto" w:fill="BFE4FF"/>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vMerge w:val="restart"/>
            <w:shd w:val="clear" w:color="auto" w:fill="BFE4FF"/>
          </w:tcPr>
          <w:p>
            <w:pPr>
              <w:jc w:val="right"/>
              <w:spacing w:after="0"/>
              <w:rPr>
                <w:sz w:val="20"/>
                <w:szCs w:val="20"/>
                <w:color w:val="auto"/>
              </w:rPr>
            </w:pPr>
            <w:r>
              <w:rPr>
                <w:rFonts w:ascii="Arial" w:cs="Arial" w:eastAsia="Arial" w:hAnsi="Arial"/>
                <w:sz w:val="17"/>
                <w:szCs w:val="17"/>
                <w:color w:val="auto"/>
              </w:rPr>
              <w:t>(2,598)</w:t>
            </w:r>
          </w:p>
        </w:tc>
        <w:tc>
          <w:tcPr>
            <w:tcW w:w="10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320" w:type="dxa"/>
            <w:vAlign w:val="bottom"/>
            <w:vMerge w:val="restart"/>
            <w:shd w:val="clear" w:color="auto" w:fill="BFE4FF"/>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vMerge w:val="restart"/>
            <w:shd w:val="clear" w:color="auto" w:fill="BFE4FF"/>
          </w:tcPr>
          <w:p>
            <w:pPr>
              <w:jc w:val="right"/>
              <w:spacing w:after="0"/>
              <w:rPr>
                <w:sz w:val="20"/>
                <w:szCs w:val="20"/>
                <w:color w:val="auto"/>
              </w:rPr>
            </w:pPr>
            <w:r>
              <w:rPr>
                <w:rFonts w:ascii="Arial" w:cs="Arial" w:eastAsia="Arial" w:hAnsi="Arial"/>
                <w:sz w:val="17"/>
                <w:szCs w:val="17"/>
                <w:color w:val="auto"/>
              </w:rPr>
              <w:t>(74,984)</w:t>
            </w:r>
          </w:p>
        </w:tc>
        <w:tc>
          <w:tcPr>
            <w:tcW w:w="0" w:type="dxa"/>
            <w:vAlign w:val="bottom"/>
          </w:tcPr>
          <w:p>
            <w:pPr>
              <w:spacing w:after="0"/>
              <w:rPr>
                <w:sz w:val="1"/>
                <w:szCs w:val="1"/>
                <w:color w:val="auto"/>
              </w:rPr>
            </w:pPr>
          </w:p>
        </w:tc>
      </w:tr>
      <w:tr>
        <w:trPr>
          <w:trHeight w:val="222"/>
        </w:trPr>
        <w:tc>
          <w:tcPr>
            <w:tcW w:w="4420" w:type="dxa"/>
            <w:vAlign w:val="bottom"/>
            <w:shd w:val="clear" w:color="auto" w:fill="BFE4FF"/>
          </w:tcPr>
          <w:p>
            <w:pPr>
              <w:ind w:left="20"/>
              <w:spacing w:after="0"/>
              <w:rPr>
                <w:sz w:val="20"/>
                <w:szCs w:val="20"/>
                <w:color w:val="auto"/>
              </w:rPr>
            </w:pPr>
            <w:r>
              <w:rPr>
                <w:rFonts w:ascii="Arial" w:cs="Arial" w:eastAsia="Arial" w:hAnsi="Arial"/>
                <w:sz w:val="17"/>
                <w:szCs w:val="17"/>
                <w:color w:val="auto"/>
              </w:rPr>
              <w:t>December 31, 2020</w:t>
            </w:r>
          </w:p>
        </w:tc>
        <w:tc>
          <w:tcPr>
            <w:tcW w:w="160" w:type="dxa"/>
            <w:vAlign w:val="bottom"/>
            <w:vMerge w:val="continue"/>
            <w:shd w:val="clear" w:color="auto" w:fill="BFE4FF"/>
          </w:tcPr>
          <w:p>
            <w:pPr>
              <w:spacing w:after="0"/>
              <w:rPr>
                <w:sz w:val="19"/>
                <w:szCs w:val="19"/>
                <w:color w:val="auto"/>
              </w:rPr>
            </w:pPr>
          </w:p>
        </w:tc>
        <w:tc>
          <w:tcPr>
            <w:tcW w:w="1580" w:type="dxa"/>
            <w:vAlign w:val="bottom"/>
            <w:vMerge w:val="continue"/>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40" w:type="dxa"/>
            <w:vAlign w:val="bottom"/>
            <w:vMerge w:val="continue"/>
            <w:shd w:val="clear" w:color="auto" w:fill="BFE4FF"/>
          </w:tcPr>
          <w:p>
            <w:pPr>
              <w:spacing w:after="0"/>
              <w:rPr>
                <w:sz w:val="19"/>
                <w:szCs w:val="19"/>
                <w:color w:val="auto"/>
              </w:rPr>
            </w:pPr>
          </w:p>
        </w:tc>
        <w:tc>
          <w:tcPr>
            <w:tcW w:w="1600" w:type="dxa"/>
            <w:vAlign w:val="bottom"/>
            <w:vMerge w:val="continue"/>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20" w:type="dxa"/>
            <w:vAlign w:val="bottom"/>
            <w:vMerge w:val="continue"/>
            <w:shd w:val="clear" w:color="auto" w:fill="BFE4FF"/>
          </w:tcPr>
          <w:p>
            <w:pPr>
              <w:spacing w:after="0"/>
              <w:rPr>
                <w:sz w:val="19"/>
                <w:szCs w:val="19"/>
                <w:color w:val="auto"/>
              </w:rPr>
            </w:pPr>
          </w:p>
        </w:tc>
        <w:tc>
          <w:tcPr>
            <w:tcW w:w="1280" w:type="dxa"/>
            <w:vAlign w:val="bottom"/>
            <w:vMerge w:val="continue"/>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0" w:type="dxa"/>
            <w:vAlign w:val="bottom"/>
            <w:shd w:val="clear" w:color="auto" w:fill="BFE4FF"/>
          </w:tcPr>
          <w:p>
            <w:pPr>
              <w:spacing w:after="0"/>
              <w:rPr>
                <w:sz w:val="19"/>
                <w:szCs w:val="19"/>
                <w:color w:val="auto"/>
              </w:rPr>
            </w:pPr>
          </w:p>
        </w:tc>
        <w:tc>
          <w:tcPr>
            <w:tcW w:w="320" w:type="dxa"/>
            <w:vAlign w:val="bottom"/>
            <w:vMerge w:val="continue"/>
            <w:shd w:val="clear" w:color="auto" w:fill="BFE4FF"/>
          </w:tcPr>
          <w:p>
            <w:pPr>
              <w:spacing w:after="0"/>
              <w:rPr>
                <w:sz w:val="19"/>
                <w:szCs w:val="19"/>
                <w:color w:val="auto"/>
              </w:rPr>
            </w:pPr>
          </w:p>
        </w:tc>
        <w:tc>
          <w:tcPr>
            <w:tcW w:w="1200" w:type="dxa"/>
            <w:vAlign w:val="bottom"/>
            <w:vMerge w:val="continue"/>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7"/>
                <w:szCs w:val="17"/>
                <w:color w:val="auto"/>
              </w:rPr>
              <w:t>Gains / (losses) recognized during the year</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(11,134)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4,663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(7,029)</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Losses on net investment hedges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line="223"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2"/>
                <w:szCs w:val="22"/>
                <w:color w:val="auto"/>
                <w:vertAlign w:val="superscript"/>
              </w:rPr>
              <w:t>(1)</w:t>
            </w:r>
          </w:p>
        </w:tc>
        <w:tc>
          <w:tcPr>
            <w:tcW w:w="1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(8,555)</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2"/>
                <w:szCs w:val="22"/>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3,016</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2,228</w:t>
            </w:r>
          </w:p>
        </w:tc>
        <w:tc>
          <w:tcPr>
            <w:tcW w:w="0" w:type="dxa"/>
            <w:vAlign w:val="bottom"/>
          </w:tcPr>
          <w:p>
            <w:pPr>
              <w:spacing w:after="0"/>
              <w:rPr>
                <w:sz w:val="1"/>
                <w:szCs w:val="1"/>
                <w:color w:val="auto"/>
              </w:rPr>
            </w:pPr>
          </w:p>
        </w:tc>
      </w:tr>
      <w:tr>
        <w:trPr>
          <w:trHeight w:val="151"/>
        </w:trPr>
        <w:tc>
          <w:tcPr>
            <w:tcW w:w="4420" w:type="dxa"/>
            <w:vAlign w:val="bottom"/>
          </w:tcPr>
          <w:p>
            <w:pPr>
              <w:ind w:left="20"/>
              <w:spacing w:after="0" w:line="151" w:lineRule="exact"/>
              <w:rPr>
                <w:sz w:val="20"/>
                <w:szCs w:val="20"/>
                <w:color w:val="auto"/>
              </w:rPr>
            </w:pPr>
            <w:r>
              <w:rPr>
                <w:rFonts w:ascii="Arial" w:cs="Arial" w:eastAsia="Arial" w:hAnsi="Arial"/>
                <w:sz w:val="17"/>
                <w:szCs w:val="17"/>
                <w:color w:val="auto"/>
              </w:rPr>
              <w:t>Accumulated other comprehensive income/(loss) as of</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(95,437)</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vMerge w:val="restart"/>
          </w:tcPr>
          <w:p>
            <w:pPr>
              <w:jc w:val="right"/>
              <w:spacing w:after="0"/>
              <w:rPr>
                <w:sz w:val="20"/>
                <w:szCs w:val="20"/>
                <w:color w:val="auto"/>
              </w:rPr>
            </w:pPr>
            <w:r>
              <w:rPr>
                <w:rFonts w:ascii="Arial" w:cs="Arial" w:eastAsia="Arial" w:hAnsi="Arial"/>
                <w:sz w:val="17"/>
                <w:szCs w:val="17"/>
                <w:color w:val="auto"/>
              </w:rPr>
              <w:t>8,420</w:t>
            </w:r>
          </w:p>
        </w:tc>
        <w:tc>
          <w:tcPr>
            <w:tcW w:w="100" w:type="dxa"/>
            <w:vAlign w:val="bottom"/>
          </w:tcPr>
          <w:p>
            <w:pPr>
              <w:spacing w:after="0"/>
              <w:rPr>
                <w:sz w:val="13"/>
                <w:szCs w:val="13"/>
                <w:color w:val="auto"/>
              </w:rPr>
            </w:pPr>
          </w:p>
        </w:tc>
        <w:tc>
          <w:tcPr>
            <w:tcW w:w="220" w:type="dxa"/>
            <w:vAlign w:val="bottom"/>
            <w:vMerge w:val="restart"/>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(2,457)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vMerge w:val="restart"/>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(89,474)</w:t>
            </w:r>
          </w:p>
        </w:tc>
        <w:tc>
          <w:tcPr>
            <w:tcW w:w="0" w:type="dxa"/>
            <w:vAlign w:val="bottom"/>
          </w:tcPr>
          <w:p>
            <w:pPr>
              <w:spacing w:after="0"/>
              <w:rPr>
                <w:sz w:val="1"/>
                <w:szCs w:val="1"/>
                <w:color w:val="auto"/>
              </w:rPr>
            </w:pPr>
          </w:p>
        </w:tc>
      </w:tr>
      <w:tr>
        <w:trPr>
          <w:trHeight w:val="196"/>
        </w:trPr>
        <w:tc>
          <w:tcPr>
            <w:tcW w:w="4420" w:type="dxa"/>
            <w:vAlign w:val="bottom"/>
          </w:tcPr>
          <w:p>
            <w:pPr>
              <w:ind w:left="20"/>
              <w:spacing w:after="0"/>
              <w:rPr>
                <w:sz w:val="20"/>
                <w:szCs w:val="20"/>
                <w:color w:val="auto"/>
              </w:rPr>
            </w:pPr>
            <w:r>
              <w:rPr>
                <w:rFonts w:ascii="Arial" w:cs="Arial" w:eastAsia="Arial" w:hAnsi="Arial"/>
                <w:sz w:val="17"/>
                <w:szCs w:val="17"/>
                <w:color w:val="auto"/>
              </w:rPr>
              <w:t>December 31, 2021</w:t>
            </w:r>
          </w:p>
        </w:tc>
        <w:tc>
          <w:tcPr>
            <w:tcW w:w="160" w:type="dxa"/>
            <w:vAlign w:val="bottom"/>
            <w:tcBorders>
              <w:bottom w:val="single" w:sz="8" w:color="auto"/>
            </w:tcBorders>
            <w:vMerge w:val="continue"/>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640" w:hanging="320"/>
        <w:spacing w:after="0"/>
        <w:tabs>
          <w:tab w:leader="none" w:pos="640" w:val="left"/>
        </w:tabs>
        <w:numPr>
          <w:ilvl w:val="1"/>
          <w:numId w:val="42"/>
        </w:numPr>
        <w:rPr>
          <w:rFonts w:ascii="Arial" w:cs="Arial" w:eastAsia="Arial" w:hAnsi="Arial"/>
          <w:sz w:val="13"/>
          <w:szCs w:val="13"/>
          <w:color w:val="auto"/>
        </w:rPr>
      </w:pPr>
      <w:r>
        <w:rPr>
          <w:rFonts w:ascii="Arial" w:cs="Arial" w:eastAsia="Arial" w:hAnsi="Arial"/>
          <w:sz w:val="13"/>
          <w:szCs w:val="13"/>
          <w:i w:val="1"/>
          <w:iCs w:val="1"/>
          <w:color w:val="auto"/>
        </w:rPr>
        <w:t>Refer to Note 16 - Derivatives and Hedge Accounting and Note 19 - Employee Benefit Plans to the consolidated financial statements for reclassification to net income.</w:t>
      </w:r>
    </w:p>
    <w:p>
      <w:pPr>
        <w:spacing w:after="0" w:line="270" w:lineRule="exact"/>
        <w:rPr>
          <w:rFonts w:ascii="Arial" w:cs="Arial" w:eastAsia="Arial" w:hAnsi="Arial"/>
          <w:sz w:val="13"/>
          <w:szCs w:val="13"/>
          <w:color w:val="auto"/>
        </w:rPr>
      </w:pPr>
    </w:p>
    <w:p>
      <w:pPr>
        <w:ind w:left="640" w:hanging="320"/>
        <w:spacing w:after="0" w:line="260" w:lineRule="auto"/>
        <w:tabs>
          <w:tab w:leader="none" w:pos="640" w:val="left"/>
        </w:tabs>
        <w:numPr>
          <w:ilvl w:val="1"/>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income tax effects recognized on cash flow hedges, retirement benefits and foreign currency translation gains / (losses). Refer to Note 21 - Income Taxes to the consolidated financial statements.</w:t>
      </w:r>
    </w:p>
    <w:p>
      <w:pPr>
        <w:spacing w:after="0" w:line="353" w:lineRule="exact"/>
        <w:rPr>
          <w:rFonts w:ascii="Arial" w:cs="Arial" w:eastAsia="Arial" w:hAnsi="Arial"/>
          <w:sz w:val="16"/>
          <w:szCs w:val="16"/>
          <w:i w:val="1"/>
          <w:iCs w:val="1"/>
          <w:color w:val="auto"/>
        </w:rPr>
      </w:pPr>
    </w:p>
    <w:p>
      <w:pPr>
        <w:ind w:left="260" w:hanging="255"/>
        <w:spacing w:after="0"/>
        <w:tabs>
          <w:tab w:leader="none" w:pos="26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25"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as against assumptions specific to the entity. In addition, the fair value of liabilities should include consideration of non-performance risk, including the Company’s own credit risk.</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Assets and Liabilities Measured at Fair Value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Company’s assets and liabilities that were accounted for at fair value as of December 31, 2021 and 2020.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Quoted Prices in Active</w:t>
            </w:r>
          </w:p>
        </w:tc>
        <w:tc>
          <w:tcPr>
            <w:tcW w:w="160" w:type="dxa"/>
            <w:vAlign w:val="bottom"/>
          </w:tcPr>
          <w:p>
            <w:pPr>
              <w:spacing w:after="0"/>
              <w:rPr>
                <w:sz w:val="16"/>
                <w:szCs w:val="16"/>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Significant Other</w:t>
            </w:r>
          </w:p>
        </w:tc>
        <w:tc>
          <w:tcPr>
            <w:tcW w:w="120" w:type="dxa"/>
            <w:vAlign w:val="bottom"/>
          </w:tcPr>
          <w:p>
            <w:pPr>
              <w:spacing w:after="0"/>
              <w:rPr>
                <w:sz w:val="16"/>
                <w:szCs w:val="16"/>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Significant Other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restart"/>
          </w:tcPr>
          <w:p>
            <w:pPr>
              <w:jc w:val="center"/>
              <w:ind w:right="220"/>
              <w:spacing w:after="0" w:line="158" w:lineRule="exact"/>
              <w:rPr>
                <w:sz w:val="20"/>
                <w:szCs w:val="20"/>
                <w:color w:val="auto"/>
              </w:rPr>
            </w:pPr>
            <w:r>
              <w:rPr>
                <w:rFonts w:ascii="Arial" w:cs="Arial" w:eastAsia="Arial" w:hAnsi="Arial"/>
                <w:sz w:val="16"/>
                <w:szCs w:val="16"/>
                <w:b w:val="1"/>
                <w:bCs w:val="1"/>
                <w:color w:val="auto"/>
                <w:w w:val="92"/>
              </w:rPr>
              <w:t>Markets for Identical</w:t>
            </w:r>
          </w:p>
        </w:tc>
        <w:tc>
          <w:tcPr>
            <w:tcW w:w="16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Observable Inputs</w:t>
            </w:r>
          </w:p>
        </w:tc>
        <w:tc>
          <w:tcPr>
            <w:tcW w:w="120" w:type="dxa"/>
            <w:vAlign w:val="bottom"/>
          </w:tcPr>
          <w:p>
            <w:pPr>
              <w:spacing w:after="0"/>
              <w:rPr>
                <w:sz w:val="6"/>
                <w:szCs w:val="6"/>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Unobservable Inputs</w:t>
            </w: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6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92"/>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440" w:type="dxa"/>
            <w:vAlign w:val="bottom"/>
          </w:tcPr>
          <w:p>
            <w:pPr>
              <w:ind w:left="20"/>
              <w:spacing w:after="0" w:line="172" w:lineRule="exact"/>
              <w:rPr>
                <w:sz w:val="20"/>
                <w:szCs w:val="20"/>
                <w:color w:val="auto"/>
              </w:rPr>
            </w:pPr>
            <w:r>
              <w:rPr>
                <w:rFonts w:ascii="Arial" w:cs="Arial" w:eastAsia="Arial" w:hAnsi="Arial"/>
                <w:sz w:val="17"/>
                <w:szCs w:val="17"/>
                <w:color w:val="auto"/>
              </w:rPr>
              <w:t>Cash and cash equivalents (money market</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7"/>
                <w:szCs w:val="17"/>
                <w:color w:val="auto"/>
              </w:rPr>
              <w:t>5,374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vMerge w:val="restart"/>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5,374</w:t>
            </w:r>
          </w:p>
        </w:tc>
        <w:tc>
          <w:tcPr>
            <w:tcW w:w="0" w:type="dxa"/>
            <w:vAlign w:val="bottom"/>
          </w:tcPr>
          <w:p>
            <w:pPr>
              <w:spacing w:after="0"/>
              <w:rPr>
                <w:sz w:val="1"/>
                <w:szCs w:val="1"/>
                <w:color w:val="auto"/>
              </w:rPr>
            </w:pPr>
          </w:p>
        </w:tc>
      </w:tr>
      <w:tr>
        <w:trPr>
          <w:trHeight w:val="222"/>
        </w:trPr>
        <w:tc>
          <w:tcPr>
            <w:tcW w:w="3440" w:type="dxa"/>
            <w:vAlign w:val="bottom"/>
          </w:tcPr>
          <w:p>
            <w:pPr>
              <w:ind w:left="20"/>
              <w:spacing w:after="0"/>
              <w:rPr>
                <w:sz w:val="20"/>
                <w:szCs w:val="20"/>
                <w:color w:val="auto"/>
              </w:rPr>
            </w:pPr>
            <w:r>
              <w:rPr>
                <w:rFonts w:ascii="Arial" w:cs="Arial" w:eastAsia="Arial" w:hAnsi="Arial"/>
                <w:sz w:val="17"/>
                <w:szCs w:val="17"/>
                <w:color w:val="auto"/>
              </w:rPr>
              <w:t>funds)*</w:t>
            </w:r>
          </w:p>
        </w:tc>
        <w:tc>
          <w:tcPr>
            <w:tcW w:w="1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127,551</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Derivative financial instruments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14,989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14,989</w:t>
            </w:r>
          </w:p>
        </w:tc>
        <w:tc>
          <w:tcPr>
            <w:tcW w:w="0" w:type="dxa"/>
            <w:vAlign w:val="bottom"/>
          </w:tcPr>
          <w:p>
            <w:pPr>
              <w:spacing w:after="0"/>
              <w:rPr>
                <w:sz w:val="1"/>
                <w:szCs w:val="1"/>
                <w:color w:val="auto"/>
              </w:rPr>
            </w:pPr>
          </w:p>
        </w:tc>
      </w:tr>
      <w:tr>
        <w:trPr>
          <w:trHeight w:val="236"/>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147,914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3,637</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Contingent consideration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236"/>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440" w:type="dxa"/>
            <w:vAlign w:val="bottom"/>
          </w:tcPr>
          <w:p>
            <w:pPr>
              <w:spacing w:after="0"/>
              <w:rPr>
                <w:sz w:val="24"/>
                <w:szCs w:val="24"/>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Quoted Prices in Active</w:t>
            </w:r>
          </w:p>
        </w:tc>
        <w:tc>
          <w:tcPr>
            <w:tcW w:w="160" w:type="dxa"/>
            <w:vAlign w:val="bottom"/>
          </w:tcPr>
          <w:p>
            <w:pPr>
              <w:spacing w:after="0"/>
              <w:rPr>
                <w:sz w:val="24"/>
                <w:szCs w:val="24"/>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Significant Other</w:t>
            </w:r>
          </w:p>
        </w:tc>
        <w:tc>
          <w:tcPr>
            <w:tcW w:w="120" w:type="dxa"/>
            <w:vAlign w:val="bottom"/>
          </w:tcPr>
          <w:p>
            <w:pPr>
              <w:spacing w:after="0"/>
              <w:rPr>
                <w:sz w:val="24"/>
                <w:szCs w:val="24"/>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Significant Other</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3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restart"/>
          </w:tcPr>
          <w:p>
            <w:pPr>
              <w:jc w:val="center"/>
              <w:ind w:right="220"/>
              <w:spacing w:after="0" w:line="158" w:lineRule="exact"/>
              <w:rPr>
                <w:sz w:val="20"/>
                <w:szCs w:val="20"/>
                <w:color w:val="auto"/>
              </w:rPr>
            </w:pPr>
            <w:r>
              <w:rPr>
                <w:rFonts w:ascii="Arial" w:cs="Arial" w:eastAsia="Arial" w:hAnsi="Arial"/>
                <w:sz w:val="16"/>
                <w:szCs w:val="16"/>
                <w:b w:val="1"/>
                <w:bCs w:val="1"/>
                <w:color w:val="auto"/>
                <w:w w:val="92"/>
              </w:rPr>
              <w:t>Markets for Identical</w:t>
            </w:r>
          </w:p>
        </w:tc>
        <w:tc>
          <w:tcPr>
            <w:tcW w:w="16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Observable Inputs</w:t>
            </w:r>
          </w:p>
        </w:tc>
        <w:tc>
          <w:tcPr>
            <w:tcW w:w="120" w:type="dxa"/>
            <w:vAlign w:val="bottom"/>
          </w:tcPr>
          <w:p>
            <w:pPr>
              <w:spacing w:after="0"/>
              <w:rPr>
                <w:sz w:val="6"/>
                <w:szCs w:val="6"/>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8"/>
              </w:rPr>
              <w:t>Unobservable Inputs</w:t>
            </w: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6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92"/>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440" w:type="dxa"/>
            <w:vAlign w:val="bottom"/>
          </w:tcPr>
          <w:p>
            <w:pPr>
              <w:ind w:left="20"/>
              <w:spacing w:after="0" w:line="172" w:lineRule="exact"/>
              <w:rPr>
                <w:sz w:val="20"/>
                <w:szCs w:val="20"/>
                <w:color w:val="auto"/>
              </w:rPr>
            </w:pPr>
            <w:r>
              <w:rPr>
                <w:rFonts w:ascii="Arial" w:cs="Arial" w:eastAsia="Arial" w:hAnsi="Arial"/>
                <w:sz w:val="17"/>
                <w:szCs w:val="17"/>
                <w:color w:val="auto"/>
              </w:rPr>
              <w:t>Cash and cash equivalents (money market</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7"/>
                <w:szCs w:val="17"/>
                <w:color w:val="auto"/>
              </w:rPr>
              <w:t>13,463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vMerge w:val="restart"/>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13,463</w:t>
            </w:r>
          </w:p>
        </w:tc>
        <w:tc>
          <w:tcPr>
            <w:tcW w:w="0" w:type="dxa"/>
            <w:vAlign w:val="bottom"/>
          </w:tcPr>
          <w:p>
            <w:pPr>
              <w:spacing w:after="0"/>
              <w:rPr>
                <w:sz w:val="1"/>
                <w:szCs w:val="1"/>
                <w:color w:val="auto"/>
              </w:rPr>
            </w:pPr>
          </w:p>
        </w:tc>
      </w:tr>
      <w:tr>
        <w:trPr>
          <w:trHeight w:val="222"/>
        </w:trPr>
        <w:tc>
          <w:tcPr>
            <w:tcW w:w="3440" w:type="dxa"/>
            <w:vAlign w:val="bottom"/>
          </w:tcPr>
          <w:p>
            <w:pPr>
              <w:ind w:left="20"/>
              <w:spacing w:after="0"/>
              <w:rPr>
                <w:sz w:val="20"/>
                <w:szCs w:val="20"/>
                <w:color w:val="auto"/>
              </w:rPr>
            </w:pPr>
            <w:r>
              <w:rPr>
                <w:rFonts w:ascii="Arial" w:cs="Arial" w:eastAsia="Arial" w:hAnsi="Arial"/>
                <w:sz w:val="17"/>
                <w:szCs w:val="17"/>
                <w:color w:val="auto"/>
              </w:rPr>
              <w:t>funds)*</w:t>
            </w:r>
          </w:p>
        </w:tc>
        <w:tc>
          <w:tcPr>
            <w:tcW w:w="1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160,441</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Derivative financial instruments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16,688</w:t>
            </w:r>
          </w:p>
        </w:tc>
        <w:tc>
          <w:tcPr>
            <w:tcW w:w="0" w:type="dxa"/>
            <w:vAlign w:val="bottom"/>
          </w:tcPr>
          <w:p>
            <w:pPr>
              <w:spacing w:after="0"/>
              <w:rPr>
                <w:sz w:val="1"/>
                <w:szCs w:val="1"/>
                <w:color w:val="auto"/>
              </w:rPr>
            </w:pPr>
          </w:p>
        </w:tc>
      </w:tr>
      <w:tr>
        <w:trPr>
          <w:trHeight w:val="236"/>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190,592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financial instruments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464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Represents money market funds which are carried at the fair value option under ASC 825 "Financial Instruments".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Represents those short-term investments which are carried at the fair value option under ASC 825 "Financial Instruments".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 The Company’s derivative financial instruments consist of foreign currency forward exchange contracts. Fair values for</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financial instruments are based on independent sources including highly rated financial institutions and are classified as Level 2. Refer to Note 16 - Derivatives and Hedge Accounting to the consolidated financial statements for further details.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Fair value of Contingent Consideration</w:t>
      </w:r>
      <w:r>
        <w:rPr>
          <w:rFonts w:ascii="Arial" w:cs="Arial" w:eastAsia="Arial" w:hAnsi="Arial"/>
          <w:sz w:val="16"/>
          <w:szCs w:val="16"/>
          <w:color w:val="auto"/>
        </w:rPr>
        <w:t>: The fair value measurement of contingent consideration is determined using Level 3 inputs. The Company’s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represents a component of the total purchase consideration for its acquisition of Clairvoyant. The measurement is calculated using unobservable inputs based on the Company’s own assessment of achievement of certain performance goals by Clairvoyant during 2022 and 2023 calendar years. The Company estimated the fair value of the contingent consideration to be $9,000, based on Monte Carlo simulation model and scenario-based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carried at fair value</w:t>
      </w:r>
      <w:r>
        <w:rPr>
          <w:rFonts w:ascii="Arial" w:cs="Arial" w:eastAsia="Arial" w:hAnsi="Arial"/>
          <w:sz w:val="17"/>
          <w:szCs w:val="17"/>
          <w:color w:val="auto"/>
        </w:rPr>
        <w:t>:</w:t>
      </w:r>
    </w:p>
    <w:p>
      <w:pPr>
        <w:spacing w:after="0" w:line="250"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7"/>
          <w:szCs w:val="17"/>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accrued interest on term deposits, accrued capital expenditures, accrued expenses and interest payable on borrowings for which fair values approximate their carrying amounts due to their short-term nature. The carrying value of the Company’s outstanding revolving credit facility approximates its fair value because the Company’s interest rate yield is near current market rates for comparable debt instruments.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250"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The Company settled the Notes during the year ended December 31, 2021. Refer to Note 17 - Borrowings to the consolidated financial statements for further details.</w:t>
      </w:r>
    </w:p>
    <w:p>
      <w:pPr>
        <w:spacing w:after="0" w:line="185"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The total estimated fair value of the Notes as of December 31, 2020 was $152,384. The fair value was determined based on market yields for similar convertible notes as of December 31, 2020. The Company considers the fair value of the Notes to be a Level 2 measurement due to the limited inputs available for its fair valuation.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Nonrecurring fair value measurements of assets:</w:t>
      </w:r>
    </w:p>
    <w:p>
      <w:pPr>
        <w:spacing w:after="0" w:line="250"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6"/>
          <w:szCs w:val="16"/>
          <w:color w:val="auto"/>
        </w:rPr>
        <w:t>Nonrecurring fair value measurements include impairment tests of goodwill conducted by the Company during the years ended December 31, 2021 and 2020. The fair value determination of the Company's reporting units was based on a combination of the income approach, using DCF model, which are Level 3 inputs, and also the market approach, as applicable, using market multiples for reporting units, which are Level 2 inputs. During the years ended December 31, 2021 and 2020, the Company did not recognize any impairment charges on goodwill as the fair values of the reporting units exceeded their carrying value. Refer to Note 9 - Business Combinations, Goodwill and Intangible Assets to the consolidated financial statements for further details.</w:t>
      </w:r>
    </w:p>
    <w:p>
      <w:pPr>
        <w:spacing w:after="0" w:line="192"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7"/>
          <w:szCs w:val="17"/>
          <w:color w:val="auto"/>
        </w:rPr>
        <w:t>During the year ended December 31, 2019, the Company conducted impairment tests of its long-lived assets and ROU assets related to its Health Integrated business. The fair value determination for ROU assets was based on third party quotes, which are Level 2 inputs, and for other long-lived assets, it was based on Company’s internal assessment, which are Level 3 inputs. During the year ended December 31, 2019, the Company recognized impairment charges on long-lived assets and ROU assets to write down the carrying value to their fair values. Refer to Note 8 - Property and Equipment, net and Note 20 - Leases to the consolidated financial statements for further details.</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Derivatives and Hedge Accounting</w:t>
      </w:r>
    </w:p>
    <w:p>
      <w:pPr>
        <w:spacing w:after="0" w:line="178"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The Company uses derivative instruments and hedging transactions to mitigate exposure to foreign currency fluctuation risks associated with forecasted transactions denominated in certain foreign currencies so as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$514,580 as of December 31, 2021 and $451,935 as of December 31, 2020.</w:t>
      </w:r>
    </w:p>
    <w:p>
      <w:pPr>
        <w:spacing w:after="0" w:line="127"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Changes in the fair value of these cash flow hedges are recorded as a component of accumulated other comprehensive income/(loss), net of tax, until the hedged transactions occurs. The resultant foreign exchange gain/(loss) upon settlement of these cash flow hedges is recorded along with the underlying hedged item in the same line of consolidated statements of income as a part of “Cost of revenues,” “General and administrative expenses,” “Selling and marketing expenses,” and “Depreciation and amortization expense,” as applicable.</w:t>
      </w:r>
    </w:p>
    <w:p>
      <w:pPr>
        <w:spacing w:after="0" w:line="124"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20"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The Company estimates that approximately $7,345 of derivative gains, net, excluding tax effects, included in AOCI, representing changes in the value of cash flow hedges, could be reclassified into earnings within the next twelve months based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on exchange rates prevailing as of December 31, 2021. At December 31, 2021, the maximum outstanding term of the cash flow hedges was 42 months.</w:t>
      </w:r>
    </w:p>
    <w:p>
      <w:pPr>
        <w:spacing w:after="0" w:line="170" w:lineRule="exact"/>
        <w:rPr>
          <w:sz w:val="20"/>
          <w:szCs w:val="20"/>
          <w:color w:val="auto"/>
        </w:rPr>
      </w:pPr>
    </w:p>
    <w:p>
      <w:pPr>
        <w:jc w:val="both"/>
        <w:ind w:firstLine="433"/>
        <w:spacing w:after="0" w:line="231" w:lineRule="auto"/>
        <w:rPr>
          <w:sz w:val="20"/>
          <w:szCs w:val="20"/>
          <w:color w:val="auto"/>
        </w:rPr>
      </w:pPr>
      <w:r>
        <w:rPr>
          <w:rFonts w:ascii="Arial" w:cs="Arial" w:eastAsia="Arial" w:hAnsi="Arial"/>
          <w:sz w:val="17"/>
          <w:szCs w:val="17"/>
          <w:color w:val="auto"/>
        </w:rPr>
        <w:t>The Company also enters into foreign currency forward contracts to economically hedge its intercompany balances and other monetary assets and liabilities denominated in currencies other than functional currencies, against the risk of foreign currency fluctuations associated with remeasurement of such assets and liabilities to functional currency. These derivatives do not qualify as fair value hedges under ASC 815. Changes in the fair value of these derivatives are recognized in the consolidated statements of income and are included in the foreign exchange gain/ (loss) line item. The Company’s primary exchange rate exposure is with the Indian rupee, the U.K. pound sterling (GBP) and the Philippine peso. The Company also has exposure to Colombian pesos (COP), Czech koruna, the Euro (EUR), South African ZAR, the Australian dollar (AUD) and other local currencies in which it operates. Outstanding foreign currency forward contracts amounted to USD 134,612, GBP 6,763, EUR 1,343 and COP 2,541,902 as of December 31, 2021 and USD 143,394, GBP 6,753, EUR 2,447 and COP 8,287,950 as of December 31, 2020.</w:t>
      </w:r>
    </w:p>
    <w:p>
      <w:pPr>
        <w:spacing w:after="0" w:line="134"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The Company uses forward contracts designated as net investment hedges to hedge the foreign currency risks related to our investments in foreign subsidiaries. Gains and losses on these net investment hedges are recognized in AOCI as part of foreign currency translation adjustments.</w:t>
      </w:r>
    </w:p>
    <w:p>
      <w:pPr>
        <w:spacing w:after="0" w:line="106"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All of the assets and liabilities related to our foreign exchange forward contracts are subject to master netting arrangements with each individual counterparty. These master netting arrangements generally provide for net settlement of all outstanding contracts with the counterparty in the case of an event of default or a termination event. We have presented all of the assets and liabilities related to our foreign exchange forward contracts on a gross basis, with no offsets, in our consolidated statements of financial position. There is no financial collateral (including cash collateral) provided or received by us related to our foreign exchange forward contracts.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set forth the fair value of the foreign currency exchange contracts and their location on the consolidated financial statements:</w:t>
      </w:r>
    </w:p>
    <w:p>
      <w:pPr>
        <w:spacing w:after="0" w:line="221"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5400" w:type="dxa"/>
            <w:vAlign w:val="bottom"/>
            <w:gridSpan w:val="2"/>
          </w:tcPr>
          <w:p>
            <w:pPr>
              <w:ind w:left="4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34"/>
              <w:spacing w:after="0"/>
              <w:rPr>
                <w:sz w:val="20"/>
                <w:szCs w:val="20"/>
                <w:color w:val="auto"/>
              </w:rPr>
            </w:pPr>
            <w:r>
              <w:rPr>
                <w:rFonts w:ascii="Arial" w:cs="Arial" w:eastAsia="Arial" w:hAnsi="Arial"/>
                <w:sz w:val="16"/>
                <w:szCs w:val="16"/>
                <w:b w:val="1"/>
                <w:bCs w:val="1"/>
                <w:color w:val="auto"/>
              </w:rPr>
              <w:t>As of</w:t>
            </w:r>
          </w:p>
        </w:tc>
        <w:tc>
          <w:tcPr>
            <w:tcW w:w="1760" w:type="dxa"/>
            <w:vAlign w:val="bottom"/>
          </w:tcPr>
          <w:p>
            <w:pPr>
              <w:spacing w:after="0"/>
              <w:rPr>
                <w:sz w:val="18"/>
                <w:szCs w:val="18"/>
                <w:color w:val="auto"/>
              </w:rPr>
            </w:pPr>
          </w:p>
        </w:tc>
      </w:tr>
      <w:tr>
        <w:trPr>
          <w:trHeight w:val="203"/>
        </w:trPr>
        <w:tc>
          <w:tcPr>
            <w:tcW w:w="53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6"/>
                <w:szCs w:val="16"/>
                <w:b w:val="1"/>
                <w:bCs w:val="1"/>
                <w:color w:val="auto"/>
              </w:rPr>
              <w:t>Foreign currency exchange contracts</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17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6"/>
                <w:szCs w:val="16"/>
                <w:b w:val="1"/>
                <w:bCs w:val="1"/>
                <w:color w:val="auto"/>
                <w:w w:val="95"/>
              </w:rPr>
              <w:t>December 31, 2020</w:t>
            </w:r>
          </w:p>
        </w:tc>
      </w:tr>
      <w:tr>
        <w:trPr>
          <w:trHeight w:val="219"/>
        </w:trPr>
        <w:tc>
          <w:tcPr>
            <w:tcW w:w="5400" w:type="dxa"/>
            <w:vAlign w:val="bottom"/>
            <w:gridSpan w:val="2"/>
          </w:tcPr>
          <w:p>
            <w:pPr>
              <w:ind w:left="440"/>
              <w:spacing w:after="0"/>
              <w:rPr>
                <w:sz w:val="20"/>
                <w:szCs w:val="20"/>
                <w:color w:val="auto"/>
              </w:rPr>
            </w:pPr>
            <w:r>
              <w:rPr>
                <w:rFonts w:ascii="Arial" w:cs="Arial" w:eastAsia="Arial" w:hAnsi="Arial"/>
                <w:sz w:val="17"/>
                <w:szCs w:val="17"/>
                <w:color w:val="auto"/>
              </w:rPr>
              <w:t>Other current assets</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8,669</w:t>
            </w:r>
          </w:p>
        </w:tc>
        <w:tc>
          <w:tcPr>
            <w:tcW w:w="10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9,740</w:t>
            </w:r>
          </w:p>
        </w:tc>
      </w:tr>
      <w:tr>
        <w:trPr>
          <w:trHeight w:val="223"/>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6,933</w:t>
            </w:r>
          </w:p>
        </w:tc>
      </w:tr>
      <w:tr>
        <w:trPr>
          <w:trHeight w:val="223"/>
        </w:trPr>
        <w:tc>
          <w:tcPr>
            <w:tcW w:w="5400" w:type="dxa"/>
            <w:vAlign w:val="bottom"/>
            <w:gridSpan w:val="2"/>
          </w:tcPr>
          <w:p>
            <w:pPr>
              <w:ind w:left="440"/>
              <w:spacing w:after="0"/>
              <w:rPr>
                <w:sz w:val="20"/>
                <w:szCs w:val="20"/>
                <w:color w:val="auto"/>
              </w:rPr>
            </w:pPr>
            <w:r>
              <w:rPr>
                <w:rFonts w:ascii="Arial" w:cs="Arial" w:eastAsia="Arial" w:hAnsi="Arial"/>
                <w:sz w:val="17"/>
                <w:szCs w:val="17"/>
                <w:color w:val="auto"/>
              </w:rPr>
              <w:t>Accrued expenses and other current liabilities</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1,324</w:t>
            </w:r>
          </w:p>
        </w:tc>
        <w:tc>
          <w:tcPr>
            <w:tcW w:w="10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23"/>
        </w:trPr>
        <w:tc>
          <w:tcPr>
            <w:tcW w:w="540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Other non-current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1200"/>
        <w:spacing w:after="0"/>
        <w:rPr>
          <w:sz w:val="20"/>
          <w:szCs w:val="20"/>
          <w:color w:val="auto"/>
        </w:rPr>
      </w:pPr>
      <w:r>
        <w:rPr>
          <w:rFonts w:ascii="Arial" w:cs="Arial" w:eastAsia="Arial" w:hAnsi="Arial"/>
          <w:sz w:val="13"/>
          <w:szCs w:val="13"/>
          <w:b w:val="1"/>
          <w:bCs w:val="1"/>
          <w:color w:val="auto"/>
        </w:rPr>
        <w:t>Derivatives not designated as hedging instruments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38735</wp:posOffset>
            </wp:positionV>
            <wp:extent cx="33642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3364230" cy="8255"/>
                    </a:xfrm>
                    <a:prstGeom prst="rect">
                      <a:avLst/>
                    </a:prstGeom>
                    <a:noFill/>
                  </pic:spPr>
                </pic:pic>
              </a:graphicData>
            </a:graphic>
          </wp:anchor>
        </w:drawing>
      </w:r>
    </w:p>
    <w:p>
      <w:pPr>
        <w:spacing w:after="0" w:line="53"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-115570</wp:posOffset>
            </wp:positionV>
            <wp:extent cx="6453505" cy="141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6453505" cy="141605"/>
                    </a:xfrm>
                    <a:prstGeom prst="rect">
                      <a:avLst/>
                    </a:prstGeom>
                    <a:noFill/>
                  </pic:spPr>
                </pic:pic>
              </a:graphicData>
            </a:graphic>
          </wp:anchor>
        </w:drawing>
      </w:r>
    </w:p>
    <w:p>
      <w:pPr>
        <w:spacing w:after="0" w:line="19" w:lineRule="exact"/>
        <w:rPr>
          <w:sz w:val="20"/>
          <w:szCs w:val="20"/>
          <w:color w:val="auto"/>
        </w:rPr>
      </w:pPr>
    </w:p>
    <w:p>
      <w:pPr>
        <w:spacing w:after="0"/>
        <w:tabs>
          <w:tab w:leader="none" w:pos="2400" w:val="left"/>
        </w:tabs>
        <w:rPr>
          <w:sz w:val="20"/>
          <w:szCs w:val="20"/>
          <w:color w:val="auto"/>
        </w:rPr>
      </w:pPr>
      <w:r>
        <w:rPr>
          <w:rFonts w:ascii="Arial" w:cs="Arial" w:eastAsia="Arial" w:hAnsi="Arial"/>
          <w:sz w:val="16"/>
          <w:szCs w:val="16"/>
          <w:b w:val="1"/>
          <w:bCs w:val="1"/>
          <w:color w:val="auto"/>
        </w:rPr>
        <w:t>December 31, 2021</w:t>
      </w:r>
      <w:r>
        <w:rPr>
          <w:sz w:val="20"/>
          <w:szCs w:val="20"/>
          <w:color w:val="auto"/>
        </w:rPr>
        <w:tab/>
      </w:r>
      <w:r>
        <w:rPr>
          <w:rFonts w:ascii="Arial" w:cs="Arial" w:eastAsia="Arial" w:hAnsi="Arial"/>
          <w:sz w:val="13"/>
          <w:szCs w:val="13"/>
          <w:b w:val="1"/>
          <w:bCs w:val="1"/>
          <w:color w:val="auto"/>
        </w:rPr>
        <w:t>December 31, 2020</w:t>
      </w:r>
    </w:p>
    <w:p>
      <w:pPr>
        <w:spacing w:after="0" w:line="20" w:lineRule="exact"/>
        <w:rPr>
          <w:sz w:val="20"/>
          <w:szCs w:val="20"/>
          <w:color w:val="auto"/>
        </w:rPr>
      </w:pPr>
    </w:p>
    <w:p>
      <w:pPr>
        <w:sectPr>
          <w:pgSz w:w="11900" w:h="16838" w:orient="portrait"/>
          <w:cols w:equalWidth="0" w:num="2">
            <w:col w:w="6140" w:space="720"/>
            <w:col w:w="4380"/>
          </w:cols>
          <w:pgMar w:left="320" w:top="121" w:right="339" w:bottom="1440" w:gutter="0" w:footer="0" w:header="0"/>
          <w:type w:val="continuous"/>
        </w:sectPr>
      </w:pPr>
    </w:p>
    <w:tbl>
      <w:tblPr>
        <w:tblLayout w:type="fixed"/>
        <w:tblInd w:w="760" w:type="dxa"/>
        <w:tblCellMar>
          <w:top w:w="0" w:type="dxa"/>
          <w:left w:w="0" w:type="dxa"/>
          <w:bottom w:w="0" w:type="dxa"/>
          <w:right w:w="0" w:type="dxa"/>
        </w:tblCellMar>
      </w:tblPr>
      <w:tr>
        <w:trPr>
          <w:trHeight w:val="222"/>
        </w:trPr>
        <w:tc>
          <w:tcPr>
            <w:tcW w:w="53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69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5400" w:type="dxa"/>
            <w:vAlign w:val="bottom"/>
            <w:gridSpan w:val="2"/>
          </w:tcPr>
          <w:p>
            <w:pPr>
              <w:ind w:left="440"/>
              <w:spacing w:after="0"/>
              <w:rPr>
                <w:sz w:val="20"/>
                <w:szCs w:val="20"/>
                <w:color w:val="auto"/>
              </w:rPr>
            </w:pPr>
            <w:r>
              <w:rPr>
                <w:rFonts w:ascii="Arial" w:cs="Arial" w:eastAsia="Arial" w:hAnsi="Arial"/>
                <w:sz w:val="17"/>
                <w:szCs w:val="17"/>
                <w:color w:val="auto"/>
              </w:rPr>
              <w:t>Accrued expenses and other current liabilities</w:t>
            </w:r>
          </w:p>
        </w:tc>
        <w:tc>
          <w:tcPr>
            <w:tcW w:w="1220" w:type="dxa"/>
            <w:vAlign w:val="bottom"/>
          </w:tcPr>
          <w:p>
            <w:pPr>
              <w:jc w:val="right"/>
              <w:ind w:right="5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9"/>
                <w:szCs w:val="19"/>
                <w:color w:val="auto"/>
              </w:rPr>
            </w:pPr>
          </w:p>
        </w:tc>
        <w:tc>
          <w:tcPr>
            <w:tcW w:w="1320" w:type="dxa"/>
            <w:vAlign w:val="bottom"/>
          </w:tcPr>
          <w:p>
            <w:pPr>
              <w:jc w:val="right"/>
              <w:ind w:right="69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259</w:t>
            </w:r>
          </w:p>
        </w:tc>
      </w:tr>
    </w:tbl>
    <w:p>
      <w:pPr>
        <w:spacing w:after="0" w:line="200" w:lineRule="exact"/>
        <w:rPr>
          <w:sz w:val="20"/>
          <w:szCs w:val="20"/>
          <w:color w:val="auto"/>
        </w:rPr>
      </w:pPr>
    </w:p>
    <w:p>
      <w:pPr>
        <w:spacing w:after="0" w:line="339"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The following tables set forth the effect of foreign currency exchange contracts on the consolidated statements of income and accumulated other comprehensive income/(loss)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5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jc w:val="right"/>
              <w:ind w:right="153"/>
              <w:spacing w:after="0"/>
              <w:rPr>
                <w:sz w:val="20"/>
                <w:szCs w:val="20"/>
                <w:color w:val="auto"/>
              </w:rPr>
            </w:pPr>
            <w:r>
              <w:rPr>
                <w:rFonts w:ascii="Arial" w:cs="Arial" w:eastAsia="Arial" w:hAnsi="Arial"/>
                <w:sz w:val="16"/>
                <w:szCs w:val="16"/>
                <w:b w:val="1"/>
                <w:bCs w:val="1"/>
                <w:color w:val="auto"/>
                <w:w w:val="87"/>
              </w:rPr>
              <w:t>Year ended December 31,</w:t>
            </w:r>
          </w:p>
        </w:tc>
        <w:tc>
          <w:tcPr>
            <w:tcW w:w="1040" w:type="dxa"/>
            <w:vAlign w:val="bottom"/>
            <w:tcBorders>
              <w:bottom w:val="single" w:sz="8" w:color="auto"/>
            </w:tcBorders>
          </w:tcPr>
          <w:p>
            <w:pPr>
              <w:spacing w:after="0"/>
              <w:rPr>
                <w:sz w:val="18"/>
                <w:szCs w:val="18"/>
                <w:color w:val="auto"/>
              </w:rPr>
            </w:pPr>
          </w:p>
        </w:tc>
      </w:tr>
      <w:tr>
        <w:trPr>
          <w:trHeight w:val="20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Forward Exchange Contracts:</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6"/>
                <w:szCs w:val="16"/>
                <w:b w:val="1"/>
                <w:bCs w:val="1"/>
                <w:color w:val="auto"/>
              </w:rPr>
              <w:t>2019</w:t>
            </w:r>
          </w:p>
        </w:tc>
      </w:tr>
      <w:tr>
        <w:trPr>
          <w:trHeight w:val="200"/>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Unrealized gain recognized in AOCI</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Derivatives in cash flow hedging relationships</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4,663</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8,773</w:t>
            </w:r>
          </w:p>
        </w:tc>
      </w:tr>
      <w:tr>
        <w:trPr>
          <w:trHeight w:val="262"/>
        </w:trPr>
        <w:tc>
          <w:tcPr>
            <w:tcW w:w="5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Gain recognized in consolidated statements of income</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2"/>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Derivatives not designated as hedging instruments</w:t>
            </w:r>
          </w:p>
        </w:tc>
        <w:tc>
          <w:tcPr>
            <w:tcW w:w="840" w:type="dxa"/>
            <w:vAlign w:val="bottom"/>
          </w:tcPr>
          <w:p>
            <w:pPr>
              <w:jc w:val="right"/>
              <w:ind w:right="656"/>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196</w:t>
            </w:r>
          </w:p>
        </w:tc>
        <w:tc>
          <w:tcPr>
            <w:tcW w:w="4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3,686</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3,208</w:t>
            </w:r>
          </w:p>
        </w:tc>
      </w:tr>
    </w:tbl>
    <w:p>
      <w:pPr>
        <w:spacing w:after="0" w:line="145"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Location and amount of gain/(loss) recognized in consolidated statements of income for cash flow hedging relationships and derivatives not designated as hedging instruments: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gridSpan w:val="5"/>
            <w:shd w:val="clear" w:color="auto" w:fill="CCEEFF"/>
          </w:tcPr>
          <w:p>
            <w:pPr>
              <w:ind w:left="28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6"/>
                <w:szCs w:val="16"/>
                <w:b w:val="1"/>
                <w:bCs w:val="1"/>
                <w:color w:val="auto"/>
              </w:rPr>
              <w:t>2021</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6"/>
                <w:szCs w:val="16"/>
                <w:b w:val="1"/>
                <w:bCs w:val="1"/>
                <w:color w:val="auto"/>
              </w:rPr>
              <w:t>2019</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8"/>
              </w:rPr>
              <w:t>As per</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center"/>
              <w:ind w:right="96"/>
              <w:spacing w:after="0" w:line="153" w:lineRule="exact"/>
              <w:rPr>
                <w:sz w:val="20"/>
                <w:szCs w:val="20"/>
                <w:color w:val="auto"/>
              </w:rPr>
            </w:pPr>
            <w:r>
              <w:rPr>
                <w:rFonts w:ascii="Arial" w:cs="Arial" w:eastAsia="Arial" w:hAnsi="Arial"/>
                <w:sz w:val="16"/>
                <w:szCs w:val="16"/>
                <w:b w:val="1"/>
                <w:bCs w:val="1"/>
                <w:color w:val="auto"/>
                <w:w w:val="90"/>
              </w:rPr>
              <w:t>Gain on</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8"/>
              </w:rPr>
              <w:t>As per</w:t>
            </w:r>
          </w:p>
        </w:tc>
        <w:tc>
          <w:tcPr>
            <w:tcW w:w="1040" w:type="dxa"/>
            <w:vAlign w:val="bottom"/>
            <w:gridSpan w:val="2"/>
            <w:shd w:val="clear" w:color="auto" w:fill="CCEEFF"/>
          </w:tcPr>
          <w:p>
            <w:pPr>
              <w:jc w:val="center"/>
              <w:spacing w:after="0" w:line="153" w:lineRule="exact"/>
              <w:rPr>
                <w:sz w:val="20"/>
                <w:szCs w:val="20"/>
                <w:color w:val="auto"/>
              </w:rPr>
            </w:pPr>
            <w:r>
              <w:rPr>
                <w:rFonts w:ascii="Arial" w:cs="Arial" w:eastAsia="Arial" w:hAnsi="Arial"/>
                <w:sz w:val="16"/>
                <w:szCs w:val="16"/>
                <w:b w:val="1"/>
                <w:bCs w:val="1"/>
                <w:color w:val="auto"/>
                <w:w w:val="86"/>
              </w:rPr>
              <w:t>Gain/(loss) on</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8"/>
              </w:rPr>
              <w:t>As per</w:t>
            </w:r>
          </w:p>
        </w:tc>
        <w:tc>
          <w:tcPr>
            <w:tcW w:w="1160" w:type="dxa"/>
            <w:vAlign w:val="bottom"/>
            <w:gridSpan w:val="2"/>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87"/>
              </w:rPr>
              <w:t>Gain on foreign</w:t>
            </w:r>
          </w:p>
        </w:tc>
        <w:tc>
          <w:tcPr>
            <w:tcW w:w="0" w:type="dxa"/>
            <w:vAlign w:val="bottom"/>
          </w:tcPr>
          <w:p>
            <w:pPr>
              <w:spacing w:after="0"/>
              <w:rPr>
                <w:sz w:val="1"/>
                <w:szCs w:val="1"/>
                <w:color w:val="auto"/>
              </w:rPr>
            </w:pPr>
          </w:p>
        </w:tc>
      </w:tr>
      <w:tr>
        <w:trPr>
          <w:trHeight w:val="79"/>
        </w:trPr>
        <w:tc>
          <w:tcPr>
            <w:tcW w:w="3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restart"/>
            <w:shd w:val="clear" w:color="auto" w:fill="CCEEFF"/>
          </w:tcPr>
          <w:p>
            <w:pPr>
              <w:jc w:val="center"/>
              <w:ind w:right="260"/>
              <w:spacing w:after="0" w:line="158" w:lineRule="exact"/>
              <w:rPr>
                <w:sz w:val="20"/>
                <w:szCs w:val="20"/>
                <w:color w:val="auto"/>
              </w:rPr>
            </w:pPr>
            <w:r>
              <w:rPr>
                <w:rFonts w:ascii="Arial" w:cs="Arial" w:eastAsia="Arial" w:hAnsi="Arial"/>
                <w:sz w:val="16"/>
                <w:szCs w:val="16"/>
                <w:b w:val="1"/>
                <w:bCs w:val="1"/>
                <w:color w:val="auto"/>
                <w:w w:val="88"/>
              </w:rPr>
              <w:t>foreign</w:t>
            </w:r>
          </w:p>
        </w:tc>
        <w:tc>
          <w:tcPr>
            <w:tcW w:w="1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restart"/>
            <w:shd w:val="clear" w:color="auto" w:fill="CCEEFF"/>
          </w:tcPr>
          <w:p>
            <w:pPr>
              <w:jc w:val="center"/>
              <w:ind w:right="280"/>
              <w:spacing w:after="0" w:line="158" w:lineRule="exact"/>
              <w:rPr>
                <w:sz w:val="20"/>
                <w:szCs w:val="20"/>
                <w:color w:val="auto"/>
              </w:rPr>
            </w:pPr>
            <w:r>
              <w:rPr>
                <w:rFonts w:ascii="Arial" w:cs="Arial" w:eastAsia="Arial" w:hAnsi="Arial"/>
                <w:sz w:val="16"/>
                <w:szCs w:val="16"/>
                <w:b w:val="1"/>
                <w:bCs w:val="1"/>
                <w:color w:val="auto"/>
                <w:w w:val="88"/>
              </w:rPr>
              <w:t>foreign</w:t>
            </w: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restart"/>
            <w:shd w:val="clear" w:color="auto" w:fill="CCEEFF"/>
          </w:tcPr>
          <w:p>
            <w:pPr>
              <w:jc w:val="center"/>
              <w:ind w:right="240"/>
              <w:spacing w:after="0" w:line="158" w:lineRule="exact"/>
              <w:rPr>
                <w:sz w:val="20"/>
                <w:szCs w:val="20"/>
                <w:color w:val="auto"/>
              </w:rPr>
            </w:pPr>
            <w:r>
              <w:rPr>
                <w:rFonts w:ascii="Arial" w:cs="Arial" w:eastAsia="Arial" w:hAnsi="Arial"/>
                <w:sz w:val="16"/>
                <w:szCs w:val="16"/>
                <w:b w:val="1"/>
                <w:bCs w:val="1"/>
                <w:color w:val="auto"/>
                <w:w w:val="85"/>
              </w:rPr>
              <w:t>consolidated</w:t>
            </w: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gridSpan w:val="2"/>
            <w:vMerge w:val="restart"/>
            <w:shd w:val="clear" w:color="auto" w:fill="CCEEFF"/>
          </w:tcPr>
          <w:p>
            <w:pPr>
              <w:jc w:val="center"/>
              <w:ind w:right="280"/>
              <w:spacing w:after="0" w:line="158" w:lineRule="exact"/>
              <w:rPr>
                <w:sz w:val="20"/>
                <w:szCs w:val="20"/>
                <w:color w:val="auto"/>
              </w:rPr>
            </w:pPr>
            <w:r>
              <w:rPr>
                <w:rFonts w:ascii="Arial" w:cs="Arial" w:eastAsia="Arial" w:hAnsi="Arial"/>
                <w:sz w:val="16"/>
                <w:szCs w:val="16"/>
                <w:b w:val="1"/>
                <w:bCs w:val="1"/>
                <w:color w:val="auto"/>
                <w:w w:val="85"/>
              </w:rPr>
              <w:t>consolidated</w:t>
            </w:r>
          </w:p>
        </w:tc>
        <w:tc>
          <w:tcPr>
            <w:tcW w:w="1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restart"/>
            <w:shd w:val="clear" w:color="auto" w:fill="CCEEFF"/>
          </w:tcPr>
          <w:p>
            <w:pPr>
              <w:jc w:val="center"/>
              <w:ind w:right="240"/>
              <w:spacing w:after="0" w:line="158" w:lineRule="exact"/>
              <w:rPr>
                <w:sz w:val="20"/>
                <w:szCs w:val="20"/>
                <w:color w:val="auto"/>
              </w:rPr>
            </w:pPr>
            <w:r>
              <w:rPr>
                <w:rFonts w:ascii="Arial" w:cs="Arial" w:eastAsia="Arial" w:hAnsi="Arial"/>
                <w:sz w:val="16"/>
                <w:szCs w:val="16"/>
                <w:b w:val="1"/>
                <w:bCs w:val="1"/>
                <w:color w:val="auto"/>
                <w:w w:val="85"/>
              </w:rPr>
              <w:t>consolidated</w:t>
            </w:r>
          </w:p>
        </w:tc>
        <w:tc>
          <w:tcPr>
            <w:tcW w:w="180" w:type="dxa"/>
            <w:vAlign w:val="bottom"/>
            <w:shd w:val="clear" w:color="auto" w:fill="CCEEFF"/>
          </w:tcPr>
          <w:p>
            <w:pPr>
              <w:spacing w:after="0"/>
              <w:rPr>
                <w:sz w:val="6"/>
                <w:szCs w:val="6"/>
                <w:color w:val="auto"/>
              </w:rPr>
            </w:pPr>
          </w:p>
        </w:tc>
        <w:tc>
          <w:tcPr>
            <w:tcW w:w="980" w:type="dxa"/>
            <w:vAlign w:val="bottom"/>
            <w:vMerge w:val="restart"/>
            <w:shd w:val="clear" w:color="auto" w:fill="CCEEFF"/>
          </w:tcPr>
          <w:p>
            <w:pPr>
              <w:jc w:val="center"/>
              <w:ind w:right="95"/>
              <w:spacing w:after="0" w:line="158" w:lineRule="exact"/>
              <w:rPr>
                <w:sz w:val="20"/>
                <w:szCs w:val="20"/>
                <w:color w:val="auto"/>
              </w:rPr>
            </w:pPr>
            <w:r>
              <w:rPr>
                <w:rFonts w:ascii="Arial" w:cs="Arial" w:eastAsia="Arial" w:hAnsi="Arial"/>
                <w:sz w:val="16"/>
                <w:szCs w:val="16"/>
                <w:b w:val="1"/>
                <w:bCs w:val="1"/>
                <w:color w:val="auto"/>
                <w:w w:val="88"/>
              </w:rPr>
              <w:t>currency</w:t>
            </w:r>
          </w:p>
        </w:tc>
        <w:tc>
          <w:tcPr>
            <w:tcW w:w="0" w:type="dxa"/>
            <w:vAlign w:val="bottom"/>
          </w:tcPr>
          <w:p>
            <w:pPr>
              <w:spacing w:after="0"/>
              <w:rPr>
                <w:sz w:val="1"/>
                <w:szCs w:val="1"/>
                <w:color w:val="auto"/>
              </w:rPr>
            </w:pPr>
          </w:p>
        </w:tc>
      </w:tr>
      <w:tr>
        <w:trPr>
          <w:trHeight w:val="79"/>
        </w:trPr>
        <w:tc>
          <w:tcPr>
            <w:tcW w:w="3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restart"/>
            <w:shd w:val="clear" w:color="auto" w:fill="CCEEFF"/>
          </w:tcPr>
          <w:p>
            <w:pPr>
              <w:jc w:val="center"/>
              <w:ind w:right="260"/>
              <w:spacing w:after="0" w:line="158" w:lineRule="exact"/>
              <w:rPr>
                <w:sz w:val="20"/>
                <w:szCs w:val="20"/>
                <w:color w:val="auto"/>
              </w:rPr>
            </w:pPr>
            <w:r>
              <w:rPr>
                <w:rFonts w:ascii="Arial" w:cs="Arial" w:eastAsia="Arial" w:hAnsi="Arial"/>
                <w:sz w:val="16"/>
                <w:szCs w:val="16"/>
                <w:b w:val="1"/>
                <w:bCs w:val="1"/>
                <w:color w:val="auto"/>
                <w:w w:val="88"/>
              </w:rPr>
              <w:t>currency</w:t>
            </w:r>
          </w:p>
        </w:tc>
        <w:tc>
          <w:tcPr>
            <w:tcW w:w="1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restart"/>
            <w:shd w:val="clear" w:color="auto" w:fill="CCEEFF"/>
          </w:tcPr>
          <w:p>
            <w:pPr>
              <w:jc w:val="center"/>
              <w:ind w:right="280"/>
              <w:spacing w:after="0" w:line="158" w:lineRule="exact"/>
              <w:rPr>
                <w:sz w:val="20"/>
                <w:szCs w:val="20"/>
                <w:color w:val="auto"/>
              </w:rPr>
            </w:pPr>
            <w:r>
              <w:rPr>
                <w:rFonts w:ascii="Arial" w:cs="Arial" w:eastAsia="Arial" w:hAnsi="Arial"/>
                <w:sz w:val="16"/>
                <w:szCs w:val="16"/>
                <w:b w:val="1"/>
                <w:bCs w:val="1"/>
                <w:color w:val="auto"/>
                <w:w w:val="88"/>
              </w:rPr>
              <w:t>currency</w:t>
            </w: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restart"/>
            <w:shd w:val="clear" w:color="auto" w:fill="CCEEFF"/>
          </w:tcPr>
          <w:p>
            <w:pPr>
              <w:jc w:val="center"/>
              <w:ind w:right="240"/>
              <w:spacing w:after="0" w:line="158" w:lineRule="exact"/>
              <w:rPr>
                <w:sz w:val="20"/>
                <w:szCs w:val="20"/>
                <w:color w:val="auto"/>
              </w:rPr>
            </w:pPr>
            <w:r>
              <w:rPr>
                <w:rFonts w:ascii="Arial" w:cs="Arial" w:eastAsia="Arial" w:hAnsi="Arial"/>
                <w:sz w:val="16"/>
                <w:szCs w:val="16"/>
                <w:b w:val="1"/>
                <w:bCs w:val="1"/>
                <w:color w:val="auto"/>
                <w:w w:val="84"/>
              </w:rPr>
              <w:t>statements of</w:t>
            </w: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gridSpan w:val="2"/>
            <w:vMerge w:val="restart"/>
            <w:shd w:val="clear" w:color="auto" w:fill="CCEEFF"/>
          </w:tcPr>
          <w:p>
            <w:pPr>
              <w:jc w:val="center"/>
              <w:ind w:right="300"/>
              <w:spacing w:after="0" w:line="158" w:lineRule="exact"/>
              <w:rPr>
                <w:sz w:val="20"/>
                <w:szCs w:val="20"/>
                <w:color w:val="auto"/>
              </w:rPr>
            </w:pPr>
            <w:r>
              <w:rPr>
                <w:rFonts w:ascii="Arial" w:cs="Arial" w:eastAsia="Arial" w:hAnsi="Arial"/>
                <w:sz w:val="16"/>
                <w:szCs w:val="16"/>
                <w:b w:val="1"/>
                <w:bCs w:val="1"/>
                <w:color w:val="auto"/>
                <w:w w:val="86"/>
              </w:rPr>
              <w:t>statements of</w:t>
            </w:r>
          </w:p>
        </w:tc>
        <w:tc>
          <w:tcPr>
            <w:tcW w:w="1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restart"/>
            <w:shd w:val="clear" w:color="auto" w:fill="CCEEFF"/>
          </w:tcPr>
          <w:p>
            <w:pPr>
              <w:jc w:val="center"/>
              <w:ind w:right="240"/>
              <w:spacing w:after="0" w:line="158" w:lineRule="exact"/>
              <w:rPr>
                <w:sz w:val="20"/>
                <w:szCs w:val="20"/>
                <w:color w:val="auto"/>
              </w:rPr>
            </w:pPr>
            <w:r>
              <w:rPr>
                <w:rFonts w:ascii="Arial" w:cs="Arial" w:eastAsia="Arial" w:hAnsi="Arial"/>
                <w:sz w:val="16"/>
                <w:szCs w:val="16"/>
                <w:b w:val="1"/>
                <w:bCs w:val="1"/>
                <w:color w:val="auto"/>
                <w:w w:val="84"/>
              </w:rPr>
              <w:t>statements of</w:t>
            </w:r>
          </w:p>
        </w:tc>
        <w:tc>
          <w:tcPr>
            <w:tcW w:w="180" w:type="dxa"/>
            <w:vAlign w:val="bottom"/>
            <w:shd w:val="clear" w:color="auto" w:fill="CCEEFF"/>
          </w:tcPr>
          <w:p>
            <w:pPr>
              <w:spacing w:after="0"/>
              <w:rPr>
                <w:sz w:val="6"/>
                <w:szCs w:val="6"/>
                <w:color w:val="auto"/>
              </w:rPr>
            </w:pPr>
          </w:p>
        </w:tc>
        <w:tc>
          <w:tcPr>
            <w:tcW w:w="980" w:type="dxa"/>
            <w:vAlign w:val="bottom"/>
            <w:vMerge w:val="restart"/>
            <w:shd w:val="clear" w:color="auto" w:fill="CCEEFF"/>
          </w:tcPr>
          <w:p>
            <w:pPr>
              <w:jc w:val="center"/>
              <w:ind w:right="95"/>
              <w:spacing w:after="0" w:line="158" w:lineRule="exact"/>
              <w:rPr>
                <w:sz w:val="20"/>
                <w:szCs w:val="20"/>
                <w:color w:val="auto"/>
              </w:rPr>
            </w:pPr>
            <w:r>
              <w:rPr>
                <w:rFonts w:ascii="Arial" w:cs="Arial" w:eastAsia="Arial" w:hAnsi="Arial"/>
                <w:sz w:val="16"/>
                <w:szCs w:val="16"/>
                <w:b w:val="1"/>
                <w:bCs w:val="1"/>
                <w:color w:val="auto"/>
                <w:w w:val="86"/>
              </w:rPr>
              <w:t>exchange</w:t>
            </w:r>
          </w:p>
        </w:tc>
        <w:tc>
          <w:tcPr>
            <w:tcW w:w="0" w:type="dxa"/>
            <w:vAlign w:val="bottom"/>
          </w:tcPr>
          <w:p>
            <w:pPr>
              <w:spacing w:after="0"/>
              <w:rPr>
                <w:sz w:val="1"/>
                <w:szCs w:val="1"/>
                <w:color w:val="auto"/>
              </w:rPr>
            </w:pPr>
          </w:p>
        </w:tc>
      </w:tr>
      <w:tr>
        <w:trPr>
          <w:trHeight w:val="79"/>
        </w:trPr>
        <w:tc>
          <w:tcPr>
            <w:tcW w:w="3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restart"/>
            <w:shd w:val="clear" w:color="auto" w:fill="CCEEFF"/>
          </w:tcPr>
          <w:p>
            <w:pPr>
              <w:jc w:val="center"/>
              <w:ind w:right="280"/>
              <w:spacing w:after="0" w:line="158" w:lineRule="exact"/>
              <w:rPr>
                <w:sz w:val="20"/>
                <w:szCs w:val="20"/>
                <w:color w:val="auto"/>
              </w:rPr>
            </w:pPr>
            <w:r>
              <w:rPr>
                <w:rFonts w:ascii="Arial" w:cs="Arial" w:eastAsia="Arial" w:hAnsi="Arial"/>
                <w:sz w:val="16"/>
                <w:szCs w:val="16"/>
                <w:b w:val="1"/>
                <w:bCs w:val="1"/>
                <w:color w:val="auto"/>
                <w:w w:val="83"/>
              </w:rPr>
              <w:t>exchange</w:t>
            </w:r>
          </w:p>
        </w:tc>
        <w:tc>
          <w:tcPr>
            <w:tcW w:w="1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gridSpan w:val="2"/>
            <w:vMerge w:val="restart"/>
            <w:shd w:val="clear" w:color="auto" w:fill="CCEEFF"/>
          </w:tcPr>
          <w:p>
            <w:pPr>
              <w:jc w:val="center"/>
              <w:ind w:right="260"/>
              <w:spacing w:after="0" w:line="158" w:lineRule="exact"/>
              <w:rPr>
                <w:sz w:val="20"/>
                <w:szCs w:val="20"/>
                <w:color w:val="auto"/>
              </w:rPr>
            </w:pPr>
            <w:r>
              <w:rPr>
                <w:rFonts w:ascii="Arial" w:cs="Arial" w:eastAsia="Arial" w:hAnsi="Arial"/>
                <w:sz w:val="16"/>
                <w:szCs w:val="16"/>
                <w:b w:val="1"/>
                <w:bCs w:val="1"/>
                <w:color w:val="auto"/>
                <w:w w:val="83"/>
              </w:rPr>
              <w:t>exchange</w:t>
            </w:r>
          </w:p>
        </w:tc>
        <w:tc>
          <w:tcPr>
            <w:tcW w:w="14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5"/>
              </w:rPr>
              <w:t>income</w:t>
            </w: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5"/>
              </w:rPr>
              <w:t>income</w:t>
            </w:r>
          </w:p>
        </w:tc>
        <w:tc>
          <w:tcPr>
            <w:tcW w:w="16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5"/>
              </w:rPr>
              <w:t>income</w:t>
            </w:r>
          </w:p>
        </w:tc>
        <w:tc>
          <w:tcPr>
            <w:tcW w:w="180" w:type="dxa"/>
            <w:vAlign w:val="bottom"/>
            <w:shd w:val="clear" w:color="auto" w:fill="CCEEFF"/>
          </w:tcPr>
          <w:p>
            <w:pPr>
              <w:spacing w:after="0"/>
              <w:rPr>
                <w:sz w:val="6"/>
                <w:szCs w:val="6"/>
                <w:color w:val="auto"/>
              </w:rPr>
            </w:pPr>
          </w:p>
        </w:tc>
        <w:tc>
          <w:tcPr>
            <w:tcW w:w="980" w:type="dxa"/>
            <w:vAlign w:val="bottom"/>
            <w:vMerge w:val="restart"/>
            <w:shd w:val="clear" w:color="auto" w:fill="CCEEFF"/>
          </w:tcPr>
          <w:p>
            <w:pPr>
              <w:jc w:val="center"/>
              <w:ind w:right="95"/>
              <w:spacing w:after="0"/>
              <w:rPr>
                <w:sz w:val="20"/>
                <w:szCs w:val="20"/>
                <w:color w:val="auto"/>
              </w:rPr>
            </w:pPr>
            <w:r>
              <w:rPr>
                <w:rFonts w:ascii="Arial" w:cs="Arial" w:eastAsia="Arial" w:hAnsi="Arial"/>
                <w:sz w:val="16"/>
                <w:szCs w:val="16"/>
                <w:b w:val="1"/>
                <w:bCs w:val="1"/>
                <w:color w:val="auto"/>
                <w:w w:val="88"/>
              </w:rPr>
              <w:t>contracts</w:t>
            </w:r>
          </w:p>
        </w:tc>
        <w:tc>
          <w:tcPr>
            <w:tcW w:w="0" w:type="dxa"/>
            <w:vAlign w:val="bottom"/>
          </w:tcPr>
          <w:p>
            <w:pPr>
              <w:spacing w:after="0"/>
              <w:rPr>
                <w:sz w:val="1"/>
                <w:szCs w:val="1"/>
                <w:color w:val="auto"/>
              </w:rPr>
            </w:pPr>
          </w:p>
        </w:tc>
      </w:tr>
      <w:tr>
        <w:trPr>
          <w:trHeight w:val="126"/>
        </w:trPr>
        <w:tc>
          <w:tcPr>
            <w:tcW w:w="3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6"/>
              </w:rPr>
              <w:t>contracts</w:t>
            </w:r>
          </w:p>
        </w:tc>
        <w:tc>
          <w:tcPr>
            <w:tcW w:w="160" w:type="dxa"/>
            <w:vAlign w:val="bottom"/>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6"/>
              </w:rPr>
              <w:t>contracts</w:t>
            </w:r>
          </w:p>
        </w:tc>
        <w:tc>
          <w:tcPr>
            <w:tcW w:w="14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8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 hedging relationships</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8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7"/>
                <w:szCs w:val="17"/>
                <w:color w:val="auto"/>
              </w:rPr>
              <w:t>Location in consolidated statements of income</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where gain/(loss) was reclassed from AOCI</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690,934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623,936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3,269</w:t>
            </w:r>
          </w:p>
        </w:tc>
        <w:tc>
          <w:tcPr>
            <w:tcW w:w="0" w:type="dxa"/>
            <w:vAlign w:val="bottom"/>
          </w:tcPr>
          <w:p>
            <w:pPr>
              <w:spacing w:after="0"/>
              <w:rPr>
                <w:sz w:val="1"/>
                <w:szCs w:val="1"/>
                <w:color w:val="auto"/>
              </w:rPr>
            </w:pPr>
          </w:p>
        </w:tc>
      </w:tr>
      <w:tr>
        <w:trPr>
          <w:trHeight w:val="223"/>
        </w:trPr>
        <w:tc>
          <w:tcPr>
            <w:tcW w:w="3680" w:type="dxa"/>
            <w:vAlign w:val="bottom"/>
            <w:gridSpan w:val="2"/>
          </w:tcPr>
          <w:p>
            <w:pPr>
              <w:ind w:left="20"/>
              <w:spacing w:after="0"/>
              <w:rPr>
                <w:sz w:val="20"/>
                <w:szCs w:val="20"/>
                <w:color w:val="auto"/>
              </w:rPr>
            </w:pPr>
            <w:r>
              <w:rPr>
                <w:rFonts w:ascii="Arial" w:cs="Arial" w:eastAsia="Arial" w:hAnsi="Arial"/>
                <w:sz w:val="17"/>
                <w:szCs w:val="17"/>
                <w:color w:val="auto"/>
              </w:rPr>
              <w:t>General and administrative expenses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142,040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113,891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126,909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23"/>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and marketing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60,123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Depreciation and amortization expense</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49,132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50,462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51,981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before tax</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3,951</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Income tax benefit/(expense) relating to above</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(1,173)</w:t>
            </w:r>
          </w:p>
        </w:tc>
        <w:tc>
          <w:tcPr>
            <w:tcW w:w="0" w:type="dxa"/>
            <w:vAlign w:val="bottom"/>
          </w:tcPr>
          <w:p>
            <w:pPr>
              <w:spacing w:after="0"/>
              <w:rPr>
                <w:sz w:val="1"/>
                <w:szCs w:val="1"/>
                <w:color w:val="auto"/>
              </w:rPr>
            </w:pPr>
          </w:p>
        </w:tc>
      </w:tr>
      <w:tr>
        <w:trPr>
          <w:trHeight w:val="241"/>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of tax</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3"/>
              </w:rPr>
              <w:t>Derivatives not designated as hedging instruments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68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Location in consolidated statements of income</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680" w:type="dxa"/>
            <w:vAlign w:val="bottom"/>
            <w:gridSpan w:val="2"/>
          </w:tcPr>
          <w:p>
            <w:pPr>
              <w:ind w:left="20"/>
              <w:spacing w:after="0"/>
              <w:rPr>
                <w:sz w:val="20"/>
                <w:szCs w:val="20"/>
                <w:color w:val="auto"/>
              </w:rPr>
            </w:pPr>
            <w:r>
              <w:rPr>
                <w:rFonts w:ascii="Arial" w:cs="Arial" w:eastAsia="Arial" w:hAnsi="Arial"/>
                <w:sz w:val="17"/>
                <w:szCs w:val="17"/>
                <w:color w:val="auto"/>
              </w:rPr>
              <w:t>where gain was recognized</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Foreign exchange gain,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3,208</w:t>
            </w:r>
          </w:p>
        </w:tc>
        <w:tc>
          <w:tcPr>
            <w:tcW w:w="0" w:type="dxa"/>
            <w:vAlign w:val="bottom"/>
          </w:tcPr>
          <w:p>
            <w:pPr>
              <w:spacing w:after="0"/>
              <w:rPr>
                <w:sz w:val="1"/>
                <w:szCs w:val="1"/>
                <w:color w:val="auto"/>
              </w:rPr>
            </w:pPr>
          </w:p>
        </w:tc>
      </w:tr>
      <w:tr>
        <w:trPr>
          <w:trHeight w:val="241"/>
        </w:trPr>
        <w:tc>
          <w:tcPr>
            <w:tcW w:w="3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Effect of net investment hedges on accumulated other comprehensive income/(loss):</w:t>
      </w:r>
    </w:p>
    <w:p>
      <w:pPr>
        <w:spacing w:after="0" w:line="205" w:lineRule="exact"/>
        <w:rPr>
          <w:sz w:val="20"/>
          <w:szCs w:val="20"/>
          <w:color w:val="auto"/>
        </w:rPr>
      </w:pPr>
    </w:p>
    <w:p>
      <w:pPr>
        <w:jc w:val="center"/>
        <w:ind w:left="548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29210</wp:posOffset>
            </wp:positionV>
            <wp:extent cx="24314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38"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Amount of loss recognized in AOCI</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investment hedging relationships</w:t>
            </w:r>
          </w:p>
        </w:tc>
        <w:tc>
          <w:tcPr>
            <w:tcW w:w="22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2019</w:t>
            </w:r>
          </w:p>
        </w:tc>
        <w:tc>
          <w:tcPr>
            <w:tcW w:w="960" w:type="dxa"/>
            <w:vAlign w:val="bottom"/>
          </w:tcPr>
          <w:p>
            <w:pPr>
              <w:spacing w:after="0"/>
              <w:rPr>
                <w:sz w:val="21"/>
                <w:szCs w:val="2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26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r>
      <w:tr>
        <w:trPr>
          <w:trHeight w:val="799"/>
        </w:trPr>
        <w:tc>
          <w:tcPr>
            <w:tcW w:w="4120" w:type="dxa"/>
            <w:vAlign w:val="bottom"/>
          </w:tcPr>
          <w:p>
            <w:pPr>
              <w:spacing w:after="0"/>
              <w:rPr>
                <w:sz w:val="24"/>
                <w:szCs w:val="24"/>
                <w:color w:val="auto"/>
              </w:rPr>
            </w:pPr>
          </w:p>
        </w:tc>
        <w:tc>
          <w:tcPr>
            <w:tcW w:w="2600" w:type="dxa"/>
            <w:vAlign w:val="bottom"/>
            <w:gridSpan w:val="3"/>
          </w:tcPr>
          <w:p>
            <w:pPr>
              <w:jc w:val="right"/>
              <w:ind w:right="940"/>
              <w:spacing w:after="0"/>
              <w:rPr>
                <w:sz w:val="20"/>
                <w:szCs w:val="20"/>
                <w:color w:val="auto"/>
              </w:rPr>
            </w:pPr>
            <w:r>
              <w:rPr>
                <w:rFonts w:ascii="Arial" w:cs="Arial" w:eastAsia="Arial" w:hAnsi="Arial"/>
                <w:sz w:val="17"/>
                <w:szCs w:val="17"/>
                <w:color w:val="auto"/>
              </w:rPr>
              <w:t>F-42</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2"/>
        </w:trPr>
        <w:tc>
          <w:tcPr>
            <w:tcW w:w="41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Pr>
          <w:p>
            <w:pPr>
              <w:spacing w:after="0"/>
              <w:rPr>
                <w:sz w:val="20"/>
                <w:szCs w:val="20"/>
                <w:color w:val="auto"/>
              </w:rPr>
            </w:pPr>
            <w:r>
              <w:rPr>
                <w:rFonts w:ascii="Arial" w:cs="Arial" w:eastAsia="Arial" w:hAnsi="Arial"/>
                <w:sz w:val="17"/>
                <w:szCs w:val="17"/>
                <w:b w:val="1"/>
                <w:bCs w:val="1"/>
                <w:color w:val="auto"/>
              </w:rPr>
              <w:t>17. Borrowings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8620" w:type="dxa"/>
            <w:vAlign w:val="bottom"/>
            <w:gridSpan w:val="10"/>
          </w:tcPr>
          <w:p>
            <w:pPr>
              <w:ind w:left="400"/>
              <w:spacing w:after="0"/>
              <w:rPr>
                <w:sz w:val="20"/>
                <w:szCs w:val="20"/>
                <w:color w:val="auto"/>
              </w:rPr>
            </w:pPr>
            <w:r>
              <w:rPr>
                <w:rFonts w:ascii="Arial" w:cs="Arial" w:eastAsia="Arial" w:hAnsi="Arial"/>
                <w:sz w:val="17"/>
                <w:szCs w:val="17"/>
                <w:color w:val="auto"/>
              </w:rPr>
              <w:t>The following tables summarizes the Company’s debt position as of December 31, 2021 and 2020.</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7"/>
                <w:szCs w:val="17"/>
                <w:b w:val="1"/>
                <w:bCs w:val="1"/>
                <w:color w:val="auto"/>
              </w:rPr>
              <w:t>As of December 31, 2021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141"/>
              <w:spacing w:after="0"/>
              <w:rPr>
                <w:sz w:val="20"/>
                <w:szCs w:val="20"/>
                <w:color w:val="auto"/>
              </w:rPr>
            </w:pPr>
            <w:r>
              <w:rPr>
                <w:rFonts w:ascii="Arial" w:cs="Arial" w:eastAsia="Arial" w:hAnsi="Arial"/>
                <w:sz w:val="17"/>
                <w:szCs w:val="17"/>
                <w:b w:val="1"/>
                <w:bCs w:val="1"/>
                <w:color w:val="auto"/>
              </w:rPr>
              <w:t>As of December 31, 2020</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rPr>
              <w:t>Revolving Credit</w:t>
            </w:r>
          </w:p>
        </w:tc>
        <w:tc>
          <w:tcPr>
            <w:tcW w:w="260" w:type="dxa"/>
            <w:vAlign w:val="bottom"/>
          </w:tcPr>
          <w:p>
            <w:pPr>
              <w:spacing w:after="0"/>
              <w:rPr>
                <w:sz w:val="10"/>
                <w:szCs w:val="10"/>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rPr>
              <w:t>Revolving Credit</w:t>
            </w:r>
          </w:p>
        </w:tc>
        <w:tc>
          <w:tcPr>
            <w:tcW w:w="280" w:type="dxa"/>
            <w:vAlign w:val="bottom"/>
          </w:tcPr>
          <w:p>
            <w:pPr>
              <w:spacing w:after="0"/>
              <w:rPr>
                <w:sz w:val="10"/>
                <w:szCs w:val="10"/>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Notes</w:t>
            </w:r>
          </w:p>
        </w:tc>
        <w:tc>
          <w:tcPr>
            <w:tcW w:w="260" w:type="dxa"/>
            <w:vAlign w:val="bottom"/>
          </w:tcPr>
          <w:p>
            <w:pPr>
              <w:spacing w:after="0"/>
              <w:rPr>
                <w:sz w:val="10"/>
                <w:szCs w:val="10"/>
                <w:color w:val="auto"/>
              </w:rPr>
            </w:pPr>
          </w:p>
        </w:tc>
        <w:tc>
          <w:tcPr>
            <w:tcW w:w="94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2"/>
            <w:vMerge w:val="restart"/>
          </w:tcPr>
          <w:p>
            <w:pPr>
              <w:jc w:val="center"/>
              <w:ind w:right="200"/>
              <w:spacing w:after="0" w:line="158" w:lineRule="exact"/>
              <w:rPr>
                <w:sz w:val="20"/>
                <w:szCs w:val="20"/>
                <w:color w:val="auto"/>
              </w:rPr>
            </w:pPr>
            <w:r>
              <w:rPr>
                <w:rFonts w:ascii="Arial" w:cs="Arial" w:eastAsia="Arial" w:hAnsi="Arial"/>
                <w:sz w:val="16"/>
                <w:szCs w:val="16"/>
                <w:b w:val="1"/>
                <w:bCs w:val="1"/>
                <w:color w:val="auto"/>
                <w:w w:val="90"/>
              </w:rPr>
              <w:t>Facility</w:t>
            </w:r>
          </w:p>
        </w:tc>
        <w:tc>
          <w:tcPr>
            <w:tcW w:w="2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gridSpan w:val="2"/>
            <w:vMerge w:val="restart"/>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Facility</w:t>
            </w:r>
          </w:p>
        </w:tc>
        <w:tc>
          <w:tcPr>
            <w:tcW w:w="2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43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gridSpan w:val="2"/>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gridSpan w:val="2"/>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portion of long-term borrowings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260,016</w:t>
            </w: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260,016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42"/>
        </w:trPr>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214,000</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7"/>
                <w:szCs w:val="17"/>
                <w:color w:val="auto"/>
              </w:rPr>
              <w:t>Unamortized debt discount</w:t>
            </w: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(11,236)</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debt issuance costs*</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0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Long-term borrowings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64,000</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137,961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201,961</w:t>
            </w:r>
          </w:p>
        </w:tc>
        <w:tc>
          <w:tcPr>
            <w:tcW w:w="0" w:type="dxa"/>
            <w:vAlign w:val="bottom"/>
          </w:tcPr>
          <w:p>
            <w:pPr>
              <w:spacing w:after="0"/>
              <w:rPr>
                <w:sz w:val="1"/>
                <w:szCs w:val="1"/>
                <w:color w:val="auto"/>
              </w:rPr>
            </w:pPr>
          </w:p>
        </w:tc>
      </w:tr>
      <w:tr>
        <w:trPr>
          <w:trHeight w:val="202"/>
        </w:trPr>
        <w:tc>
          <w:tcPr>
            <w:tcW w:w="434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7"/>
                <w:szCs w:val="17"/>
                <w:b w:val="1"/>
                <w:bCs w:val="1"/>
                <w:color w:val="auto"/>
              </w:rPr>
              <w:t>Total borrowings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260,016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line="177"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260,016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89,000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1"/>
              <w:spacing w:after="0" w:line="177"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137,961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line="177"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226,961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*Unamortized debt issuance costs for the Company’s revolving Credit Facility of $232 and $490 as of December 31, 2021 and 2020, respectively, are presented under “Other current assets” and “Other assets,” as applicable in the consolidated balance sheets.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172"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On November 21, 2017, the Company and each of the Company’s wholly owned material domestic subsidiaries entered into a Credit Agreement with certain lenders, and Citibank, N.A. as Administrative Agent (the “Credit Agreement”). The Credit Agreement provides for a $200,000 revolving credit facility (the “Credit Facility”) with an option to increase the commitments by up to $100,000,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the Company exercised its option under the Credit Agreement to increase the commitments by $100,000 thereby utilizing the entire revolver under the Credit Facility of $300,000 to fund the Company’s July 2018 acquisition of SCIO.</w:t>
      </w:r>
    </w:p>
    <w:p>
      <w:pPr>
        <w:spacing w:after="0" w:line="118" w:lineRule="exact"/>
        <w:rPr>
          <w:sz w:val="20"/>
          <w:szCs w:val="20"/>
          <w:color w:val="auto"/>
        </w:rPr>
      </w:pPr>
    </w:p>
    <w:p>
      <w:pPr>
        <w:jc w:val="both"/>
        <w:ind w:firstLine="393"/>
        <w:spacing w:after="0" w:line="264"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the Company’s total net leverage ratio and ranges from 0% to 0.75% per annum with respect to loans pegged to the specified prime rate, and 1.00% to 1.75% per annum on loans pegged to the adjusted LIBO rate. The revolving credit commitments under the Credit Agreement are subject to a commitment fee which is also tied to the Company’s total net leverage ratio, and ranges from 0.15% to 0.30% per annum on the average daily amount by which the aggregate revolving commitments exceed the sum of outstanding revolving loans and letter of credit obligations.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revolving Credit Facility carried an effective interest rate as shown below.</w:t>
      </w:r>
    </w:p>
    <w:p>
      <w:pPr>
        <w:spacing w:after="0" w:line="209"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52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w w:val="90"/>
              </w:rPr>
              <w:t>Year ended December 31,</w:t>
            </w:r>
          </w:p>
        </w:tc>
        <w:tc>
          <w:tcPr>
            <w:tcW w:w="1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19"/>
        </w:trPr>
        <w:tc>
          <w:tcPr>
            <w:tcW w:w="45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880"/>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9"/>
                <w:szCs w:val="19"/>
                <w:color w:val="auto"/>
              </w:rPr>
            </w:pPr>
          </w:p>
        </w:tc>
      </w:tr>
      <w:tr>
        <w:trPr>
          <w:trHeight w:val="216"/>
        </w:trPr>
        <w:tc>
          <w:tcPr>
            <w:tcW w:w="45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Effective Interest Rate</w:t>
            </w:r>
          </w:p>
        </w:tc>
        <w:tc>
          <w:tcPr>
            <w:tcW w:w="1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1.7</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2.3</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4.0</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24"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Obligations under the Credit Agreement are guaranteed by the Company’s material domestic subsidiaries and are secured by all or substantially all of the assets of the Company and its material domestic subsidiaries. The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Credit Agreement contains a covenant to not permit the interest coverage ratio (the ratio of EBITDA to cash interest expense) or the total net leverage ratio (total funded indebtedness, less unrestricted domestic cash and cash equivalents not to exceed $50,000 to EBITDA) for the four consecutive quarter period ending on the last day of each fiscal quarter, to be less than 3.5 to 1.0 or more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than 3.0 to 1.0, respectively. As of December 31, 2021, the Company was in compliance with all financial and non-financial covenants listed under the Credit Agreement.</w:t>
      </w:r>
    </w:p>
    <w:p>
      <w:pPr>
        <w:spacing w:after="0" w:line="93"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5"/>
          <w:szCs w:val="15"/>
          <w:color w:val="auto"/>
        </w:rPr>
        <w:t>The Company entered into a second amendment and a third amendment (the “Amendments”) to its Credit Agreement, as amended, among the Company, as borrower, with certain lenders, and Citibank, N.A. as Administrative Agent to, among other things, permit the issuance by the Company of the convertible notes, and settlement upon maturity or conversion thereof, in accordance with the Investment Agreement, the indenture dated as of October 4, 2018 and the other documents entered into in connection therewith and the change in definition of restricted payments in connection with the Company’s share-buyback plan.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159" w:lineRule="exact"/>
        <w:rPr>
          <w:sz w:val="20"/>
          <w:szCs w:val="20"/>
          <w:color w:val="auto"/>
        </w:rPr>
      </w:pPr>
    </w:p>
    <w:p>
      <w:pPr>
        <w:jc w:val="both"/>
        <w:ind w:firstLine="393"/>
        <w:spacing w:after="0" w:line="263" w:lineRule="auto"/>
        <w:rPr>
          <w:sz w:val="20"/>
          <w:szCs w:val="20"/>
          <w:color w:val="auto"/>
        </w:rPr>
      </w:pPr>
      <w:r>
        <w:rPr>
          <w:rFonts w:ascii="Arial" w:cs="Arial" w:eastAsia="Arial" w:hAnsi="Arial"/>
          <w:sz w:val="15"/>
          <w:szCs w:val="15"/>
          <w:color w:val="auto"/>
        </w:rPr>
        <w:t>On October 1, 2018, the Company entered into an investment agreement (the “Investment Agreement”) with Orogen Echo LLC (the “Purchaser”), an affiliate of The Orogen Group LLC, relating to the issuance to the Purchaser of $150,000, in an aggregate principal amount of the Notes. The transactions contemplated by the Investment Agreement, including the issuance of the Notes, closed on October 4, 2018. The Notes carried interest at a rate of 3.5% per annum, payable semi-annually in arrears in cash on April 1 and October 1 of each year. The Notes were convertible at an initial conversion rate of 13.3333 shares of the common stock per one thousand dollar principal amount of the Notes (which represented an initial conversion price of approximately $75 per share). The Company had the option to redeem the principal amount of the Notes, at its option, in whole but not in part, at a purchase price equal to the principal amount plus accrued and unpaid interest on or after October 1, 2021, if the closing sale price of the common stock exceeded 150% of the then-current conversion price for 20 or more trading days in the 30 consecutive trading day period preceding the Company’s exercise of this redemption right (including the trading day immediately prior to the date of the notice of redemption). The Company had the option to elect to settle conversions of the Notes by paying or delivering, as the case may be, cash, shares of the Company’s common stock or a combination of cash and shares of the Company’s common stock.</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Notes carried an effective interest rate as shown below:</w:t>
      </w:r>
    </w:p>
    <w:p>
      <w:pPr>
        <w:spacing w:after="0" w:line="196"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w w:val="89"/>
              </w:rPr>
              <w:t>Year ended December 31,</w:t>
            </w:r>
          </w:p>
        </w:tc>
        <w:tc>
          <w:tcPr>
            <w:tcW w:w="1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19"/>
        </w:trPr>
        <w:tc>
          <w:tcPr>
            <w:tcW w:w="42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9"/>
                <w:szCs w:val="19"/>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Effective Interest Rate</w:t>
            </w:r>
          </w:p>
        </w:tc>
        <w:tc>
          <w:tcPr>
            <w:tcW w:w="15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3.6</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3.6</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3.6</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302" w:lineRule="exact"/>
        <w:rPr>
          <w:sz w:val="20"/>
          <w:szCs w:val="20"/>
          <w:color w:val="auto"/>
        </w:rPr>
      </w:pPr>
    </w:p>
    <w:p>
      <w:pPr>
        <w:jc w:val="both"/>
        <w:ind w:firstLine="393"/>
        <w:spacing w:after="0" w:line="231" w:lineRule="auto"/>
        <w:rPr>
          <w:sz w:val="20"/>
          <w:szCs w:val="20"/>
          <w:color w:val="auto"/>
        </w:rPr>
      </w:pPr>
      <w:r>
        <w:rPr>
          <w:rFonts w:ascii="Arial" w:cs="Arial" w:eastAsia="Arial" w:hAnsi="Arial"/>
          <w:sz w:val="17"/>
          <w:szCs w:val="17"/>
          <w:color w:val="auto"/>
        </w:rPr>
        <w:t>On August 27, 2021, the Company entered into a Payoff and Termination Agreement (the “Payoff and Termination Agreement”) with the Purchaser, pursuant to which the Company prepaid and settled its outstanding obligations under the Notes for an aggregate consideration of $236,742, excluding accrued and unpaid interest under the Notes calculated through, and including, August 26, 2021, in the form of a combination of cash and shares of the Company’s common stock. As a result, the Company made a cash payment of $200,000 to the Purchaser and satisfied the remainder of the obligation under the Notes by issuing to the Purchaser 310,394 shares of the Company’s common stock calculated at $118.37 per share based on a 20-day volume weighted average price ending on, and including, August 26, 2021. The Company satisfied the cash payment obligation under the Payoff and Termination Agreement by drawing $200,000 from its existing revolving Credit Facility, and the Company’s common stock was issued from its existing treasury shares. Refer to Note 18 - Capital Structure to the consolidated financial statements for further details.</w:t>
      </w:r>
    </w:p>
    <w:p>
      <w:pPr>
        <w:spacing w:after="0" w:line="200" w:lineRule="exact"/>
        <w:rPr>
          <w:sz w:val="20"/>
          <w:szCs w:val="20"/>
          <w:color w:val="auto"/>
        </w:rPr>
      </w:pPr>
    </w:p>
    <w:p>
      <w:pPr>
        <w:jc w:val="both"/>
        <w:ind w:firstLine="393"/>
        <w:spacing w:after="0" w:line="234" w:lineRule="auto"/>
        <w:rPr>
          <w:sz w:val="20"/>
          <w:szCs w:val="20"/>
          <w:color w:val="auto"/>
        </w:rPr>
      </w:pPr>
      <w:r>
        <w:rPr>
          <w:rFonts w:ascii="Arial" w:cs="Arial" w:eastAsia="Arial" w:hAnsi="Arial"/>
          <w:sz w:val="17"/>
          <w:szCs w:val="17"/>
          <w:color w:val="auto"/>
        </w:rPr>
        <w:t>The aggregate consideration of $236,742 was allocated between the debt and equity components in an amount of $152,742 and $84,000, respectively. The consideration was first allocated to the fair value of debt component and the remaining was allocated to the equity component. The fair value of the debt component was calculated using a discounted cash flow technique, which considered debt issuances with similar features of the Company’s debt, without the conversion feature. The resulting effective interest rate for the Notes was 2.9% per annum at the time of settlement. The portion allocated to the equity component was recorded as additional paid-in capital.</w:t>
      </w:r>
    </w:p>
    <w:p>
      <w:pPr>
        <w:spacing w:after="0" w:line="201" w:lineRule="exact"/>
        <w:rPr>
          <w:sz w:val="20"/>
          <w:szCs w:val="20"/>
          <w:color w:val="auto"/>
        </w:rPr>
      </w:pPr>
    </w:p>
    <w:p>
      <w:pPr>
        <w:jc w:val="both"/>
        <w:ind w:firstLine="393"/>
        <w:spacing w:after="0" w:line="237" w:lineRule="auto"/>
        <w:rPr>
          <w:sz w:val="20"/>
          <w:szCs w:val="20"/>
          <w:color w:val="auto"/>
        </w:rPr>
      </w:pPr>
      <w:r>
        <w:rPr>
          <w:rFonts w:ascii="Arial" w:cs="Arial" w:eastAsia="Arial" w:hAnsi="Arial"/>
          <w:sz w:val="17"/>
          <w:szCs w:val="17"/>
          <w:color w:val="auto"/>
        </w:rPr>
        <w:t>Immediately prior to the settlement of the Notes, the carrying amount of the debt component of the Notes, net of unamortized debt discount and issuance costs, was $139,897. During the year ended December 31, 2021, the Company recognized a loss on settlement of the Notes of $12,845, representing the difference between the fair value of the consideration allocated to the debt component and the carrying value of the debt component immediately before settlement, and is presented as “Loss on settlement of convertible notes,” in the Company’s consolidated statements of income.</w:t>
      </w:r>
    </w:p>
    <w:p>
      <w:pPr>
        <w:spacing w:after="0" w:line="133"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During the years ended December 31, 2021, 2020 and 2019, the Company recognized interest expense and amortization of debt discount on the Notes as below: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0" w:type="dxa"/>
        <w:tblCellMar>
          <w:top w:w="0" w:type="dxa"/>
          <w:left w:w="0" w:type="dxa"/>
          <w:bottom w:w="0" w:type="dxa"/>
          <w:right w:w="0" w:type="dxa"/>
        </w:tblCellMar>
      </w:tblPr>
      <w:tr>
        <w:trPr>
          <w:trHeight w:val="198"/>
        </w:trPr>
        <w:tc>
          <w:tcPr>
            <w:tcW w:w="4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5"/>
              </w:rPr>
              <w:t>Year ended December 31,</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b w:val="1"/>
                <w:bCs w:val="1"/>
                <w:color w:val="auto"/>
              </w:rPr>
              <w:t>2020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2019</w:t>
            </w:r>
          </w:p>
        </w:tc>
      </w:tr>
      <w:tr>
        <w:trPr>
          <w:trHeight w:val="216"/>
        </w:trPr>
        <w:tc>
          <w:tcPr>
            <w:tcW w:w="4260" w:type="dxa"/>
            <w:vAlign w:val="bottom"/>
            <w:gridSpan w:val="2"/>
          </w:tcPr>
          <w:p>
            <w:pPr>
              <w:ind w:left="400"/>
              <w:spacing w:after="0"/>
              <w:rPr>
                <w:sz w:val="20"/>
                <w:szCs w:val="20"/>
                <w:color w:val="auto"/>
              </w:rPr>
            </w:pPr>
            <w:r>
              <w:rPr>
                <w:rFonts w:ascii="Arial" w:cs="Arial" w:eastAsia="Arial" w:hAnsi="Arial"/>
                <w:sz w:val="17"/>
                <w:szCs w:val="17"/>
                <w:color w:val="auto"/>
              </w:rPr>
              <w:t>Interest expense on the Notes</w:t>
            </w:r>
          </w:p>
        </w:tc>
        <w:tc>
          <w:tcPr>
            <w:tcW w:w="1240" w:type="dxa"/>
            <w:vAlign w:val="bottom"/>
          </w:tcPr>
          <w:p>
            <w:pPr>
              <w:jc w:val="right"/>
              <w:ind w:right="653"/>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9"/>
              </w:rPr>
              <w:t>3,442</w:t>
            </w:r>
          </w:p>
        </w:tc>
        <w:tc>
          <w:tcPr>
            <w:tcW w:w="100" w:type="dxa"/>
            <w:vAlign w:val="bottom"/>
          </w:tcPr>
          <w:p>
            <w:pPr>
              <w:spacing w:after="0"/>
              <w:rPr>
                <w:sz w:val="18"/>
                <w:szCs w:val="18"/>
                <w:color w:val="auto"/>
              </w:rPr>
            </w:pPr>
          </w:p>
        </w:tc>
        <w:tc>
          <w:tcPr>
            <w:tcW w:w="68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5,206</w:t>
            </w:r>
          </w:p>
        </w:tc>
      </w:tr>
      <w:tr>
        <w:trPr>
          <w:trHeight w:val="223"/>
        </w:trPr>
        <w:tc>
          <w:tcPr>
            <w:tcW w:w="42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Amortization of debt discount on the Notes</w:t>
            </w:r>
          </w:p>
        </w:tc>
        <w:tc>
          <w:tcPr>
            <w:tcW w:w="124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1,795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w:t>
            </w:r>
          </w:p>
        </w:tc>
      </w:tr>
    </w:tbl>
    <w:p>
      <w:pPr>
        <w:spacing w:after="0" w:line="3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Expected payments for all of the Company's borrowings as of December 31, 2021 were as follows:</w:t>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228"/>
        </w:trPr>
        <w:tc>
          <w:tcPr>
            <w:tcW w:w="37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w w:val="95"/>
              </w:rPr>
              <w:t>Revolving Credit Facility</w:t>
            </w:r>
          </w:p>
        </w:tc>
        <w:tc>
          <w:tcPr>
            <w:tcW w:w="5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Interest payments</w:t>
            </w:r>
          </w:p>
        </w:tc>
      </w:tr>
      <w:tr>
        <w:trPr>
          <w:trHeight w:val="216"/>
        </w:trPr>
        <w:tc>
          <w:tcPr>
            <w:tcW w:w="3760" w:type="dxa"/>
            <w:vAlign w:val="bottom"/>
            <w:shd w:val="clear" w:color="auto" w:fill="CCEEFF"/>
          </w:tcPr>
          <w:p>
            <w:pPr>
              <w:jc w:val="right"/>
              <w:ind w:right="2913"/>
              <w:spacing w:after="0"/>
              <w:rPr>
                <w:sz w:val="20"/>
                <w:szCs w:val="20"/>
                <w:color w:val="auto"/>
              </w:rPr>
            </w:pPr>
            <w:r>
              <w:rPr>
                <w:rFonts w:ascii="Arial" w:cs="Arial" w:eastAsia="Arial" w:hAnsi="Arial"/>
                <w:sz w:val="17"/>
                <w:szCs w:val="17"/>
                <w:color w:val="auto"/>
              </w:rPr>
              <w:t>2022</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260,016</w:t>
            </w:r>
          </w:p>
        </w:tc>
        <w:tc>
          <w:tcPr>
            <w:tcW w:w="5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2,510</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w:t>
      </w:r>
    </w:p>
    <w:p>
      <w:pPr>
        <w:spacing w:after="0" w:line="17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In the ordinary course of business, the Company provides standby letters of credit to third parties primarily for facility leases. As of December 31, 2021 and 2020, the Company had outstanding letters of credit of $461, each, that were not recognized in the consolidated balance sheets.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Capital Structure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one class of common stock outstanding.</w:t>
      </w:r>
    </w:p>
    <w:p>
      <w:pPr>
        <w:spacing w:after="0" w:line="159" w:lineRule="exact"/>
        <w:rPr>
          <w:sz w:val="20"/>
          <w:szCs w:val="20"/>
          <w:color w:val="auto"/>
        </w:rPr>
      </w:pPr>
    </w:p>
    <w:p>
      <w:pPr>
        <w:ind w:right="140" w:firstLine="433"/>
        <w:spacing w:after="0" w:line="257" w:lineRule="auto"/>
        <w:rPr>
          <w:sz w:val="20"/>
          <w:szCs w:val="20"/>
          <w:color w:val="auto"/>
        </w:rPr>
      </w:pPr>
      <w:r>
        <w:rPr>
          <w:rFonts w:ascii="Arial" w:cs="Arial" w:eastAsia="Arial" w:hAnsi="Arial"/>
          <w:sz w:val="17"/>
          <w:szCs w:val="17"/>
          <w:color w:val="auto"/>
        </w:rPr>
        <w:t>The Company purchased shares of common stock from employees in connection with withholding tax payments related to the vesting of restricted stock units and performance-based restricted stock units, as below:</w:t>
      </w:r>
    </w:p>
    <w:p>
      <w:pPr>
        <w:spacing w:after="0" w:line="133"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Shares</w:t>
            </w:r>
          </w:p>
        </w:tc>
        <w:tc>
          <w:tcPr>
            <w:tcW w:w="74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w:t>
            </w:r>
          </w:p>
        </w:tc>
        <w:tc>
          <w:tcPr>
            <w:tcW w:w="560" w:type="dxa"/>
            <w:vAlign w:val="bottom"/>
          </w:tcPr>
          <w:p>
            <w:pPr>
              <w:spacing w:after="0"/>
              <w:rPr>
                <w:sz w:val="16"/>
                <w:szCs w:val="16"/>
                <w:color w:val="auto"/>
              </w:rPr>
            </w:pPr>
          </w:p>
        </w:tc>
        <w:tc>
          <w:tcPr>
            <w:tcW w:w="1540" w:type="dxa"/>
            <w:vAlign w:val="bottom"/>
          </w:tcPr>
          <w:p>
            <w:pPr>
              <w:jc w:val="right"/>
              <w:ind w:right="73"/>
              <w:spacing w:after="0"/>
              <w:rPr>
                <w:sz w:val="20"/>
                <w:szCs w:val="20"/>
                <w:color w:val="auto"/>
              </w:rPr>
            </w:pPr>
            <w:r>
              <w:rPr>
                <w:rFonts w:ascii="Arial" w:cs="Arial" w:eastAsia="Arial" w:hAnsi="Arial"/>
                <w:sz w:val="17"/>
                <w:szCs w:val="17"/>
                <w:b w:val="1"/>
                <w:bCs w:val="1"/>
                <w:color w:val="auto"/>
                <w:w w:val="93"/>
              </w:rPr>
              <w:t>Weighted average</w:t>
            </w:r>
          </w:p>
        </w:tc>
      </w:tr>
      <w:tr>
        <w:trPr>
          <w:trHeight w:val="223"/>
        </w:trPr>
        <w:tc>
          <w:tcPr>
            <w:tcW w:w="46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repurchased</w:t>
            </w:r>
          </w:p>
        </w:tc>
        <w:tc>
          <w:tcPr>
            <w:tcW w:w="1880" w:type="dxa"/>
            <w:vAlign w:val="bottom"/>
            <w:gridSpan w:val="3"/>
          </w:tcPr>
          <w:p>
            <w:pPr>
              <w:ind w:left="400"/>
              <w:spacing w:after="0"/>
              <w:rPr>
                <w:sz w:val="20"/>
                <w:szCs w:val="20"/>
                <w:color w:val="auto"/>
              </w:rPr>
            </w:pPr>
            <w:r>
              <w:rPr>
                <w:rFonts w:ascii="Arial" w:cs="Arial" w:eastAsia="Arial" w:hAnsi="Arial"/>
                <w:sz w:val="17"/>
                <w:szCs w:val="17"/>
                <w:b w:val="1"/>
                <w:bCs w:val="1"/>
                <w:color w:val="auto"/>
              </w:rPr>
              <w:t>consideration</w:t>
            </w:r>
          </w:p>
        </w:tc>
        <w:tc>
          <w:tcPr>
            <w:tcW w:w="2100" w:type="dxa"/>
            <w:vAlign w:val="bottom"/>
            <w:gridSpan w:val="2"/>
          </w:tcPr>
          <w:p>
            <w:pPr>
              <w:jc w:val="right"/>
              <w:spacing w:after="0" w:line="223" w:lineRule="exact"/>
              <w:rPr>
                <w:sz w:val="20"/>
                <w:szCs w:val="20"/>
                <w:color w:val="auto"/>
              </w:rPr>
            </w:pPr>
            <w:r>
              <w:rPr>
                <w:rFonts w:ascii="Arial" w:cs="Arial" w:eastAsia="Arial" w:hAnsi="Arial"/>
                <w:sz w:val="17"/>
                <w:szCs w:val="17"/>
                <w:b w:val="1"/>
                <w:bCs w:val="1"/>
                <w:color w:val="auto"/>
                <w:w w:val="90"/>
              </w:rPr>
              <w:t xml:space="preserve">purchase price per share </w:t>
            </w:r>
            <w:r>
              <w:rPr>
                <w:rFonts w:ascii="Arial" w:cs="Arial" w:eastAsia="Arial" w:hAnsi="Arial"/>
                <w:sz w:val="22"/>
                <w:szCs w:val="22"/>
                <w:b w:val="1"/>
                <w:bCs w:val="1"/>
                <w:color w:val="auto"/>
                <w:w w:val="90"/>
                <w:vertAlign w:val="superscript"/>
              </w:rPr>
              <w:t>(1)</w:t>
            </w:r>
          </w:p>
        </w:tc>
      </w:tr>
      <w:tr>
        <w:trPr>
          <w:trHeight w:val="216"/>
        </w:trPr>
        <w:tc>
          <w:tcPr>
            <w:tcW w:w="46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Twelve months ended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31,309</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2,752</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87.90</w:t>
            </w:r>
          </w:p>
        </w:tc>
      </w:tr>
      <w:tr>
        <w:trPr>
          <w:trHeight w:val="223"/>
        </w:trPr>
        <w:tc>
          <w:tcPr>
            <w:tcW w:w="4620" w:type="dxa"/>
            <w:vAlign w:val="bottom"/>
          </w:tcPr>
          <w:p>
            <w:pPr>
              <w:ind w:left="440"/>
              <w:spacing w:after="0"/>
              <w:rPr>
                <w:sz w:val="20"/>
                <w:szCs w:val="20"/>
                <w:color w:val="auto"/>
              </w:rPr>
            </w:pPr>
            <w:r>
              <w:rPr>
                <w:rFonts w:ascii="Arial" w:cs="Arial" w:eastAsia="Arial" w:hAnsi="Arial"/>
                <w:sz w:val="17"/>
                <w:szCs w:val="17"/>
                <w:color w:val="auto"/>
              </w:rPr>
              <w:t>Twelve months ended December 31, 2020</w:t>
            </w:r>
          </w:p>
        </w:tc>
        <w:tc>
          <w:tcPr>
            <w:tcW w:w="1320" w:type="dxa"/>
            <w:vAlign w:val="bottom"/>
          </w:tcPr>
          <w:p>
            <w:pPr>
              <w:jc w:val="right"/>
              <w:spacing w:after="0"/>
              <w:rPr>
                <w:sz w:val="20"/>
                <w:szCs w:val="20"/>
                <w:color w:val="auto"/>
              </w:rPr>
            </w:pPr>
            <w:r>
              <w:rPr>
                <w:rFonts w:ascii="Arial" w:cs="Arial" w:eastAsia="Arial" w:hAnsi="Arial"/>
                <w:sz w:val="17"/>
                <w:szCs w:val="17"/>
                <w:color w:val="auto"/>
              </w:rPr>
              <w:t>28,052</w:t>
            </w:r>
          </w:p>
        </w:tc>
        <w:tc>
          <w:tcPr>
            <w:tcW w:w="80" w:type="dxa"/>
            <w:vAlign w:val="bottom"/>
          </w:tcPr>
          <w:p>
            <w:pPr>
              <w:spacing w:after="0"/>
              <w:rPr>
                <w:sz w:val="19"/>
                <w:szCs w:val="19"/>
                <w:color w:val="auto"/>
              </w:rPr>
            </w:pPr>
          </w:p>
        </w:tc>
        <w:tc>
          <w:tcPr>
            <w:tcW w:w="74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2,131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75.96</w:t>
            </w:r>
          </w:p>
        </w:tc>
      </w:tr>
      <w:tr>
        <w:trPr>
          <w:trHeight w:val="223"/>
        </w:trPr>
        <w:tc>
          <w:tcPr>
            <w:tcW w:w="46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Twelve months ended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62.47</w:t>
            </w:r>
          </w:p>
        </w:tc>
      </w:tr>
    </w:tbl>
    <w:p>
      <w:pPr>
        <w:spacing w:after="0" w:line="276"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On December 16, 2019, the Company’s Board of Directors authorized a $200,000 common stock repurchase program beginning January 1, 2020 through December 31, 2022 (the “2019 Repurchase Program”).</w:t>
      </w:r>
    </w:p>
    <w:p>
      <w:pPr>
        <w:spacing w:after="0" w:line="159"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On October 5, 2021, the Company’s Board of Directors authorized a $300,000 common stock repurchase program beginning January 1, 2022 (the “2022 Repurchase Program”), and terminated the 2019 Repurchase Program on December 31, 2021.</w:t>
      </w:r>
    </w:p>
    <w:p>
      <w:pPr>
        <w:spacing w:after="0" w:line="159" w:lineRule="exact"/>
        <w:rPr>
          <w:sz w:val="20"/>
          <w:szCs w:val="20"/>
          <w:color w:val="auto"/>
        </w:rPr>
      </w:pPr>
    </w:p>
    <w:p>
      <w:pPr>
        <w:jc w:val="both"/>
        <w:ind w:firstLine="433"/>
        <w:spacing w:after="0" w:line="257" w:lineRule="auto"/>
        <w:rPr>
          <w:sz w:val="20"/>
          <w:szCs w:val="20"/>
          <w:color w:val="auto"/>
        </w:rPr>
      </w:pPr>
      <w:r>
        <w:rPr>
          <w:rFonts w:ascii="Arial" w:cs="Arial" w:eastAsia="Arial" w:hAnsi="Arial"/>
          <w:sz w:val="17"/>
          <w:szCs w:val="17"/>
          <w:color w:val="auto"/>
        </w:rPr>
        <w:t>Under the 2022 Repurchase Program and 2019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purchased shares of its common stock, including commissions, under repurchase programs, as below:</w:t>
      </w:r>
    </w:p>
    <w:p>
      <w:pPr>
        <w:spacing w:after="0" w:line="185"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Shares</w:t>
            </w:r>
          </w:p>
        </w:tc>
        <w:tc>
          <w:tcPr>
            <w:tcW w:w="7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7"/>
                <w:szCs w:val="17"/>
                <w:b w:val="1"/>
                <w:bCs w:val="1"/>
                <w:color w:val="auto"/>
              </w:rPr>
              <w:t>Total</w:t>
            </w:r>
          </w:p>
        </w:tc>
        <w:tc>
          <w:tcPr>
            <w:tcW w:w="580" w:type="dxa"/>
            <w:vAlign w:val="bottom"/>
          </w:tcPr>
          <w:p>
            <w:pPr>
              <w:spacing w:after="0"/>
              <w:rPr>
                <w:sz w:val="16"/>
                <w:szCs w:val="16"/>
                <w:color w:val="auto"/>
              </w:rPr>
            </w:pPr>
          </w:p>
        </w:tc>
        <w:tc>
          <w:tcPr>
            <w:tcW w:w="1540" w:type="dxa"/>
            <w:vAlign w:val="bottom"/>
          </w:tcPr>
          <w:p>
            <w:pPr>
              <w:jc w:val="right"/>
              <w:ind w:right="93"/>
              <w:spacing w:after="0"/>
              <w:rPr>
                <w:sz w:val="20"/>
                <w:szCs w:val="20"/>
                <w:color w:val="auto"/>
              </w:rPr>
            </w:pPr>
            <w:r>
              <w:rPr>
                <w:rFonts w:ascii="Arial" w:cs="Arial" w:eastAsia="Arial" w:hAnsi="Arial"/>
                <w:sz w:val="17"/>
                <w:szCs w:val="17"/>
                <w:b w:val="1"/>
                <w:bCs w:val="1"/>
                <w:color w:val="auto"/>
                <w:w w:val="92"/>
              </w:rPr>
              <w:t>Weighted average</w:t>
            </w:r>
          </w:p>
        </w:tc>
      </w:tr>
      <w:tr>
        <w:trPr>
          <w:trHeight w:val="223"/>
        </w:trPr>
        <w:tc>
          <w:tcPr>
            <w:tcW w:w="45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repurchased</w:t>
            </w:r>
          </w:p>
        </w:tc>
        <w:tc>
          <w:tcPr>
            <w:tcW w:w="1880" w:type="dxa"/>
            <w:vAlign w:val="bottom"/>
            <w:gridSpan w:val="3"/>
          </w:tcPr>
          <w:p>
            <w:pPr>
              <w:ind w:left="380"/>
              <w:spacing w:after="0"/>
              <w:rPr>
                <w:sz w:val="20"/>
                <w:szCs w:val="20"/>
                <w:color w:val="auto"/>
              </w:rPr>
            </w:pPr>
            <w:r>
              <w:rPr>
                <w:rFonts w:ascii="Arial" w:cs="Arial" w:eastAsia="Arial" w:hAnsi="Arial"/>
                <w:sz w:val="17"/>
                <w:szCs w:val="17"/>
                <w:b w:val="1"/>
                <w:bCs w:val="1"/>
                <w:color w:val="auto"/>
              </w:rPr>
              <w:t>consideration</w:t>
            </w:r>
          </w:p>
        </w:tc>
        <w:tc>
          <w:tcPr>
            <w:tcW w:w="2120" w:type="dxa"/>
            <w:vAlign w:val="bottom"/>
            <w:gridSpan w:val="2"/>
          </w:tcPr>
          <w:p>
            <w:pPr>
              <w:jc w:val="right"/>
              <w:spacing w:after="0" w:line="223" w:lineRule="exact"/>
              <w:rPr>
                <w:sz w:val="20"/>
                <w:szCs w:val="20"/>
                <w:color w:val="auto"/>
              </w:rPr>
            </w:pPr>
            <w:r>
              <w:rPr>
                <w:rFonts w:ascii="Arial" w:cs="Arial" w:eastAsia="Arial" w:hAnsi="Arial"/>
                <w:sz w:val="17"/>
                <w:szCs w:val="17"/>
                <w:b w:val="1"/>
                <w:bCs w:val="1"/>
                <w:color w:val="auto"/>
                <w:w w:val="91"/>
              </w:rPr>
              <w:t xml:space="preserve">purchase price per share </w:t>
            </w:r>
            <w:r>
              <w:rPr>
                <w:rFonts w:ascii="Arial" w:cs="Arial" w:eastAsia="Arial" w:hAnsi="Arial"/>
                <w:sz w:val="22"/>
                <w:szCs w:val="22"/>
                <w:b w:val="1"/>
                <w:bCs w:val="1"/>
                <w:color w:val="auto"/>
                <w:w w:val="91"/>
                <w:vertAlign w:val="superscript"/>
              </w:rPr>
              <w:t>(1)</w:t>
            </w:r>
          </w:p>
        </w:tc>
      </w:tr>
      <w:tr>
        <w:trPr>
          <w:trHeight w:val="216"/>
        </w:trPr>
        <w:tc>
          <w:tcPr>
            <w:tcW w:w="45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Twelve months ended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1,087,325</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115,605</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106.32</w:t>
            </w:r>
          </w:p>
        </w:tc>
      </w:tr>
      <w:tr>
        <w:trPr>
          <w:trHeight w:val="223"/>
        </w:trPr>
        <w:tc>
          <w:tcPr>
            <w:tcW w:w="4540" w:type="dxa"/>
            <w:vAlign w:val="bottom"/>
          </w:tcPr>
          <w:p>
            <w:pPr>
              <w:ind w:left="440"/>
              <w:spacing w:after="0"/>
              <w:rPr>
                <w:sz w:val="20"/>
                <w:szCs w:val="20"/>
                <w:color w:val="auto"/>
              </w:rPr>
            </w:pPr>
            <w:r>
              <w:rPr>
                <w:rFonts w:ascii="Arial" w:cs="Arial" w:eastAsia="Arial" w:hAnsi="Arial"/>
                <w:sz w:val="17"/>
                <w:szCs w:val="17"/>
                <w:color w:val="auto"/>
              </w:rPr>
              <w:t>Twelve months ended December 31, 2020</w:t>
            </w:r>
          </w:p>
        </w:tc>
        <w:tc>
          <w:tcPr>
            <w:tcW w:w="1360" w:type="dxa"/>
            <w:vAlign w:val="bottom"/>
          </w:tcPr>
          <w:p>
            <w:pPr>
              <w:jc w:val="right"/>
              <w:spacing w:after="0"/>
              <w:rPr>
                <w:sz w:val="20"/>
                <w:szCs w:val="20"/>
                <w:color w:val="auto"/>
              </w:rPr>
            </w:pPr>
            <w:r>
              <w:rPr>
                <w:rFonts w:ascii="Arial" w:cs="Arial" w:eastAsia="Arial" w:hAnsi="Arial"/>
                <w:sz w:val="17"/>
                <w:szCs w:val="17"/>
                <w:color w:val="auto"/>
              </w:rPr>
              <w:t>1,085,153</w:t>
            </w:r>
          </w:p>
        </w:tc>
        <w:tc>
          <w:tcPr>
            <w:tcW w:w="100" w:type="dxa"/>
            <w:vAlign w:val="bottom"/>
          </w:tcPr>
          <w:p>
            <w:pPr>
              <w:spacing w:after="0"/>
              <w:rPr>
                <w:sz w:val="19"/>
                <w:szCs w:val="19"/>
                <w:color w:val="auto"/>
              </w:rPr>
            </w:pPr>
          </w:p>
        </w:tc>
        <w:tc>
          <w:tcPr>
            <w:tcW w:w="7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77,818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71.71</w:t>
            </w:r>
          </w:p>
        </w:tc>
      </w:tr>
      <w:tr>
        <w:trPr>
          <w:trHeight w:val="223"/>
        </w:trPr>
        <w:tc>
          <w:tcPr>
            <w:tcW w:w="45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Twelve months ended December 31, 2019</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643,486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61.96</w:t>
            </w: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438"/>
        <w:spacing w:after="0" w:line="317" w:lineRule="auto"/>
        <w:tabs>
          <w:tab w:leader="none" w:pos="593"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The weighted average purchase price per share was the closing price of the Company's share of common stock on the Nasdaq Global Select Market on the trading day prior to the vesting date of the shares of restricted stock.</w:t>
      </w:r>
    </w:p>
    <w:p>
      <w:pPr>
        <w:spacing w:after="0" w:line="7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Repurchased shares have been recorded as treasury shares and will be held until the Company’s Board of Directors designates that these shares be retired or used for other purposes.</w:t>
      </w:r>
    </w:p>
    <w:p>
      <w:pPr>
        <w:spacing w:after="0" w:line="93" w:lineRule="exact"/>
        <w:rPr>
          <w:sz w:val="20"/>
          <w:szCs w:val="20"/>
          <w:color w:val="auto"/>
        </w:rPr>
      </w:pPr>
    </w:p>
    <w:p>
      <w:pPr>
        <w:jc w:val="both"/>
        <w:ind w:firstLine="433"/>
        <w:spacing w:after="0" w:line="241" w:lineRule="auto"/>
        <w:rPr>
          <w:sz w:val="20"/>
          <w:szCs w:val="20"/>
          <w:color w:val="auto"/>
        </w:rPr>
      </w:pPr>
      <w:r>
        <w:rPr>
          <w:rFonts w:ascii="Arial" w:cs="Arial" w:eastAsia="Arial" w:hAnsi="Arial"/>
          <w:sz w:val="17"/>
          <w:szCs w:val="17"/>
          <w:color w:val="auto"/>
        </w:rPr>
        <w:t>In connection with the settlement of the Notes, the Company issued to the Purchaser 310,394 shares of the Company's common stock. This common stock was issued from the Company’s existing treasury shares. The excess of issuance price of the Company’s treasury stock over its weighted average cost was recognized in additional paid-in-capital.</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72"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The Company has not paid or declared any cash dividends on its common stock during the years ended December 31, 2021, 2020 and 2019. The Company’s line of credit with a bank could restrict, the Company’s ability to declare or make any dividends or similar distributions.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Employee Benefit Plans</w:t>
      </w:r>
    </w:p>
    <w:p>
      <w:pPr>
        <w:spacing w:after="0" w:line="178"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132"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The benefit obligation has been measured as of December 31, 2021. The following table sets forth the activity and the funded status of the Gratuity Plans and the amounts recognized in the Company’s consolidated financial statements at the end of the relevant periods: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80" w:type="dxa"/>
            <w:vAlign w:val="bottom"/>
            <w:gridSpan w:val="2"/>
          </w:tcPr>
          <w:p>
            <w:pPr>
              <w:spacing w:after="0"/>
              <w:rPr>
                <w:sz w:val="20"/>
                <w:szCs w:val="20"/>
                <w:color w:val="auto"/>
              </w:rPr>
            </w:pPr>
            <w:r>
              <w:rPr>
                <w:rFonts w:ascii="Arial" w:cs="Arial" w:eastAsia="Arial" w:hAnsi="Arial"/>
                <w:sz w:val="17"/>
                <w:szCs w:val="17"/>
                <w:color w:val="auto"/>
              </w:rPr>
              <w:t>Change in projected benefit obligation, was as follows: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440" w:type="dxa"/>
            <w:vAlign w:val="bottom"/>
          </w:tcPr>
          <w:p>
            <w:pPr>
              <w:spacing w:after="0"/>
              <w:rPr>
                <w:sz w:val="24"/>
                <w:szCs w:val="24"/>
                <w:color w:val="auto"/>
              </w:rPr>
            </w:pPr>
          </w:p>
        </w:tc>
        <w:tc>
          <w:tcPr>
            <w:tcW w:w="53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Projected benefit obligation as of January 1</w:t>
            </w:r>
          </w:p>
        </w:tc>
        <w:tc>
          <w:tcPr>
            <w:tcW w:w="8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20,466</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340" w:type="dxa"/>
            <w:vAlign w:val="bottom"/>
          </w:tcPr>
          <w:p>
            <w:pPr>
              <w:ind w:left="440"/>
              <w:spacing w:after="0"/>
              <w:rPr>
                <w:sz w:val="20"/>
                <w:szCs w:val="20"/>
                <w:color w:val="auto"/>
              </w:rPr>
            </w:pPr>
            <w:r>
              <w:rPr>
                <w:rFonts w:ascii="Arial" w:cs="Arial" w:eastAsia="Arial" w:hAnsi="Arial"/>
                <w:sz w:val="17"/>
                <w:szCs w:val="17"/>
                <w:color w:val="auto"/>
              </w:rPr>
              <w:t>Service cost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7"/>
                <w:szCs w:val="17"/>
                <w:color w:val="auto"/>
              </w:rPr>
              <w:t>3,512</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2,706</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Interest cost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929</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340" w:type="dxa"/>
            <w:vAlign w:val="bottom"/>
          </w:tcPr>
          <w:p>
            <w:pPr>
              <w:ind w:left="440"/>
              <w:spacing w:after="0"/>
              <w:rPr>
                <w:sz w:val="20"/>
                <w:szCs w:val="20"/>
                <w:color w:val="auto"/>
              </w:rPr>
            </w:pPr>
            <w:r>
              <w:rPr>
                <w:rFonts w:ascii="Arial" w:cs="Arial" w:eastAsia="Arial" w:hAnsi="Arial"/>
                <w:sz w:val="17"/>
                <w:szCs w:val="17"/>
                <w:color w:val="auto"/>
              </w:rPr>
              <w:t>Benefits paid</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7"/>
                <w:szCs w:val="17"/>
                <w:color w:val="auto"/>
              </w:rPr>
              <w:t>(1,844)</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Acquisition adjustments</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209</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340" w:type="dxa"/>
            <w:vAlign w:val="bottom"/>
          </w:tcPr>
          <w:p>
            <w:pPr>
              <w:ind w:left="440"/>
              <w:spacing w:after="0"/>
              <w:rPr>
                <w:sz w:val="20"/>
                <w:szCs w:val="20"/>
                <w:color w:val="auto"/>
              </w:rPr>
            </w:pPr>
            <w:r>
              <w:rPr>
                <w:rFonts w:ascii="Arial" w:cs="Arial" w:eastAsia="Arial" w:hAnsi="Arial"/>
                <w:sz w:val="17"/>
                <w:szCs w:val="17"/>
                <w:color w:val="auto"/>
              </w:rPr>
              <w:t>Actuarial loss*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7"/>
                <w:szCs w:val="17"/>
                <w:color w:val="auto"/>
              </w:rPr>
              <w:t>539</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2,425</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Effect of exchange rate changes</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(540)</w:t>
            </w:r>
          </w:p>
        </w:tc>
        <w:tc>
          <w:tcPr>
            <w:tcW w:w="4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7"/>
                <w:szCs w:val="17"/>
                <w:color w:val="auto"/>
              </w:rPr>
              <w:t>Projected benefit obligation as of December 31</w:t>
            </w:r>
          </w:p>
        </w:tc>
        <w:tc>
          <w:tcPr>
            <w:tcW w:w="82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3"/>
              <w:spacing w:after="0"/>
              <w:rPr>
                <w:sz w:val="20"/>
                <w:szCs w:val="20"/>
                <w:color w:val="auto"/>
              </w:rPr>
            </w:pPr>
            <w:r>
              <w:rPr>
                <w:rFonts w:ascii="Arial" w:cs="Arial" w:eastAsia="Arial" w:hAnsi="Arial"/>
                <w:sz w:val="17"/>
                <w:szCs w:val="17"/>
                <w:color w:val="auto"/>
              </w:rPr>
              <w:t>23,271</w:t>
            </w:r>
          </w:p>
        </w:tc>
        <w:tc>
          <w:tcPr>
            <w:tcW w:w="44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20,466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0" w:type="dxa"/>
            <w:vAlign w:val="bottom"/>
          </w:tcPr>
          <w:p>
            <w:pPr>
              <w:spacing w:after="0"/>
              <w:rPr>
                <w:sz w:val="18"/>
                <w:szCs w:val="18"/>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Unfunded amount-non-current</w:t>
            </w:r>
          </w:p>
        </w:tc>
        <w:tc>
          <w:tcPr>
            <w:tcW w:w="8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9,604</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8,940</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3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Unfunded amount-current</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62</w:t>
            </w:r>
          </w:p>
        </w:tc>
        <w:tc>
          <w:tcPr>
            <w:tcW w:w="4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accrued liability</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9,666</w:t>
            </w: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340" w:type="dxa"/>
            <w:vAlign w:val="bottom"/>
            <w:vMerge w:val="restart"/>
          </w:tcPr>
          <w:p>
            <w:pPr>
              <w:ind w:left="440"/>
              <w:spacing w:after="0"/>
              <w:rPr>
                <w:sz w:val="20"/>
                <w:szCs w:val="20"/>
                <w:color w:val="auto"/>
              </w:rPr>
            </w:pPr>
            <w:r>
              <w:rPr>
                <w:rFonts w:ascii="Arial" w:cs="Arial" w:eastAsia="Arial" w:hAnsi="Arial"/>
                <w:sz w:val="17"/>
                <w:szCs w:val="17"/>
                <w:color w:val="auto"/>
              </w:rPr>
              <w:t>Accumulated benefit obligation</w:t>
            </w: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0" w:type="dxa"/>
            <w:vAlign w:val="bottom"/>
          </w:tcPr>
          <w:p>
            <w:pPr>
              <w:spacing w:after="0"/>
              <w:rPr>
                <w:sz w:val="21"/>
                <w:szCs w:val="21"/>
                <w:color w:val="auto"/>
              </w:rPr>
            </w:pPr>
          </w:p>
        </w:tc>
        <w:tc>
          <w:tcPr>
            <w:tcW w:w="534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tcPr>
          <w:p>
            <w:pPr>
              <w:jc w:val="right"/>
              <w:ind w:right="33"/>
              <w:spacing w:after="0"/>
              <w:rPr>
                <w:sz w:val="20"/>
                <w:szCs w:val="20"/>
                <w:color w:val="auto"/>
              </w:rPr>
            </w:pPr>
            <w:r>
              <w:rPr>
                <w:rFonts w:ascii="Arial" w:cs="Arial" w:eastAsia="Arial" w:hAnsi="Arial"/>
                <w:sz w:val="17"/>
                <w:szCs w:val="17"/>
                <w:color w:val="auto"/>
              </w:rPr>
              <w:t>14,794</w:t>
            </w:r>
          </w:p>
        </w:tc>
        <w:tc>
          <w:tcPr>
            <w:tcW w:w="4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12,490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Accumulated benefit obligation in excess of plan assets</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1,189</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393"/>
        <w:spacing w:after="0" w:line="241" w:lineRule="auto"/>
        <w:rPr>
          <w:sz w:val="20"/>
          <w:szCs w:val="20"/>
          <w:color w:val="auto"/>
        </w:rPr>
      </w:pPr>
      <w:r>
        <w:rPr>
          <w:rFonts w:ascii="Arial" w:cs="Arial" w:eastAsia="Arial" w:hAnsi="Arial"/>
          <w:sz w:val="17"/>
          <w:szCs w:val="17"/>
          <w:color w:val="auto"/>
        </w:rPr>
        <w:t>*During the year ended December 31, 2021, actuarial loss was driven by experience adjustments on present value of benefit obligations offset by changes in actuarial assumptions. During the year ended December 31, 2020, actuarial loss was driven by changes in actuarial assumptions, offset by experience adjustments on present value of benefit obligations.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5080" w:type="dxa"/>
            <w:vAlign w:val="bottom"/>
            <w:gridSpan w:val="2"/>
          </w:tcPr>
          <w:p>
            <w:pPr>
              <w:spacing w:after="0"/>
              <w:rPr>
                <w:sz w:val="20"/>
                <w:szCs w:val="20"/>
                <w:color w:val="auto"/>
              </w:rPr>
            </w:pPr>
            <w:r>
              <w:rPr>
                <w:rFonts w:ascii="Arial" w:cs="Arial" w:eastAsia="Arial" w:hAnsi="Arial"/>
                <w:sz w:val="17"/>
                <w:szCs w:val="17"/>
                <w:color w:val="auto"/>
              </w:rPr>
              <w:t>Components of net periodic benefit costs, were as follows:</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94"/>
        </w:trPr>
        <w:tc>
          <w:tcPr>
            <w:tcW w:w="6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b w:val="1"/>
                <w:bCs w:val="1"/>
                <w:color w:val="auto"/>
                <w:w w:val="94"/>
              </w:rPr>
              <w:t>Year ended December 31,</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2019</w:t>
            </w:r>
          </w:p>
        </w:tc>
      </w:tr>
      <w:tr>
        <w:trPr>
          <w:trHeight w:val="216"/>
        </w:trPr>
        <w:tc>
          <w:tcPr>
            <w:tcW w:w="60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Service cost</w:t>
            </w: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1,953</w:t>
            </w:r>
          </w:p>
        </w:tc>
      </w:tr>
      <w:tr>
        <w:trPr>
          <w:trHeight w:val="223"/>
        </w:trPr>
        <w:tc>
          <w:tcPr>
            <w:tcW w:w="60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7"/>
                <w:szCs w:val="17"/>
                <w:color w:val="auto"/>
              </w:rPr>
              <w:t>Interest cost</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929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875</w:t>
            </w:r>
          </w:p>
        </w:tc>
      </w:tr>
      <w:tr>
        <w:trPr>
          <w:trHeight w:val="223"/>
        </w:trPr>
        <w:tc>
          <w:tcPr>
            <w:tcW w:w="600" w:type="dxa"/>
            <w:vAlign w:val="bottom"/>
          </w:tcPr>
          <w:p>
            <w:pPr>
              <w:spacing w:after="0"/>
              <w:rPr>
                <w:sz w:val="19"/>
                <w:szCs w:val="19"/>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Expected return on plan assets</w:t>
            </w: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r>
      <w:tr>
        <w:trPr>
          <w:trHeight w:val="223"/>
        </w:trPr>
        <w:tc>
          <w:tcPr>
            <w:tcW w:w="600" w:type="dxa"/>
            <w:vAlign w:val="bottom"/>
          </w:tcPr>
          <w:p>
            <w:pPr>
              <w:spacing w:after="0"/>
              <w:rPr>
                <w:sz w:val="19"/>
                <w:szCs w:val="19"/>
                <w:color w:val="auto"/>
              </w:rPr>
            </w:pPr>
          </w:p>
        </w:tc>
        <w:tc>
          <w:tcPr>
            <w:tcW w:w="44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Amortization of actuarial (gain)/loss, gross of tax</w:t>
            </w: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r>
      <w:tr>
        <w:trPr>
          <w:trHeight w:val="241"/>
        </w:trPr>
        <w:tc>
          <w:tcPr>
            <w:tcW w:w="60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Net gratuity cost</w:t>
            </w:r>
          </w:p>
        </w:tc>
        <w:tc>
          <w:tcPr>
            <w:tcW w:w="6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4,354</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2,101</w:t>
            </w:r>
          </w:p>
        </w:tc>
      </w:tr>
      <w:tr>
        <w:trPr>
          <w:trHeight w:val="20"/>
        </w:trPr>
        <w:tc>
          <w:tcPr>
            <w:tcW w:w="60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6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3"/>
        </w:trPr>
        <w:tc>
          <w:tcPr>
            <w:tcW w:w="600" w:type="dxa"/>
            <w:vAlign w:val="bottom"/>
          </w:tcPr>
          <w:p>
            <w:pPr>
              <w:spacing w:after="0"/>
              <w:rPr>
                <w:sz w:val="19"/>
                <w:szCs w:val="19"/>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3"/>
              </w:rPr>
              <w:t>Income tax effects on amortization of actuarial (gain)/loss</w:t>
            </w:r>
          </w:p>
        </w:tc>
        <w:tc>
          <w:tcPr>
            <w:tcW w:w="6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6"/>
        </w:trPr>
        <w:tc>
          <w:tcPr>
            <w:tcW w:w="60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7"/>
                <w:szCs w:val="17"/>
                <w:color w:val="auto"/>
              </w:rPr>
              <w:t>Amortization of actuarial (gain)/loss, net of tax</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r>
    </w:tbl>
    <w:p>
      <w:pPr>
        <w:spacing w:after="0" w:line="14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components of actuarial gain/(loss) on retirement benefits included in accumulated other comprehensive income/(loss), excluding tax effects, were as follows:</w:t>
      </w:r>
    </w:p>
    <w:p>
      <w:pPr>
        <w:spacing w:after="0" w:line="139"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5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7"/>
                <w:szCs w:val="17"/>
                <w:b w:val="1"/>
                <w:bCs w:val="1"/>
                <w:color w:val="auto"/>
                <w:w w:val="91"/>
              </w:rPr>
              <w:t>As of December 31,</w:t>
            </w: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5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w w:val="95"/>
              </w:rPr>
              <w:t>2020</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5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Net actuarial loss</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454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Net prior service cost</w:t>
            </w: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4540" w:type="dxa"/>
            <w:vAlign w:val="bottom"/>
            <w:shd w:val="clear" w:color="auto" w:fill="CCEEFF"/>
          </w:tcPr>
          <w:p>
            <w:pPr>
              <w:ind w:left="400"/>
              <w:spacing w:after="0" w:line="151" w:lineRule="exact"/>
              <w:rPr>
                <w:sz w:val="20"/>
                <w:szCs w:val="20"/>
                <w:color w:val="auto"/>
              </w:rPr>
            </w:pPr>
            <w:r>
              <w:rPr>
                <w:rFonts w:ascii="Arial" w:cs="Arial" w:eastAsia="Arial" w:hAnsi="Arial"/>
                <w:sz w:val="17"/>
                <w:szCs w:val="17"/>
                <w:color w:val="auto"/>
              </w:rPr>
              <w:t>Accumulated other comprehensive income/(loss),</w:t>
            </w:r>
          </w:p>
        </w:tc>
        <w:tc>
          <w:tcPr>
            <w:tcW w:w="66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(3,636)</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(3,787)</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(1,780)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excluding tax effects</w:t>
            </w: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640" w:type="dxa"/>
            <w:vAlign w:val="bottom"/>
            <w:gridSpan w:val="6"/>
          </w:tcPr>
          <w:p>
            <w:pPr>
              <w:jc w:val="right"/>
              <w:spacing w:after="0"/>
              <w:rPr>
                <w:sz w:val="20"/>
                <w:szCs w:val="20"/>
                <w:color w:val="auto"/>
              </w:rPr>
            </w:pPr>
            <w:r>
              <w:rPr>
                <w:rFonts w:ascii="Arial" w:cs="Arial" w:eastAsia="Arial" w:hAnsi="Arial"/>
                <w:sz w:val="17"/>
                <w:szCs w:val="17"/>
                <w:color w:val="auto"/>
                <w:w w:val="92"/>
              </w:rPr>
              <w:t>The weighted average actuarial assumptions used to determine benefit obligations and net gratuity cost were: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228"/>
        </w:trPr>
        <w:tc>
          <w:tcPr>
            <w:tcW w:w="420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ind w:left="560"/>
              <w:spacing w:after="0"/>
              <w:rPr>
                <w:sz w:val="20"/>
                <w:szCs w:val="20"/>
                <w:color w:val="auto"/>
              </w:rPr>
            </w:pPr>
            <w:r>
              <w:rPr>
                <w:rFonts w:ascii="Arial" w:cs="Arial" w:eastAsia="Arial" w:hAnsi="Arial"/>
                <w:sz w:val="17"/>
                <w:szCs w:val="17"/>
                <w:b w:val="1"/>
                <w:bCs w:val="1"/>
                <w:color w:val="auto"/>
              </w:rPr>
              <w:t>December 31,</w:t>
            </w:r>
          </w:p>
        </w:tc>
        <w:tc>
          <w:tcPr>
            <w:tcW w:w="1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Discount rate</w:t>
            </w:r>
          </w:p>
        </w:tc>
        <w:tc>
          <w:tcPr>
            <w:tcW w:w="1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5.6</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4.6</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6.5</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460"/>
              <w:spacing w:after="0"/>
              <w:rPr>
                <w:sz w:val="20"/>
                <w:szCs w:val="20"/>
                <w:color w:val="auto"/>
              </w:rPr>
            </w:pPr>
            <w:r>
              <w:rPr>
                <w:rFonts w:ascii="Arial" w:cs="Arial" w:eastAsia="Arial" w:hAnsi="Arial"/>
                <w:sz w:val="17"/>
                <w:szCs w:val="17"/>
                <w:color w:val="auto"/>
              </w:rPr>
              <w:t>Rate of increase in compensation levels</w:t>
            </w:r>
          </w:p>
        </w:tc>
        <w:tc>
          <w:tcPr>
            <w:tcW w:w="1420" w:type="dxa"/>
            <w:vAlign w:val="bottom"/>
          </w:tcPr>
          <w:p>
            <w:pPr>
              <w:jc w:val="right"/>
              <w:ind w:right="233"/>
              <w:spacing w:after="0"/>
              <w:rPr>
                <w:sz w:val="20"/>
                <w:szCs w:val="20"/>
                <w:color w:val="auto"/>
              </w:rPr>
            </w:pPr>
            <w:r>
              <w:rPr>
                <w:rFonts w:ascii="Arial" w:cs="Arial" w:eastAsia="Arial" w:hAnsi="Arial"/>
                <w:sz w:val="17"/>
                <w:szCs w:val="17"/>
                <w:color w:val="auto"/>
              </w:rPr>
              <w:t>7.6</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0" w:type="dxa"/>
            <w:vAlign w:val="bottom"/>
          </w:tcPr>
          <w:p>
            <w:pPr>
              <w:jc w:val="right"/>
              <w:ind w:right="233"/>
              <w:spacing w:after="0"/>
              <w:rPr>
                <w:sz w:val="20"/>
                <w:szCs w:val="20"/>
                <w:color w:val="auto"/>
              </w:rPr>
            </w:pPr>
            <w:r>
              <w:rPr>
                <w:rFonts w:ascii="Arial" w:cs="Arial" w:eastAsia="Arial" w:hAnsi="Arial"/>
                <w:sz w:val="17"/>
                <w:szCs w:val="17"/>
                <w:color w:val="auto"/>
              </w:rPr>
              <w:t>7.1</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20" w:type="dxa"/>
            <w:vAlign w:val="bottom"/>
          </w:tcPr>
          <w:p>
            <w:pPr>
              <w:jc w:val="right"/>
              <w:ind w:right="233"/>
              <w:spacing w:after="0"/>
              <w:rPr>
                <w:sz w:val="20"/>
                <w:szCs w:val="20"/>
                <w:color w:val="auto"/>
              </w:rPr>
            </w:pPr>
            <w:r>
              <w:rPr>
                <w:rFonts w:ascii="Arial" w:cs="Arial" w:eastAsia="Arial" w:hAnsi="Arial"/>
                <w:sz w:val="17"/>
                <w:szCs w:val="17"/>
                <w:color w:val="auto"/>
              </w:rPr>
              <w:t>6.0</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ind w:left="460"/>
              <w:spacing w:after="0" w:line="172" w:lineRule="exact"/>
              <w:rPr>
                <w:sz w:val="20"/>
                <w:szCs w:val="20"/>
                <w:color w:val="auto"/>
              </w:rPr>
            </w:pPr>
            <w:r>
              <w:rPr>
                <w:rFonts w:ascii="Arial" w:cs="Arial" w:eastAsia="Arial" w:hAnsi="Arial"/>
                <w:sz w:val="17"/>
                <w:szCs w:val="17"/>
                <w:color w:val="auto"/>
                <w:w w:val="94"/>
              </w:rPr>
              <w:t>Expected long-term rate of return on plan assets per</w:t>
            </w:r>
          </w:p>
        </w:tc>
        <w:tc>
          <w:tcPr>
            <w:tcW w:w="1420" w:type="dxa"/>
            <w:vAlign w:val="bottom"/>
            <w:vMerge w:val="restart"/>
            <w:shd w:val="clear" w:color="auto" w:fill="CCEEFF"/>
          </w:tcPr>
          <w:p>
            <w:pPr>
              <w:jc w:val="right"/>
              <w:ind w:right="233"/>
              <w:spacing w:after="0"/>
              <w:rPr>
                <w:sz w:val="20"/>
                <w:szCs w:val="20"/>
                <w:color w:val="auto"/>
              </w:rPr>
            </w:pPr>
            <w:r>
              <w:rPr>
                <w:rFonts w:ascii="Arial" w:cs="Arial" w:eastAsia="Arial" w:hAnsi="Arial"/>
                <w:sz w:val="17"/>
                <w:szCs w:val="17"/>
                <w:color w:val="auto"/>
              </w:rPr>
              <w:t>6.8</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ind w:right="233"/>
              <w:spacing w:after="0"/>
              <w:rPr>
                <w:sz w:val="20"/>
                <w:szCs w:val="20"/>
                <w:color w:val="auto"/>
              </w:rPr>
            </w:pPr>
            <w:r>
              <w:rPr>
                <w:rFonts w:ascii="Arial" w:cs="Arial" w:eastAsia="Arial" w:hAnsi="Arial"/>
                <w:sz w:val="17"/>
                <w:szCs w:val="17"/>
                <w:color w:val="auto"/>
              </w:rPr>
              <w:t>7.0</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233"/>
              <w:spacing w:after="0"/>
              <w:rPr>
                <w:sz w:val="20"/>
                <w:szCs w:val="20"/>
                <w:color w:val="auto"/>
              </w:rPr>
            </w:pPr>
            <w:r>
              <w:rPr>
                <w:rFonts w:ascii="Arial" w:cs="Arial" w:eastAsia="Arial" w:hAnsi="Arial"/>
                <w:sz w:val="17"/>
                <w:szCs w:val="17"/>
                <w:color w:val="auto"/>
              </w:rPr>
              <w:t>7.5</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annum</w:t>
            </w:r>
          </w:p>
        </w:tc>
        <w:tc>
          <w:tcPr>
            <w:tcW w:w="142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The Company evaluates these assumptions annually based on its long-term plans of growth and industry standards. The discount rates are either based on current market yields on government securities or yields on government securities adjusted for a suitable risk premium, if available.</w:t>
      </w:r>
    </w:p>
    <w:p>
      <w:pPr>
        <w:spacing w:after="0" w:line="146" w:lineRule="exact"/>
        <w:rPr>
          <w:sz w:val="20"/>
          <w:szCs w:val="20"/>
          <w:color w:val="auto"/>
        </w:rPr>
      </w:pPr>
    </w:p>
    <w:tbl>
      <w:tblPr>
        <w:tblLayout w:type="fixed"/>
        <w:tblInd w:w="1400" w:type="dxa"/>
        <w:tblCellMar>
          <w:top w:w="0" w:type="dxa"/>
          <w:left w:w="0" w:type="dxa"/>
          <w:bottom w:w="0" w:type="dxa"/>
          <w:right w:w="0" w:type="dxa"/>
        </w:tblCellMar>
      </w:tblPr>
      <w:tr>
        <w:trPr>
          <w:trHeight w:val="222"/>
        </w:trPr>
        <w:tc>
          <w:tcPr>
            <w:tcW w:w="6280" w:type="dxa"/>
            <w:vAlign w:val="bottom"/>
          </w:tcPr>
          <w:p>
            <w:pPr>
              <w:ind w:left="460"/>
              <w:spacing w:after="0"/>
              <w:rPr>
                <w:sz w:val="20"/>
                <w:szCs w:val="20"/>
                <w:color w:val="auto"/>
              </w:rPr>
            </w:pPr>
            <w:r>
              <w:rPr>
                <w:rFonts w:ascii="Arial" w:cs="Arial" w:eastAsia="Arial" w:hAnsi="Arial"/>
                <w:sz w:val="17"/>
                <w:szCs w:val="17"/>
                <w:color w:val="auto"/>
              </w:rPr>
              <w:t>Expected benefit payments during the year ending December 31,</w:t>
            </w:r>
          </w:p>
        </w:tc>
        <w:tc>
          <w:tcPr>
            <w:tcW w:w="17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3"/>
        </w:trPr>
        <w:tc>
          <w:tcPr>
            <w:tcW w:w="62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2022</w:t>
            </w:r>
          </w:p>
        </w:tc>
        <w:tc>
          <w:tcPr>
            <w:tcW w:w="176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w:t>
            </w:r>
          </w:p>
        </w:tc>
      </w:tr>
      <w:tr>
        <w:trPr>
          <w:trHeight w:val="223"/>
        </w:trPr>
        <w:tc>
          <w:tcPr>
            <w:tcW w:w="6280" w:type="dxa"/>
            <w:vAlign w:val="bottom"/>
          </w:tcPr>
          <w:p>
            <w:pPr>
              <w:ind w:left="460"/>
              <w:spacing w:after="0"/>
              <w:rPr>
                <w:sz w:val="20"/>
                <w:szCs w:val="20"/>
                <w:color w:val="auto"/>
              </w:rPr>
            </w:pPr>
            <w:r>
              <w:rPr>
                <w:rFonts w:ascii="Arial" w:cs="Arial" w:eastAsia="Arial" w:hAnsi="Arial"/>
                <w:sz w:val="17"/>
                <w:szCs w:val="17"/>
                <w:color w:val="auto"/>
              </w:rPr>
              <w:t>2023</w:t>
            </w:r>
          </w:p>
        </w:tc>
        <w:tc>
          <w:tcPr>
            <w:tcW w:w="176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2,979</w:t>
            </w:r>
          </w:p>
        </w:tc>
      </w:tr>
      <w:tr>
        <w:trPr>
          <w:trHeight w:val="223"/>
        </w:trPr>
        <w:tc>
          <w:tcPr>
            <w:tcW w:w="62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2024</w:t>
            </w:r>
          </w:p>
        </w:tc>
        <w:tc>
          <w:tcPr>
            <w:tcW w:w="176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2,738</w:t>
            </w:r>
          </w:p>
        </w:tc>
      </w:tr>
      <w:tr>
        <w:trPr>
          <w:trHeight w:val="223"/>
        </w:trPr>
        <w:tc>
          <w:tcPr>
            <w:tcW w:w="6280" w:type="dxa"/>
            <w:vAlign w:val="bottom"/>
          </w:tcPr>
          <w:p>
            <w:pPr>
              <w:ind w:left="460"/>
              <w:spacing w:after="0"/>
              <w:rPr>
                <w:sz w:val="20"/>
                <w:szCs w:val="20"/>
                <w:color w:val="auto"/>
              </w:rPr>
            </w:pPr>
            <w:r>
              <w:rPr>
                <w:rFonts w:ascii="Arial" w:cs="Arial" w:eastAsia="Arial" w:hAnsi="Arial"/>
                <w:sz w:val="17"/>
                <w:szCs w:val="17"/>
                <w:color w:val="auto"/>
              </w:rPr>
              <w:t>2025</w:t>
            </w:r>
          </w:p>
        </w:tc>
        <w:tc>
          <w:tcPr>
            <w:tcW w:w="176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2,464</w:t>
            </w:r>
          </w:p>
        </w:tc>
      </w:tr>
      <w:tr>
        <w:trPr>
          <w:trHeight w:val="223"/>
        </w:trPr>
        <w:tc>
          <w:tcPr>
            <w:tcW w:w="62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2026</w:t>
            </w:r>
          </w:p>
        </w:tc>
        <w:tc>
          <w:tcPr>
            <w:tcW w:w="176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2,162</w:t>
            </w:r>
          </w:p>
        </w:tc>
      </w:tr>
      <w:tr>
        <w:trPr>
          <w:trHeight w:val="222"/>
        </w:trPr>
        <w:tc>
          <w:tcPr>
            <w:tcW w:w="6280" w:type="dxa"/>
            <w:vAlign w:val="bottom"/>
          </w:tcPr>
          <w:p>
            <w:pPr>
              <w:ind w:left="460"/>
              <w:spacing w:after="0"/>
              <w:rPr>
                <w:sz w:val="20"/>
                <w:szCs w:val="20"/>
                <w:color w:val="auto"/>
              </w:rPr>
            </w:pPr>
            <w:r>
              <w:rPr>
                <w:rFonts w:ascii="Arial" w:cs="Arial" w:eastAsia="Arial" w:hAnsi="Arial"/>
                <w:sz w:val="17"/>
                <w:szCs w:val="17"/>
                <w:color w:val="auto"/>
              </w:rPr>
              <w:t>2027 to 2031</w:t>
            </w:r>
          </w:p>
        </w:tc>
        <w:tc>
          <w:tcPr>
            <w:tcW w:w="1760" w:type="dxa"/>
            <w:vAlign w:val="bottom"/>
          </w:tcPr>
          <w:p>
            <w:pPr>
              <w:jc w:val="right"/>
              <w:ind w:right="29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8,006</w:t>
            </w:r>
          </w:p>
        </w:tc>
      </w:tr>
    </w:tbl>
    <w:p>
      <w:pPr>
        <w:spacing w:after="0" w:line="145"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The India Plan is partially funded whereas the Philippines plan is unfunded. The Company makes annual contributions to the employees' gratuity fund of the India Plan established with Life Insurance Corporation of India and HDFC Standard Life Insurance Company. Fund managers manage these funds and calculate the annual contribution required to be made by the Company and manage the India Plan, including any required payouts. These funds are managed on a cash accumulation basis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and interest is declared retrospectively on March 31 of each year. The Company earned a return of approximately 6.7% per annum on the India Plan for the year ended December 31, 2021.</w:t>
      </w:r>
    </w:p>
    <w:p>
      <w:pPr>
        <w:spacing w:after="0" w:line="140"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7520" w:type="dxa"/>
            <w:vAlign w:val="bottom"/>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 assets at January 1, 2020</w:t>
            </w:r>
          </w:p>
        </w:tc>
        <w:tc>
          <w:tcPr>
            <w:tcW w:w="64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8,784</w:t>
            </w:r>
          </w:p>
        </w:tc>
      </w:tr>
      <w:tr>
        <w:trPr>
          <w:trHeight w:val="223"/>
        </w:trPr>
        <w:tc>
          <w:tcPr>
            <w:tcW w:w="7520" w:type="dxa"/>
            <w:vAlign w:val="bottom"/>
          </w:tcPr>
          <w:p>
            <w:pPr>
              <w:ind w:left="340"/>
              <w:spacing w:after="0"/>
              <w:rPr>
                <w:sz w:val="20"/>
                <w:szCs w:val="20"/>
                <w:color w:val="auto"/>
              </w:rPr>
            </w:pPr>
            <w:r>
              <w:rPr>
                <w:rFonts w:ascii="Arial" w:cs="Arial" w:eastAsia="Arial" w:hAnsi="Arial"/>
                <w:sz w:val="17"/>
                <w:szCs w:val="17"/>
                <w:color w:val="auto"/>
              </w:rPr>
              <w:t>Actual return</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661</w:t>
            </w:r>
          </w:p>
        </w:tc>
      </w:tr>
      <w:tr>
        <w:trPr>
          <w:trHeight w:val="223"/>
        </w:trPr>
        <w:tc>
          <w:tcPr>
            <w:tcW w:w="7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Employer contribution</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3,099</w:t>
            </w:r>
          </w:p>
        </w:tc>
      </w:tr>
      <w:tr>
        <w:trPr>
          <w:trHeight w:val="223"/>
        </w:trPr>
        <w:tc>
          <w:tcPr>
            <w:tcW w:w="7520" w:type="dxa"/>
            <w:vAlign w:val="bottom"/>
          </w:tcPr>
          <w:p>
            <w:pPr>
              <w:ind w:left="340"/>
              <w:spacing w:after="0"/>
              <w:rPr>
                <w:sz w:val="20"/>
                <w:szCs w:val="20"/>
                <w:color w:val="auto"/>
              </w:rPr>
            </w:pPr>
            <w:r>
              <w:rPr>
                <w:rFonts w:ascii="Arial" w:cs="Arial" w:eastAsia="Arial" w:hAnsi="Arial"/>
                <w:sz w:val="17"/>
                <w:szCs w:val="17"/>
                <w:color w:val="auto"/>
              </w:rPr>
              <w:t>Benefits paid*</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(869)</w:t>
            </w:r>
          </w:p>
        </w:tc>
      </w:tr>
      <w:tr>
        <w:trPr>
          <w:trHeight w:val="223"/>
        </w:trPr>
        <w:tc>
          <w:tcPr>
            <w:tcW w:w="7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Effect of exchange rate changes</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16"/>
        </w:trPr>
        <w:tc>
          <w:tcPr>
            <w:tcW w:w="7520" w:type="dxa"/>
            <w:vAlign w:val="bottom"/>
          </w:tcPr>
          <w:p>
            <w:pPr>
              <w:ind w:left="20"/>
              <w:spacing w:after="0"/>
              <w:rPr>
                <w:sz w:val="20"/>
                <w:szCs w:val="20"/>
                <w:color w:val="auto"/>
              </w:rPr>
            </w:pPr>
            <w:r>
              <w:rPr>
                <w:rFonts w:ascii="Arial" w:cs="Arial" w:eastAsia="Arial" w:hAnsi="Arial"/>
                <w:sz w:val="17"/>
                <w:szCs w:val="17"/>
                <w:color w:val="auto"/>
              </w:rPr>
              <w:t>Plan assets at December 31, 2020</w:t>
            </w:r>
          </w:p>
        </w:tc>
        <w:tc>
          <w:tcPr>
            <w:tcW w:w="640" w:type="dxa"/>
            <w:vAlign w:val="bottom"/>
          </w:tcPr>
          <w:p>
            <w:pPr>
              <w:jc w:val="right"/>
              <w:ind w:right="43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11,512</w:t>
            </w:r>
          </w:p>
        </w:tc>
      </w:tr>
      <w:tr>
        <w:trPr>
          <w:trHeight w:val="223"/>
        </w:trPr>
        <w:tc>
          <w:tcPr>
            <w:tcW w:w="7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Actual return</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r>
      <w:tr>
        <w:trPr>
          <w:trHeight w:val="223"/>
        </w:trPr>
        <w:tc>
          <w:tcPr>
            <w:tcW w:w="7520" w:type="dxa"/>
            <w:vAlign w:val="bottom"/>
          </w:tcPr>
          <w:p>
            <w:pPr>
              <w:ind w:left="340"/>
              <w:spacing w:after="0"/>
              <w:rPr>
                <w:sz w:val="20"/>
                <w:szCs w:val="20"/>
                <w:color w:val="auto"/>
              </w:rPr>
            </w:pPr>
            <w:r>
              <w:rPr>
                <w:rFonts w:ascii="Arial" w:cs="Arial" w:eastAsia="Arial" w:hAnsi="Arial"/>
                <w:sz w:val="17"/>
                <w:szCs w:val="17"/>
                <w:color w:val="auto"/>
              </w:rPr>
              <w:t>Employer contribution</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3,361</w:t>
            </w:r>
          </w:p>
        </w:tc>
      </w:tr>
      <w:tr>
        <w:trPr>
          <w:trHeight w:val="223"/>
        </w:trPr>
        <w:tc>
          <w:tcPr>
            <w:tcW w:w="75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Benefits paid*</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w:t>
            </w:r>
          </w:p>
        </w:tc>
      </w:tr>
      <w:tr>
        <w:trPr>
          <w:trHeight w:val="223"/>
        </w:trPr>
        <w:tc>
          <w:tcPr>
            <w:tcW w:w="75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Effect of exchange rate changes</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r>
      <w:tr>
        <w:trPr>
          <w:trHeight w:val="241"/>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Plan assets at December 31, 2021</w:t>
            </w:r>
          </w:p>
        </w:tc>
        <w:tc>
          <w:tcPr>
            <w:tcW w:w="64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 Benefits payments were substantially made from the plan assets during the year.</w:t>
      </w:r>
    </w:p>
    <w:p>
      <w:pPr>
        <w:spacing w:after="0" w:line="155"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4.0% of employee compensation within certain limits.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accrual for contributions to the 401(k) Plans were as follows:</w:t>
      </w:r>
    </w:p>
    <w:p>
      <w:pPr>
        <w:spacing w:after="0" w:line="179" w:lineRule="exact"/>
        <w:rPr>
          <w:sz w:val="20"/>
          <w:szCs w:val="20"/>
          <w:color w:val="auto"/>
        </w:rPr>
      </w:pPr>
    </w:p>
    <w:tbl>
      <w:tblPr>
        <w:tblLayout w:type="fixed"/>
        <w:tblInd w:w="44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7"/>
                <w:szCs w:val="17"/>
                <w:b w:val="1"/>
                <w:bCs w:val="1"/>
                <w:color w:val="auto"/>
                <w:w w:val="97"/>
              </w:rPr>
              <w:t>Year ended December 31,</w:t>
            </w:r>
          </w:p>
        </w:tc>
        <w:tc>
          <w:tcPr>
            <w:tcW w:w="1040" w:type="dxa"/>
            <w:vAlign w:val="bottom"/>
            <w:tcBorders>
              <w:bottom w:val="single" w:sz="8" w:color="auto"/>
            </w:tcBorders>
          </w:tcPr>
          <w:p>
            <w:pPr>
              <w:spacing w:after="0"/>
              <w:rPr>
                <w:sz w:val="18"/>
                <w:szCs w:val="18"/>
                <w:color w:val="auto"/>
              </w:rPr>
            </w:pPr>
          </w:p>
        </w:tc>
      </w:tr>
      <w:tr>
        <w:trPr>
          <w:trHeight w:val="216"/>
        </w:trPr>
        <w:tc>
          <w:tcPr>
            <w:tcW w:w="49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2019</w:t>
            </w: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Contribution to the 401(k) Plans</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3,693</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3,577</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r>
    </w:tbl>
    <w:p>
      <w:pPr>
        <w:spacing w:after="0" w:line="237"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The Company's contribution for various defined benefit plans on behalf of employees in India, the Philippines, the Czech Republic, South Africa, Canada, Colombia, Australia and Singapore were as follows:</w:t>
      </w:r>
    </w:p>
    <w:p>
      <w:pPr>
        <w:spacing w:after="0" w:line="140"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1"/>
              </w:rPr>
              <w:t>Year ended December 31,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16"/>
        </w:trPr>
        <w:tc>
          <w:tcPr>
            <w:tcW w:w="48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2019</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Contribution to the defined benefit plans</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16,340</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11,332</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10,614</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w:t>
      </w:r>
    </w:p>
    <w:p>
      <w:pPr>
        <w:spacing w:after="0" w:line="17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07" w:lineRule="exact"/>
        <w:rPr>
          <w:sz w:val="20"/>
          <w:szCs w:val="20"/>
          <w:color w:val="auto"/>
        </w:rPr>
      </w:pPr>
    </w:p>
    <w:p>
      <w:pPr>
        <w:jc w:val="both"/>
        <w:ind w:firstLine="393"/>
        <w:spacing w:after="0" w:line="269" w:lineRule="auto"/>
        <w:rPr>
          <w:sz w:val="20"/>
          <w:szCs w:val="20"/>
          <w:color w:val="auto"/>
        </w:rPr>
      </w:pPr>
      <w:r>
        <w:rPr>
          <w:rFonts w:ascii="Arial" w:cs="Arial" w:eastAsia="Arial" w:hAnsi="Arial"/>
          <w:sz w:val="15"/>
          <w:szCs w:val="15"/>
          <w:color w:val="auto"/>
        </w:rPr>
        <w:t xml:space="preserve">The Company had performed an evaluation of its contracts with suppliers in accordance with Topic 842, </w:t>
      </w:r>
      <w:r>
        <w:rPr>
          <w:rFonts w:ascii="Arial" w:cs="Arial" w:eastAsia="Arial" w:hAnsi="Arial"/>
          <w:sz w:val="15"/>
          <w:szCs w:val="15"/>
          <w:i w:val="1"/>
          <w:iCs w:val="1"/>
          <w:color w:val="auto"/>
        </w:rPr>
        <w:t>Leases</w:t>
      </w:r>
      <w:r>
        <w:rPr>
          <w:rFonts w:ascii="Arial" w:cs="Arial" w:eastAsia="Arial" w:hAnsi="Arial"/>
          <w:sz w:val="15"/>
          <w:szCs w:val="15"/>
          <w:color w:val="auto"/>
        </w:rPr>
        <w:t>, and had determined that, except for leases for office facilities, motor vehicles and other equipment as described above, none of the Company’s contracts contain a lease. In assessment of the lease term, the Company considers the extension option as part of its lease term for those lease arrangements where the Company is reasonably certain of availing the extension option. As part of the Company’s effort to moderate the impact of COVID-19, the Company continued to evaluate its office facilities to determine where it can exit, consolidate, or otherwise optimize its use of office space. During the years ended December 31, 2021 and 2020, the Company changed the lease term for certain of its leases and recognized the resultant amount of the remeasurement of the lease liability as an adjustment to the ROU assets.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impact of COVID-19 on the economic environment is uncertain and has caused variability in the determination of the incremental borrowing rate and extension option, which have an impact on measurement of lease liabilities and ROU assets.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Supplemental balance sheet information</w:t>
      </w:r>
    </w:p>
    <w:p>
      <w:pPr>
        <w:spacing w:after="0" w:line="27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8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6"/>
                <w:szCs w:val="16"/>
                <w:b w:val="1"/>
                <w:bCs w:val="1"/>
                <w:color w:val="auto"/>
                <w:w w:val="94"/>
              </w:rPr>
              <w:t>As of</w:t>
            </w:r>
          </w:p>
        </w:tc>
        <w:tc>
          <w:tcPr>
            <w:tcW w:w="1020" w:type="dxa"/>
            <w:vAlign w:val="bottom"/>
            <w:tcBorders>
              <w:bottom w:val="single" w:sz="8" w:color="auto"/>
            </w:tcBorders>
          </w:tcPr>
          <w:p>
            <w:pPr>
              <w:spacing w:after="0"/>
              <w:rPr>
                <w:sz w:val="18"/>
                <w:szCs w:val="18"/>
                <w:color w:val="auto"/>
              </w:rPr>
            </w:pPr>
          </w:p>
        </w:tc>
      </w:tr>
      <w:tr>
        <w:trPr>
          <w:trHeight w:val="219"/>
        </w:trPr>
        <w:tc>
          <w:tcPr>
            <w:tcW w:w="588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December 31, 2021</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December 31, 2020</w:t>
            </w:r>
          </w:p>
        </w:tc>
      </w:tr>
      <w:tr>
        <w:trPr>
          <w:trHeight w:val="203"/>
        </w:trPr>
        <w:tc>
          <w:tcPr>
            <w:tcW w:w="588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Operating Lease</w:t>
            </w:r>
          </w:p>
        </w:tc>
        <w:tc>
          <w:tcPr>
            <w:tcW w:w="1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880" w:type="dxa"/>
            <w:vAlign w:val="bottom"/>
          </w:tcPr>
          <w:p>
            <w:pPr>
              <w:ind w:left="440"/>
              <w:spacing w:after="0"/>
              <w:rPr>
                <w:sz w:val="20"/>
                <w:szCs w:val="20"/>
                <w:color w:val="auto"/>
              </w:rPr>
            </w:pPr>
            <w:r>
              <w:rPr>
                <w:rFonts w:ascii="Arial" w:cs="Arial" w:eastAsia="Arial" w:hAnsi="Arial"/>
                <w:sz w:val="17"/>
                <w:szCs w:val="17"/>
                <w:color w:val="auto"/>
              </w:rPr>
              <w:t>Operating lease right-of-use assets</w:t>
            </w:r>
          </w:p>
        </w:tc>
        <w:tc>
          <w:tcPr>
            <w:tcW w:w="10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76,692</w:t>
            </w:r>
          </w:p>
        </w:tc>
        <w:tc>
          <w:tcPr>
            <w:tcW w:w="1040" w:type="dxa"/>
            <w:vAlign w:val="bottom"/>
            <w:gridSpan w:val="2"/>
          </w:tcPr>
          <w:p>
            <w:pPr>
              <w:jc w:val="right"/>
              <w:ind w:right="3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91,918</w:t>
            </w:r>
          </w:p>
        </w:tc>
      </w:tr>
      <w:tr>
        <w:trPr>
          <w:trHeight w:val="242"/>
        </w:trPr>
        <w:tc>
          <w:tcPr>
            <w:tcW w:w="588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r>
      <w:tr>
        <w:trPr>
          <w:trHeight w:val="236"/>
        </w:trPr>
        <w:tc>
          <w:tcPr>
            <w:tcW w:w="5880" w:type="dxa"/>
            <w:vAlign w:val="bottom"/>
          </w:tcPr>
          <w:p>
            <w:pPr>
              <w:ind w:left="440"/>
              <w:spacing w:after="0"/>
              <w:rPr>
                <w:sz w:val="20"/>
                <w:szCs w:val="20"/>
                <w:color w:val="auto"/>
              </w:rPr>
            </w:pPr>
            <w:r>
              <w:rPr>
                <w:rFonts w:ascii="Arial" w:cs="Arial" w:eastAsia="Arial" w:hAnsi="Arial"/>
                <w:sz w:val="17"/>
                <w:szCs w:val="17"/>
                <w:color w:val="auto"/>
              </w:rPr>
              <w:t>Operating lease liabilities – Current</w:t>
            </w:r>
          </w:p>
        </w:tc>
        <w:tc>
          <w:tcPr>
            <w:tcW w:w="10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18,487</w:t>
            </w:r>
          </w:p>
        </w:tc>
        <w:tc>
          <w:tcPr>
            <w:tcW w:w="1040" w:type="dxa"/>
            <w:vAlign w:val="bottom"/>
            <w:gridSpan w:val="2"/>
          </w:tcPr>
          <w:p>
            <w:pPr>
              <w:jc w:val="right"/>
              <w:ind w:right="3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18,894</w:t>
            </w:r>
          </w:p>
        </w:tc>
      </w:tr>
      <w:tr>
        <w:trPr>
          <w:trHeight w:val="223"/>
        </w:trPr>
        <w:tc>
          <w:tcPr>
            <w:tcW w:w="5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Operating lease liabilities – Non-current</w:t>
            </w:r>
          </w:p>
        </w:tc>
        <w:tc>
          <w:tcPr>
            <w:tcW w:w="10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68,506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84,874</w:t>
            </w:r>
          </w:p>
        </w:tc>
      </w:tr>
      <w:tr>
        <w:trPr>
          <w:trHeight w:val="216"/>
        </w:trPr>
        <w:tc>
          <w:tcPr>
            <w:tcW w:w="5880" w:type="dxa"/>
            <w:vAlign w:val="bottom"/>
          </w:tcPr>
          <w:p>
            <w:pPr>
              <w:ind w:left="620"/>
              <w:spacing w:after="0"/>
              <w:rPr>
                <w:sz w:val="20"/>
                <w:szCs w:val="20"/>
                <w:color w:val="auto"/>
              </w:rPr>
            </w:pPr>
            <w:r>
              <w:rPr>
                <w:rFonts w:ascii="Arial" w:cs="Arial" w:eastAsia="Arial" w:hAnsi="Arial"/>
                <w:sz w:val="17"/>
                <w:szCs w:val="17"/>
                <w:b w:val="1"/>
                <w:bCs w:val="1"/>
                <w:color w:val="auto"/>
              </w:rPr>
              <w:t>Total operating lease liabilities</w:t>
            </w:r>
          </w:p>
        </w:tc>
        <w:tc>
          <w:tcPr>
            <w:tcW w:w="1000" w:type="dxa"/>
            <w:vAlign w:val="bottom"/>
          </w:tcPr>
          <w:p>
            <w:pPr>
              <w:jc w:val="right"/>
              <w:ind w:right="37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86,993</w:t>
            </w:r>
          </w:p>
        </w:tc>
        <w:tc>
          <w:tcPr>
            <w:tcW w:w="1040" w:type="dxa"/>
            <w:vAlign w:val="bottom"/>
            <w:gridSpan w:val="2"/>
          </w:tcPr>
          <w:p>
            <w:pPr>
              <w:jc w:val="right"/>
              <w:ind w:right="3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103,768</w:t>
            </w:r>
          </w:p>
        </w:tc>
      </w:tr>
      <w:tr>
        <w:trPr>
          <w:trHeight w:val="242"/>
        </w:trPr>
        <w:tc>
          <w:tcPr>
            <w:tcW w:w="588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r>
      <w:tr>
        <w:trPr>
          <w:trHeight w:val="223"/>
        </w:trPr>
        <w:tc>
          <w:tcPr>
            <w:tcW w:w="5880" w:type="dxa"/>
            <w:vAlign w:val="bottom"/>
          </w:tcPr>
          <w:p>
            <w:pPr>
              <w:ind w:left="440"/>
              <w:spacing w:after="0"/>
              <w:rPr>
                <w:sz w:val="20"/>
                <w:szCs w:val="20"/>
                <w:color w:val="auto"/>
              </w:rPr>
            </w:pPr>
            <w:r>
              <w:rPr>
                <w:rFonts w:ascii="Arial" w:cs="Arial" w:eastAsia="Arial" w:hAnsi="Arial"/>
                <w:sz w:val="17"/>
                <w:szCs w:val="17"/>
                <w:b w:val="1"/>
                <w:bCs w:val="1"/>
                <w:color w:val="auto"/>
              </w:rPr>
              <w:t>Finance Lease</w:t>
            </w: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5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Property and equipment, gross</w:t>
            </w:r>
          </w:p>
        </w:tc>
        <w:tc>
          <w:tcPr>
            <w:tcW w:w="10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2,685</w:t>
            </w:r>
          </w:p>
        </w:tc>
        <w:tc>
          <w:tcPr>
            <w:tcW w:w="1040" w:type="dxa"/>
            <w:vAlign w:val="bottom"/>
            <w:gridSpan w:val="2"/>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1,853</w:t>
            </w:r>
          </w:p>
        </w:tc>
      </w:tr>
      <w:tr>
        <w:trPr>
          <w:trHeight w:val="223"/>
        </w:trPr>
        <w:tc>
          <w:tcPr>
            <w:tcW w:w="58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Accumulated depreciation</w:t>
            </w: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w:t>
            </w:r>
          </w:p>
        </w:tc>
      </w:tr>
      <w:tr>
        <w:trPr>
          <w:trHeight w:val="216"/>
        </w:trPr>
        <w:tc>
          <w:tcPr>
            <w:tcW w:w="58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Property and equipment, net</w:t>
            </w:r>
          </w:p>
        </w:tc>
        <w:tc>
          <w:tcPr>
            <w:tcW w:w="10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40" w:type="dxa"/>
            <w:vAlign w:val="bottom"/>
            <w:gridSpan w:val="2"/>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r>
      <w:tr>
        <w:trPr>
          <w:trHeight w:val="242"/>
        </w:trPr>
        <w:tc>
          <w:tcPr>
            <w:tcW w:w="588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36"/>
        </w:trPr>
        <w:tc>
          <w:tcPr>
            <w:tcW w:w="5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Finance lease liabilities – Current</w:t>
            </w:r>
          </w:p>
        </w:tc>
        <w:tc>
          <w:tcPr>
            <w:tcW w:w="10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40" w:type="dxa"/>
            <w:vAlign w:val="bottom"/>
            <w:gridSpan w:val="2"/>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r>
      <w:tr>
        <w:trPr>
          <w:trHeight w:val="223"/>
        </w:trPr>
        <w:tc>
          <w:tcPr>
            <w:tcW w:w="58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Finance lease liabilities – Non-current</w:t>
            </w: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w:t>
            </w:r>
          </w:p>
        </w:tc>
      </w:tr>
      <w:tr>
        <w:trPr>
          <w:trHeight w:val="236"/>
        </w:trPr>
        <w:tc>
          <w:tcPr>
            <w:tcW w:w="5880" w:type="dxa"/>
            <w:vAlign w:val="bottom"/>
            <w:shd w:val="clear" w:color="auto" w:fill="CCEEFF"/>
          </w:tcPr>
          <w:p>
            <w:pPr>
              <w:ind w:left="580"/>
              <w:spacing w:after="0"/>
              <w:rPr>
                <w:sz w:val="20"/>
                <w:szCs w:val="20"/>
                <w:color w:val="auto"/>
              </w:rPr>
            </w:pPr>
            <w:r>
              <w:rPr>
                <w:rFonts w:ascii="Arial" w:cs="Arial" w:eastAsia="Arial" w:hAnsi="Arial"/>
                <w:sz w:val="17"/>
                <w:szCs w:val="17"/>
                <w:b w:val="1"/>
                <w:bCs w:val="1"/>
                <w:color w:val="auto"/>
              </w:rPr>
              <w:t>Total finance lease liabilities</w:t>
            </w:r>
          </w:p>
        </w:tc>
        <w:tc>
          <w:tcPr>
            <w:tcW w:w="100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040" w:type="dxa"/>
            <w:vAlign w:val="bottom"/>
            <w:gridSpan w:val="2"/>
            <w:shd w:val="clear" w:color="auto" w:fill="CCEEFF"/>
          </w:tcPr>
          <w:p>
            <w:pPr>
              <w:jc w:val="right"/>
              <w:ind w:right="31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right="60" w:firstLine="433"/>
        <w:spacing w:after="0" w:line="289" w:lineRule="auto"/>
        <w:rPr>
          <w:sz w:val="20"/>
          <w:szCs w:val="20"/>
          <w:color w:val="auto"/>
        </w:rPr>
      </w:pPr>
      <w:r>
        <w:rPr>
          <w:rFonts w:ascii="Arial" w:cs="Arial" w:eastAsia="Arial" w:hAnsi="Arial"/>
          <w:sz w:val="17"/>
          <w:szCs w:val="17"/>
          <w:color w:val="auto"/>
        </w:rPr>
        <w:t>Finance lease liabilities are presented as a part of “Accrued expenses and other current liabilities” and “Other non-current liabilities,” as applicable, in the Company’s consolidated balance sheets.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lease cost, which are included in the Company's consolidated statements of income, are as follows:</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632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Lease cost</w:t>
            </w:r>
          </w:p>
        </w:tc>
        <w:tc>
          <w:tcPr>
            <w:tcW w:w="1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spacing w:after="0" w:line="184" w:lineRule="exact"/>
              <w:rPr>
                <w:sz w:val="20"/>
                <w:szCs w:val="20"/>
                <w:color w:val="auto"/>
              </w:rPr>
            </w:pPr>
            <w:r>
              <w:rPr>
                <w:rFonts w:ascii="Arial" w:cs="Arial" w:eastAsia="Arial" w:hAnsi="Arial"/>
                <w:sz w:val="17"/>
                <w:szCs w:val="17"/>
                <w:b w:val="1"/>
                <w:bCs w:val="1"/>
                <w:color w:val="auto"/>
                <w:w w:val="90"/>
              </w:rPr>
              <w:t>Year ended December 31,</w:t>
            </w:r>
          </w:p>
        </w:tc>
        <w:tc>
          <w:tcPr>
            <w:tcW w:w="12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right"/>
              <w:ind w:right="13"/>
              <w:spacing w:after="0" w:line="184" w:lineRule="exact"/>
              <w:rPr>
                <w:sz w:val="20"/>
                <w:szCs w:val="20"/>
                <w:color w:val="auto"/>
              </w:rPr>
            </w:pPr>
            <w:r>
              <w:rPr>
                <w:rFonts w:ascii="Arial" w:cs="Arial" w:eastAsia="Arial" w:hAnsi="Arial"/>
                <w:sz w:val="17"/>
                <w:szCs w:val="17"/>
                <w:b w:val="1"/>
                <w:bCs w:val="1"/>
                <w:color w:val="auto"/>
                <w:w w:val="91"/>
              </w:rPr>
              <w:t>Year ended December 31,</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7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Finance lease:</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320"/>
              <w:spacing w:after="0"/>
              <w:rPr>
                <w:sz w:val="20"/>
                <w:szCs w:val="20"/>
                <w:color w:val="auto"/>
              </w:rPr>
            </w:pPr>
            <w:r>
              <w:rPr>
                <w:rFonts w:ascii="Arial" w:cs="Arial" w:eastAsia="Arial" w:hAnsi="Arial"/>
                <w:sz w:val="17"/>
                <w:szCs w:val="17"/>
                <w:color w:val="auto"/>
              </w:rPr>
              <w:t>Amortization of right-of-use assets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on lease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251</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2020" w:type="dxa"/>
            <w:vAlign w:val="bottom"/>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spacing w:after="0" w:line="223" w:lineRule="exact"/>
              <w:rPr>
                <w:sz w:val="20"/>
                <w:szCs w:val="20"/>
                <w:color w:val="auto"/>
              </w:rPr>
            </w:pPr>
            <w:r>
              <w:rPr>
                <w:rFonts w:ascii="Arial" w:cs="Arial" w:eastAsia="Arial" w:hAnsi="Arial"/>
                <w:sz w:val="17"/>
                <w:szCs w:val="17"/>
                <w:b w:val="1"/>
                <w:bCs w:val="1"/>
                <w:color w:val="auto"/>
              </w:rPr>
              <w:t>Operating lease</w:t>
            </w:r>
            <w:r>
              <w:rPr>
                <w:rFonts w:ascii="Arial" w:cs="Arial" w:eastAsia="Arial" w:hAnsi="Arial"/>
                <w:sz w:val="22"/>
                <w:szCs w:val="22"/>
                <w:b w:val="1"/>
                <w:bCs w:val="1"/>
                <w:color w:val="auto"/>
                <w:vertAlign w:val="superscript"/>
              </w:rPr>
              <w:t>(a)</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26,326</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27,146</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Variable lease costs</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7,621</w:t>
            </w: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33,947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35,642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7"/>
                <w:szCs w:val="17"/>
                <w:b w:val="1"/>
                <w:bCs w:val="1"/>
                <w:color w:val="auto"/>
              </w:rPr>
              <w:t>Total lease cost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34,198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35,958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Includes short-term leases, which are immaterial.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6620" w:type="dxa"/>
            <w:vAlign w:val="bottom"/>
          </w:tcPr>
          <w:p>
            <w:pPr>
              <w:ind w:left="200"/>
              <w:spacing w:after="0"/>
              <w:rPr>
                <w:sz w:val="20"/>
                <w:szCs w:val="20"/>
                <w:color w:val="auto"/>
              </w:rPr>
            </w:pPr>
            <w:r>
              <w:rPr>
                <w:rFonts w:ascii="Arial" w:cs="Arial" w:eastAsia="Arial" w:hAnsi="Arial"/>
                <w:sz w:val="17"/>
                <w:szCs w:val="17"/>
                <w:b w:val="1"/>
                <w:bCs w:val="1"/>
                <w:i w:val="1"/>
                <w:iCs w:val="1"/>
                <w:color w:val="auto"/>
              </w:rPr>
              <w:t>Supplemental cash flow and other information related to leases are as follows:</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3"/>
        </w:trPr>
        <w:tc>
          <w:tcPr>
            <w:tcW w:w="6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r>
      <w:tr>
        <w:trPr>
          <w:trHeight w:val="164"/>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right"/>
              <w:spacing w:after="0" w:line="163" w:lineRule="exact"/>
              <w:rPr>
                <w:sz w:val="20"/>
                <w:szCs w:val="20"/>
                <w:color w:val="auto"/>
              </w:rPr>
            </w:pPr>
            <w:r>
              <w:rPr>
                <w:rFonts w:ascii="Arial" w:cs="Arial" w:eastAsia="Arial" w:hAnsi="Arial"/>
                <w:sz w:val="17"/>
                <w:szCs w:val="17"/>
                <w:b w:val="1"/>
                <w:bCs w:val="1"/>
                <w:color w:val="auto"/>
                <w:w w:val="91"/>
              </w:rPr>
              <w:t>Year ended December 31,</w:t>
            </w:r>
          </w:p>
        </w:tc>
        <w:tc>
          <w:tcPr>
            <w:tcW w:w="140" w:type="dxa"/>
            <w:vAlign w:val="bottom"/>
          </w:tcPr>
          <w:p>
            <w:pPr>
              <w:spacing w:after="0"/>
              <w:rPr>
                <w:sz w:val="14"/>
                <w:szCs w:val="14"/>
                <w:color w:val="auto"/>
              </w:rPr>
            </w:pPr>
          </w:p>
        </w:tc>
        <w:tc>
          <w:tcPr>
            <w:tcW w:w="2000" w:type="dxa"/>
            <w:vAlign w:val="bottom"/>
          </w:tcPr>
          <w:p>
            <w:pPr>
              <w:jc w:val="right"/>
              <w:ind w:right="13"/>
              <w:spacing w:after="0" w:line="163" w:lineRule="exact"/>
              <w:rPr>
                <w:sz w:val="20"/>
                <w:szCs w:val="20"/>
                <w:color w:val="auto"/>
              </w:rPr>
            </w:pPr>
            <w:r>
              <w:rPr>
                <w:rFonts w:ascii="Arial" w:cs="Arial" w:eastAsia="Arial" w:hAnsi="Arial"/>
                <w:sz w:val="17"/>
                <w:szCs w:val="17"/>
                <w:b w:val="1"/>
                <w:bCs w:val="1"/>
                <w:color w:val="auto"/>
                <w:w w:val="90"/>
              </w:rPr>
              <w:t>Year ended December 31,</w:t>
            </w:r>
          </w:p>
        </w:tc>
      </w:tr>
      <w:tr>
        <w:trPr>
          <w:trHeight w:val="223"/>
        </w:trPr>
        <w:tc>
          <w:tcPr>
            <w:tcW w:w="66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53"/>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b w:val="1"/>
                <w:bCs w:val="1"/>
                <w:color w:val="auto"/>
              </w:rPr>
              <w:t>2020</w:t>
            </w:r>
          </w:p>
        </w:tc>
      </w:tr>
      <w:tr>
        <w:trPr>
          <w:trHeight w:val="20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payments for amounts included in the measurement of lease liabilities :</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3"/>
        </w:trPr>
        <w:tc>
          <w:tcPr>
            <w:tcW w:w="6620" w:type="dxa"/>
            <w:vAlign w:val="bottom"/>
          </w:tcPr>
          <w:p>
            <w:pPr>
              <w:ind w:left="340"/>
              <w:spacing w:after="0"/>
              <w:rPr>
                <w:sz w:val="20"/>
                <w:szCs w:val="20"/>
                <w:color w:val="auto"/>
              </w:rPr>
            </w:pPr>
            <w:r>
              <w:rPr>
                <w:rFonts w:ascii="Arial" w:cs="Arial" w:eastAsia="Arial" w:hAnsi="Arial"/>
                <w:sz w:val="17"/>
                <w:szCs w:val="17"/>
                <w:color w:val="auto"/>
              </w:rPr>
              <w:t>Operating cash outflows for operating leases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25,674</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26,589</w:t>
            </w:r>
          </w:p>
        </w:tc>
      </w:tr>
      <w:tr>
        <w:trPr>
          <w:trHeight w:val="223"/>
        </w:trPr>
        <w:tc>
          <w:tcPr>
            <w:tcW w:w="6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cash outflows for finance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23"/>
        </w:trPr>
        <w:tc>
          <w:tcPr>
            <w:tcW w:w="6620" w:type="dxa"/>
            <w:vAlign w:val="bottom"/>
          </w:tcPr>
          <w:p>
            <w:pPr>
              <w:ind w:left="340"/>
              <w:spacing w:after="0"/>
              <w:rPr>
                <w:sz w:val="20"/>
                <w:szCs w:val="20"/>
                <w:color w:val="auto"/>
              </w:rPr>
            </w:pPr>
            <w:r>
              <w:rPr>
                <w:rFonts w:ascii="Arial" w:cs="Arial" w:eastAsia="Arial" w:hAnsi="Arial"/>
                <w:sz w:val="17"/>
                <w:szCs w:val="17"/>
                <w:color w:val="auto"/>
              </w:rPr>
              <w:t>Financing cash outflows for finance leases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201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249</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18,765</w:t>
            </w:r>
          </w:p>
        </w:tc>
      </w:tr>
      <w:tr>
        <w:trPr>
          <w:trHeight w:val="223"/>
        </w:trPr>
        <w:tc>
          <w:tcPr>
            <w:tcW w:w="662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71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3"/>
        </w:trPr>
        <w:tc>
          <w:tcPr>
            <w:tcW w:w="6620" w:type="dxa"/>
            <w:vAlign w:val="bottom"/>
          </w:tcPr>
          <w:p>
            <w:pPr>
              <w:ind w:left="340"/>
              <w:spacing w:after="0"/>
              <w:rPr>
                <w:sz w:val="20"/>
                <w:szCs w:val="20"/>
                <w:color w:val="auto"/>
              </w:rPr>
            </w:pPr>
            <w:r>
              <w:rPr>
                <w:rFonts w:ascii="Arial" w:cs="Arial" w:eastAsia="Arial" w:hAnsi="Arial"/>
                <w:sz w:val="17"/>
                <w:szCs w:val="17"/>
                <w:color w:val="auto"/>
              </w:rPr>
              <w:t>Finance lease</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2.1 years</w:t>
            </w:r>
          </w:p>
        </w:tc>
        <w:tc>
          <w:tcPr>
            <w:tcW w:w="140" w:type="dxa"/>
            <w:vAlign w:val="bottom"/>
          </w:tcPr>
          <w:p>
            <w:pPr>
              <w:spacing w:after="0"/>
              <w:rPr>
                <w:sz w:val="19"/>
                <w:szCs w:val="19"/>
                <w:color w:val="auto"/>
              </w:rPr>
            </w:pPr>
          </w:p>
        </w:tc>
        <w:tc>
          <w:tcPr>
            <w:tcW w:w="2000" w:type="dxa"/>
            <w:vAlign w:val="bottom"/>
          </w:tcPr>
          <w:p>
            <w:pPr>
              <w:jc w:val="right"/>
              <w:ind w:right="33"/>
              <w:spacing w:after="0"/>
              <w:rPr>
                <w:sz w:val="20"/>
                <w:szCs w:val="20"/>
                <w:color w:val="auto"/>
              </w:rPr>
            </w:pPr>
            <w:r>
              <w:rPr>
                <w:rFonts w:ascii="Arial" w:cs="Arial" w:eastAsia="Arial" w:hAnsi="Arial"/>
                <w:sz w:val="17"/>
                <w:szCs w:val="17"/>
                <w:color w:val="auto"/>
              </w:rPr>
              <w:t>1.8 years</w:t>
            </w:r>
          </w:p>
        </w:tc>
      </w:tr>
      <w:tr>
        <w:trPr>
          <w:trHeight w:val="223"/>
        </w:trPr>
        <w:tc>
          <w:tcPr>
            <w:tcW w:w="6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 years</w:t>
            </w: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6.3 years</w:t>
            </w:r>
          </w:p>
        </w:tc>
      </w:tr>
      <w:tr>
        <w:trPr>
          <w:trHeight w:val="223"/>
        </w:trPr>
        <w:tc>
          <w:tcPr>
            <w:tcW w:w="662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3"/>
        </w:trPr>
        <w:tc>
          <w:tcPr>
            <w:tcW w:w="6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Finance lease</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10.5%</w:t>
            </w:r>
          </w:p>
        </w:tc>
      </w:tr>
      <w:tr>
        <w:trPr>
          <w:trHeight w:val="222"/>
        </w:trPr>
        <w:tc>
          <w:tcPr>
            <w:tcW w:w="6620" w:type="dxa"/>
            <w:vAlign w:val="bottom"/>
          </w:tcPr>
          <w:p>
            <w:pPr>
              <w:ind w:left="340"/>
              <w:spacing w:after="0"/>
              <w:rPr>
                <w:sz w:val="20"/>
                <w:szCs w:val="20"/>
                <w:color w:val="auto"/>
              </w:rPr>
            </w:pPr>
            <w:r>
              <w:rPr>
                <w:rFonts w:ascii="Arial" w:cs="Arial" w:eastAsia="Arial" w:hAnsi="Arial"/>
                <w:sz w:val="17"/>
                <w:szCs w:val="17"/>
                <w:color w:val="auto"/>
              </w:rPr>
              <w:t>Operating lease</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7.2%</w:t>
            </w:r>
          </w:p>
        </w:tc>
        <w:tc>
          <w:tcPr>
            <w:tcW w:w="140" w:type="dxa"/>
            <w:vAlign w:val="bottom"/>
          </w:tcPr>
          <w:p>
            <w:pPr>
              <w:spacing w:after="0"/>
              <w:rPr>
                <w:sz w:val="19"/>
                <w:szCs w:val="19"/>
                <w:color w:val="auto"/>
              </w:rPr>
            </w:pPr>
          </w:p>
        </w:tc>
        <w:tc>
          <w:tcPr>
            <w:tcW w:w="2000" w:type="dxa"/>
            <w:vAlign w:val="bottom"/>
          </w:tcPr>
          <w:p>
            <w:pPr>
              <w:jc w:val="right"/>
              <w:ind w:right="33"/>
              <w:spacing w:after="0"/>
              <w:rPr>
                <w:sz w:val="20"/>
                <w:szCs w:val="20"/>
                <w:color w:val="auto"/>
              </w:rPr>
            </w:pPr>
            <w:r>
              <w:rPr>
                <w:rFonts w:ascii="Arial" w:cs="Arial" w:eastAsia="Arial" w:hAnsi="Arial"/>
                <w:sz w:val="17"/>
                <w:szCs w:val="17"/>
                <w:color w:val="auto"/>
              </w:rPr>
              <w:t>7.4%</w:t>
            </w:r>
          </w:p>
        </w:tc>
      </w:tr>
    </w:tbl>
    <w:p>
      <w:pPr>
        <w:spacing w:after="0" w:line="145"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The Company determines the incremental borrowing rate by adjusting the benchmark reference rates, with appropriate financing spreads applicable to the respective geographies where the leases were entered and lease specific adjustments for the effects of collateral.</w:t>
      </w:r>
    </w:p>
    <w:p>
      <w:pPr>
        <w:spacing w:after="0" w:line="106"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During the years ended December 31, 2021 and 2020, the Company modified certain of its operating leases resulting in a reduction of its lease liabilities by $2,917 and $3,143 respectively, with a corresponding reduction in ROU assets.</w:t>
      </w:r>
    </w:p>
    <w:p>
      <w:pPr>
        <w:spacing w:after="0" w:line="106"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As of December 31, 2021, the Company did not have any significant leases that have not yet commenced but that create significant rights and obligations for the Company.</w:t>
      </w:r>
    </w:p>
    <w:p>
      <w:pPr>
        <w:spacing w:after="0" w:line="106"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During the years ended December 31, 2021 and 2020, the Company recognized nil impairment on ROU assets. During the year ended December 31, 2019, the Company recognized an impairment charge on ROU assets related to its Health Integrated business of $1,449, to write down the carrying value of operating lease right-of-use assets to its fair value. This impairment charge was recorded in the consolidated statements of income under “Impairment and restructuring charges.”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Maturities of lease liabilities as of December 31, 2021 were as follows:</w:t>
      </w:r>
    </w:p>
    <w:p>
      <w:pPr>
        <w:spacing w:after="0" w:line="215"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5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Operating Leases</w:t>
            </w:r>
          </w:p>
        </w:tc>
        <w:tc>
          <w:tcPr>
            <w:tcW w:w="680" w:type="dxa"/>
            <w:vAlign w:val="bottom"/>
          </w:tcPr>
          <w:p>
            <w:pPr>
              <w:spacing w:after="0"/>
              <w:rPr>
                <w:sz w:val="18"/>
                <w:szCs w:val="18"/>
                <w:color w:val="auto"/>
              </w:rPr>
            </w:pPr>
          </w:p>
        </w:tc>
        <w:tc>
          <w:tcPr>
            <w:tcW w:w="1600" w:type="dxa"/>
            <w:vAlign w:val="bottom"/>
          </w:tcPr>
          <w:p>
            <w:pPr>
              <w:jc w:val="right"/>
              <w:ind w:right="333"/>
              <w:spacing w:after="0"/>
              <w:rPr>
                <w:sz w:val="20"/>
                <w:szCs w:val="20"/>
                <w:color w:val="auto"/>
              </w:rPr>
            </w:pPr>
            <w:r>
              <w:rPr>
                <w:rFonts w:ascii="Arial" w:cs="Arial" w:eastAsia="Arial" w:hAnsi="Arial"/>
                <w:sz w:val="16"/>
                <w:szCs w:val="16"/>
                <w:b w:val="1"/>
                <w:bCs w:val="1"/>
                <w:color w:val="auto"/>
                <w:w w:val="97"/>
              </w:rPr>
              <w:t>Finance Leases</w:t>
            </w:r>
          </w:p>
        </w:tc>
      </w:tr>
      <w:tr>
        <w:trPr>
          <w:trHeight w:val="219"/>
        </w:trPr>
        <w:tc>
          <w:tcPr>
            <w:tcW w:w="57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2022</w:t>
            </w:r>
          </w:p>
        </w:tc>
        <w:tc>
          <w:tcPr>
            <w:tcW w:w="6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24,020</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23"/>
        </w:trPr>
        <w:tc>
          <w:tcPr>
            <w:tcW w:w="5760" w:type="dxa"/>
            <w:vAlign w:val="bottom"/>
          </w:tcPr>
          <w:p>
            <w:pPr>
              <w:ind w:left="460"/>
              <w:spacing w:after="0"/>
              <w:rPr>
                <w:sz w:val="20"/>
                <w:szCs w:val="20"/>
                <w:color w:val="auto"/>
              </w:rPr>
            </w:pPr>
            <w:r>
              <w:rPr>
                <w:rFonts w:ascii="Arial" w:cs="Arial" w:eastAsia="Arial" w:hAnsi="Arial"/>
                <w:sz w:val="17"/>
                <w:szCs w:val="17"/>
                <w:color w:val="auto"/>
              </w:rPr>
              <w:t>2023</w:t>
            </w:r>
          </w:p>
        </w:tc>
        <w:tc>
          <w:tcPr>
            <w:tcW w:w="6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22,666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147</w:t>
            </w:r>
          </w:p>
        </w:tc>
      </w:tr>
      <w:tr>
        <w:trPr>
          <w:trHeight w:val="223"/>
        </w:trPr>
        <w:tc>
          <w:tcPr>
            <w:tcW w:w="57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2024</w:t>
            </w:r>
          </w:p>
        </w:tc>
        <w:tc>
          <w:tcPr>
            <w:tcW w:w="6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23"/>
        </w:trPr>
        <w:tc>
          <w:tcPr>
            <w:tcW w:w="5760" w:type="dxa"/>
            <w:vAlign w:val="bottom"/>
          </w:tcPr>
          <w:p>
            <w:pPr>
              <w:ind w:left="460"/>
              <w:spacing w:after="0"/>
              <w:rPr>
                <w:sz w:val="20"/>
                <w:szCs w:val="20"/>
                <w:color w:val="auto"/>
              </w:rPr>
            </w:pPr>
            <w:r>
              <w:rPr>
                <w:rFonts w:ascii="Arial" w:cs="Arial" w:eastAsia="Arial" w:hAnsi="Arial"/>
                <w:sz w:val="17"/>
                <w:szCs w:val="17"/>
                <w:color w:val="auto"/>
              </w:rPr>
              <w:t>2025</w:t>
            </w:r>
          </w:p>
        </w:tc>
        <w:tc>
          <w:tcPr>
            <w:tcW w:w="6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10,741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57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2026</w:t>
            </w:r>
          </w:p>
        </w:tc>
        <w:tc>
          <w:tcPr>
            <w:tcW w:w="6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57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2027 and thereafter</w:t>
            </w:r>
          </w:p>
        </w:tc>
        <w:tc>
          <w:tcPr>
            <w:tcW w:w="6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25,198</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7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lease payments</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108,765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r>
      <w:tr>
        <w:trPr>
          <w:trHeight w:val="223"/>
        </w:trPr>
        <w:tc>
          <w:tcPr>
            <w:tcW w:w="57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Less: Imputed interest</w:t>
            </w:r>
          </w:p>
        </w:tc>
        <w:tc>
          <w:tcPr>
            <w:tcW w:w="6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21,772</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r>
      <w:tr>
        <w:trPr>
          <w:trHeight w:val="241"/>
        </w:trPr>
        <w:tc>
          <w:tcPr>
            <w:tcW w:w="5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Present value of lease liabilities</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86,993</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ind w:right="-57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Maturities of lease liabilities as of December 31, 2020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6"/>
                <w:szCs w:val="16"/>
                <w:b w:val="1"/>
                <w:bCs w:val="1"/>
                <w:color w:val="auto"/>
                <w:w w:val="85"/>
              </w:rPr>
              <w:t>Finance Leases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4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7"/>
                <w:szCs w:val="17"/>
                <w:color w:val="auto"/>
              </w:rPr>
              <w:t>2022</w:t>
            </w:r>
          </w:p>
        </w:tc>
        <w:tc>
          <w:tcPr>
            <w:tcW w:w="4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24,316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7"/>
                <w:szCs w:val="17"/>
                <w:color w:val="auto"/>
              </w:rPr>
              <w:t>2024</w:t>
            </w:r>
          </w:p>
        </w:tc>
        <w:tc>
          <w:tcPr>
            <w:tcW w:w="4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2026 and thereafter</w:t>
            </w:r>
          </w:p>
        </w:tc>
        <w:tc>
          <w:tcPr>
            <w:tcW w:w="8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8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Imputed interest</w:t>
            </w:r>
          </w:p>
        </w:tc>
        <w:tc>
          <w:tcPr>
            <w:tcW w:w="8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8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2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103,768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21. Income Taxes</w:t>
            </w: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080" w:type="dxa"/>
            <w:vAlign w:val="bottom"/>
            <w:gridSpan w:val="3"/>
          </w:tcPr>
          <w:p>
            <w:pPr>
              <w:ind w:left="440"/>
              <w:spacing w:after="0"/>
              <w:rPr>
                <w:sz w:val="20"/>
                <w:szCs w:val="20"/>
                <w:color w:val="auto"/>
              </w:rPr>
            </w:pPr>
            <w:r>
              <w:rPr>
                <w:rFonts w:ascii="Arial" w:cs="Arial" w:eastAsia="Arial" w:hAnsi="Arial"/>
                <w:sz w:val="17"/>
                <w:szCs w:val="17"/>
                <w:color w:val="auto"/>
                <w:w w:val="95"/>
              </w:rPr>
              <w:t>The components of income/(loss) before income taxes consist of the following:</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536"/>
              <w:spacing w:after="0"/>
              <w:rPr>
                <w:sz w:val="20"/>
                <w:szCs w:val="20"/>
                <w:color w:val="auto"/>
              </w:rPr>
            </w:pPr>
            <w:r>
              <w:rPr>
                <w:rFonts w:ascii="Arial" w:cs="Arial" w:eastAsia="Arial" w:hAnsi="Arial"/>
                <w:sz w:val="16"/>
                <w:szCs w:val="16"/>
                <w:b w:val="1"/>
                <w:bCs w:val="1"/>
                <w:color w:val="auto"/>
                <w:w w:val="98"/>
              </w:rPr>
              <w:t>Year ended December 31,</w:t>
            </w: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42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20" w:type="dxa"/>
            <w:vAlign w:val="bottom"/>
          </w:tcPr>
          <w:p>
            <w:pPr>
              <w:spacing w:after="0"/>
              <w:rPr>
                <w:sz w:val="19"/>
                <w:szCs w:val="19"/>
                <w:color w:val="auto"/>
              </w:rPr>
            </w:pPr>
          </w:p>
        </w:tc>
        <w:tc>
          <w:tcPr>
            <w:tcW w:w="42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Domestic</w:t>
            </w:r>
          </w:p>
        </w:tc>
        <w:tc>
          <w:tcPr>
            <w:tcW w:w="82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43,759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30,893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center"/>
              <w:ind w:left="273"/>
              <w:spacing w:after="0"/>
              <w:rPr>
                <w:sz w:val="20"/>
                <w:szCs w:val="20"/>
                <w:color w:val="auto"/>
              </w:rPr>
            </w:pPr>
            <w:r>
              <w:rPr>
                <w:rFonts w:ascii="Arial" w:cs="Arial" w:eastAsia="Arial" w:hAnsi="Arial"/>
                <w:sz w:val="17"/>
                <w:szCs w:val="17"/>
                <w:color w:val="auto"/>
                <w:w w:val="94"/>
              </w:rPr>
              <w:t>(16,685)</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42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Foreign</w:t>
            </w:r>
          </w:p>
        </w:tc>
        <w:tc>
          <w:tcPr>
            <w:tcW w:w="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7"/>
                <w:szCs w:val="17"/>
                <w:color w:val="auto"/>
              </w:rPr>
              <w:t>102,802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84,436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left="273"/>
              <w:spacing w:after="0"/>
              <w:rPr>
                <w:sz w:val="20"/>
                <w:szCs w:val="20"/>
                <w:color w:val="auto"/>
              </w:rPr>
            </w:pPr>
            <w:r>
              <w:rPr>
                <w:rFonts w:ascii="Arial" w:cs="Arial" w:eastAsia="Arial" w:hAnsi="Arial"/>
                <w:sz w:val="17"/>
                <w:szCs w:val="17"/>
                <w:color w:val="auto"/>
                <w:w w:val="92"/>
              </w:rPr>
              <w:t>99,785</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7"/>
                <w:szCs w:val="17"/>
                <w:color w:val="auto"/>
              </w:rPr>
              <w:t>146,561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115,329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shd w:val="clear" w:color="auto" w:fill="CCEEFF"/>
          </w:tcPr>
          <w:p>
            <w:pPr>
              <w:jc w:val="center"/>
              <w:ind w:left="273"/>
              <w:spacing w:after="0"/>
              <w:rPr>
                <w:sz w:val="20"/>
                <w:szCs w:val="20"/>
                <w:color w:val="auto"/>
              </w:rPr>
            </w:pPr>
            <w:r>
              <w:rPr>
                <w:rFonts w:ascii="Arial" w:cs="Arial" w:eastAsia="Arial" w:hAnsi="Arial"/>
                <w:sz w:val="17"/>
                <w:szCs w:val="17"/>
                <w:color w:val="auto"/>
                <w:w w:val="92"/>
              </w:rPr>
              <w:t>83,100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Income tax expense/(benefit) consists of the following:</w:t>
      </w:r>
    </w:p>
    <w:p>
      <w:pPr>
        <w:spacing w:after="0" w:line="20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5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33"/>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3"/>
        </w:trPr>
        <w:tc>
          <w:tcPr>
            <w:tcW w:w="5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r>
      <w:tr>
        <w:trPr>
          <w:trHeight w:val="206"/>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provision:</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440" w:type="dxa"/>
            <w:vAlign w:val="bottom"/>
          </w:tcPr>
          <w:p>
            <w:pPr>
              <w:ind w:left="340"/>
              <w:spacing w:after="0"/>
              <w:rPr>
                <w:sz w:val="20"/>
                <w:szCs w:val="20"/>
                <w:color w:val="auto"/>
              </w:rPr>
            </w:pPr>
            <w:r>
              <w:rPr>
                <w:rFonts w:ascii="Arial" w:cs="Arial" w:eastAsia="Arial" w:hAnsi="Arial"/>
                <w:sz w:val="17"/>
                <w:szCs w:val="17"/>
                <w:color w:val="auto"/>
              </w:rPr>
              <w:t>Domestic</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18,532</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7,946</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10,823</w:t>
            </w:r>
          </w:p>
        </w:tc>
      </w:tr>
      <w:tr>
        <w:trPr>
          <w:trHeight w:val="223"/>
        </w:trPr>
        <w:tc>
          <w:tcPr>
            <w:tcW w:w="5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16,694</w:t>
            </w:r>
          </w:p>
        </w:tc>
      </w:tr>
      <w:tr>
        <w:trPr>
          <w:trHeight w:val="216"/>
        </w:trPr>
        <w:tc>
          <w:tcPr>
            <w:tcW w:w="54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27,517</w:t>
            </w:r>
          </w:p>
        </w:tc>
      </w:tr>
      <w:tr>
        <w:trPr>
          <w:trHeight w:val="203"/>
        </w:trPr>
        <w:tc>
          <w:tcPr>
            <w:tcW w:w="5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provision/(benefit):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440" w:type="dxa"/>
            <w:vAlign w:val="bottom"/>
          </w:tcPr>
          <w:p>
            <w:pPr>
              <w:ind w:left="340"/>
              <w:spacing w:after="0"/>
              <w:rPr>
                <w:sz w:val="20"/>
                <w:szCs w:val="20"/>
                <w:color w:val="auto"/>
              </w:rPr>
            </w:pPr>
            <w:r>
              <w:rPr>
                <w:rFonts w:ascii="Arial" w:cs="Arial" w:eastAsia="Arial" w:hAnsi="Arial"/>
                <w:sz w:val="17"/>
                <w:szCs w:val="17"/>
                <w:color w:val="auto"/>
              </w:rPr>
              <w:t>Domestic</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(15,954)</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1,343</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(13,912)</w:t>
            </w:r>
          </w:p>
        </w:tc>
      </w:tr>
      <w:tr>
        <w:trPr>
          <w:trHeight w:val="223"/>
        </w:trPr>
        <w:tc>
          <w:tcPr>
            <w:tcW w:w="5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1,567</w:t>
            </w:r>
          </w:p>
        </w:tc>
      </w:tr>
      <w:tr>
        <w:trPr>
          <w:trHeight w:val="216"/>
        </w:trPr>
        <w:tc>
          <w:tcPr>
            <w:tcW w:w="54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(12,345)</w:t>
            </w:r>
          </w:p>
        </w:tc>
      </w:tr>
      <w:tr>
        <w:trPr>
          <w:trHeight w:val="241"/>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15,172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320" w:top="12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type w:val="continuous"/>
        </w:sectPr>
      </w:pPr>
    </w:p>
    <w:bookmarkStart w:id="120" w:name="page121"/>
    <w:bookmarkEnd w:id="120"/>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Income taxes (deferred) recognized in AOCI were as follows:</w:t>
      </w:r>
    </w:p>
    <w:p>
      <w:pPr>
        <w:spacing w:after="0" w:line="196"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9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2019</w:t>
            </w:r>
          </w:p>
        </w:tc>
      </w:tr>
      <w:tr>
        <w:trPr>
          <w:trHeight w:val="206"/>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b w:val="1"/>
                <w:bCs w:val="1"/>
                <w:color w:val="auto"/>
              </w:rPr>
              <w:t>Deferred taxes benefit / (expense) recognized on:</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3"/>
        </w:trPr>
        <w:tc>
          <w:tcPr>
            <w:tcW w:w="4960" w:type="dxa"/>
            <w:vAlign w:val="bottom"/>
          </w:tcPr>
          <w:p>
            <w:pPr>
              <w:ind w:left="420"/>
              <w:spacing w:after="0"/>
              <w:rPr>
                <w:sz w:val="20"/>
                <w:szCs w:val="20"/>
                <w:color w:val="auto"/>
              </w:rPr>
            </w:pPr>
            <w:r>
              <w:rPr>
                <w:rFonts w:ascii="Arial" w:cs="Arial" w:eastAsia="Arial" w:hAnsi="Arial"/>
                <w:sz w:val="17"/>
                <w:szCs w:val="17"/>
                <w:color w:val="auto"/>
              </w:rPr>
              <w:t>Unrealized gain on cash flow hedges</w:t>
            </w:r>
          </w:p>
        </w:tc>
        <w:tc>
          <w:tcPr>
            <w:tcW w:w="7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(2,308)</w:t>
            </w:r>
          </w:p>
        </w:tc>
        <w:tc>
          <w:tcPr>
            <w:tcW w:w="10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(1,663)</w:t>
            </w:r>
          </w:p>
        </w:tc>
        <w:tc>
          <w:tcPr>
            <w:tcW w:w="10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(1,564)</w:t>
            </w:r>
          </w:p>
        </w:tc>
      </w:tr>
      <w:tr>
        <w:trPr>
          <w:trHeight w:val="223"/>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Reclassification adjustment for cash flow hedges</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1,173</w:t>
            </w:r>
          </w:p>
        </w:tc>
      </w:tr>
      <w:tr>
        <w:trPr>
          <w:trHeight w:val="223"/>
        </w:trPr>
        <w:tc>
          <w:tcPr>
            <w:tcW w:w="4960" w:type="dxa"/>
            <w:vAlign w:val="bottom"/>
          </w:tcPr>
          <w:p>
            <w:pPr>
              <w:ind w:left="420"/>
              <w:spacing w:after="0"/>
              <w:rPr>
                <w:sz w:val="20"/>
                <w:szCs w:val="20"/>
                <w:color w:val="auto"/>
              </w:rPr>
            </w:pPr>
            <w:r>
              <w:rPr>
                <w:rFonts w:ascii="Arial" w:cs="Arial" w:eastAsia="Arial" w:hAnsi="Arial"/>
                <w:sz w:val="17"/>
                <w:szCs w:val="17"/>
                <w:color w:val="auto"/>
              </w:rPr>
              <w:t>Retirement benefits (incl. effects of tax rate changes)</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312</w:t>
            </w:r>
          </w:p>
        </w:tc>
      </w:tr>
      <w:tr>
        <w:trPr>
          <w:trHeight w:val="223"/>
        </w:trPr>
        <w:tc>
          <w:tcPr>
            <w:tcW w:w="4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Reclassification adjustment for retirement benefits</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23"/>
        </w:trPr>
        <w:tc>
          <w:tcPr>
            <w:tcW w:w="49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Foreign currency translation gain/(loss)</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r>
      <w:tr>
        <w:trPr>
          <w:trHeight w:val="241"/>
        </w:trPr>
        <w:tc>
          <w:tcPr>
            <w:tcW w:w="4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b w:val="1"/>
                <w:bCs w:val="1"/>
                <w:color w:val="auto"/>
              </w:rPr>
              <w:t>Total income tax benefit / (expense) recognized in AOCI</w:t>
            </w:r>
          </w:p>
        </w:tc>
        <w:tc>
          <w:tcPr>
            <w:tcW w:w="7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right="340" w:firstLine="433"/>
        <w:spacing w:after="0" w:line="289" w:lineRule="auto"/>
        <w:rPr>
          <w:sz w:val="20"/>
          <w:szCs w:val="20"/>
          <w:color w:val="auto"/>
        </w:rPr>
      </w:pPr>
      <w:r>
        <w:rPr>
          <w:rFonts w:ascii="Arial" w:cs="Arial" w:eastAsia="Arial" w:hAnsi="Arial"/>
          <w:sz w:val="17"/>
          <w:szCs w:val="17"/>
          <w:color w:val="auto"/>
        </w:rPr>
        <w:t>The effective income tax rate differs from the amount computed by applying the U.S. federal statutory income tax rate to income before income taxes approximately as follows:</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93"/>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03"/>
        </w:trPr>
        <w:tc>
          <w:tcPr>
            <w:tcW w:w="5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2019</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tax expense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17,451</w:t>
            </w:r>
          </w:p>
        </w:tc>
      </w:tr>
      <w:tr>
        <w:trPr>
          <w:trHeight w:val="223"/>
        </w:trPr>
        <w:tc>
          <w:tcPr>
            <w:tcW w:w="5160" w:type="dxa"/>
            <w:vAlign w:val="bottom"/>
          </w:tcPr>
          <w:p>
            <w:pPr>
              <w:ind w:left="20"/>
              <w:spacing w:after="0"/>
              <w:rPr>
                <w:sz w:val="20"/>
                <w:szCs w:val="20"/>
                <w:color w:val="auto"/>
              </w:rPr>
            </w:pPr>
            <w:r>
              <w:rPr>
                <w:rFonts w:ascii="Arial" w:cs="Arial" w:eastAsia="Arial" w:hAnsi="Arial"/>
                <w:sz w:val="17"/>
                <w:szCs w:val="17"/>
                <w:color w:val="auto"/>
              </w:rPr>
              <w:t>Impact of tax holiday</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(5,920)</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tax rate differential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w:t>
            </w:r>
          </w:p>
        </w:tc>
      </w:tr>
      <w:tr>
        <w:trPr>
          <w:trHeight w:val="223"/>
        </w:trPr>
        <w:tc>
          <w:tcPr>
            <w:tcW w:w="5160" w:type="dxa"/>
            <w:vAlign w:val="bottom"/>
          </w:tcPr>
          <w:p>
            <w:pPr>
              <w:ind w:left="20"/>
              <w:spacing w:after="0"/>
              <w:rPr>
                <w:sz w:val="20"/>
                <w:szCs w:val="20"/>
                <w:color w:val="auto"/>
              </w:rPr>
            </w:pPr>
            <w:r>
              <w:rPr>
                <w:rFonts w:ascii="Arial" w:cs="Arial" w:eastAsia="Arial" w:hAnsi="Arial"/>
                <w:sz w:val="17"/>
                <w:szCs w:val="17"/>
                <w:color w:val="auto"/>
              </w:rPr>
              <w:t>Deferred tax provision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3,026</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 and interest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23"/>
        </w:trPr>
        <w:tc>
          <w:tcPr>
            <w:tcW w:w="5160" w:type="dxa"/>
            <w:vAlign w:val="bottom"/>
          </w:tcPr>
          <w:p>
            <w:pPr>
              <w:ind w:left="20"/>
              <w:spacing w:after="0"/>
              <w:rPr>
                <w:sz w:val="20"/>
                <w:szCs w:val="20"/>
                <w:color w:val="auto"/>
              </w:rPr>
            </w:pPr>
            <w:r>
              <w:rPr>
                <w:rFonts w:ascii="Arial" w:cs="Arial" w:eastAsia="Arial" w:hAnsi="Arial"/>
                <w:sz w:val="17"/>
                <w:szCs w:val="17"/>
                <w:color w:val="auto"/>
              </w:rPr>
              <w:t>State taxes, net of Federal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2,137</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Non-deductible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w:t>
            </w:r>
          </w:p>
        </w:tc>
      </w:tr>
      <w:tr>
        <w:trPr>
          <w:trHeight w:val="223"/>
        </w:trPr>
        <w:tc>
          <w:tcPr>
            <w:tcW w:w="5160" w:type="dxa"/>
            <w:vAlign w:val="bottom"/>
          </w:tcPr>
          <w:p>
            <w:pPr>
              <w:ind w:left="20"/>
              <w:spacing w:after="0"/>
              <w:rPr>
                <w:sz w:val="20"/>
                <w:szCs w:val="20"/>
                <w:color w:val="auto"/>
              </w:rPr>
            </w:pPr>
            <w:r>
              <w:rPr>
                <w:rFonts w:ascii="Arial" w:cs="Arial" w:eastAsia="Arial" w:hAnsi="Arial"/>
                <w:sz w:val="17"/>
                <w:szCs w:val="17"/>
                <w:color w:val="auto"/>
              </w:rPr>
              <w:t>Excess tax benefit on stock-based compensation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(2,306)</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w:t>
            </w:r>
          </w:p>
        </w:tc>
      </w:tr>
      <w:tr>
        <w:trPr>
          <w:trHeight w:val="223"/>
        </w:trPr>
        <w:tc>
          <w:tcPr>
            <w:tcW w:w="5160" w:type="dxa"/>
            <w:vAlign w:val="bottom"/>
          </w:tcPr>
          <w:p>
            <w:pPr>
              <w:ind w:left="20"/>
              <w:spacing w:after="0"/>
              <w:rPr>
                <w:sz w:val="20"/>
                <w:szCs w:val="20"/>
                <w:color w:val="auto"/>
              </w:rPr>
            </w:pPr>
            <w:r>
              <w:rPr>
                <w:rFonts w:ascii="Arial" w:cs="Arial" w:eastAsia="Arial" w:hAnsi="Arial"/>
                <w:sz w:val="17"/>
                <w:szCs w:val="17"/>
                <w:color w:val="auto"/>
              </w:rPr>
              <w:t>Prior period items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(143)</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on settlement of convertible notes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Tax expense</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31,850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15,172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6"/>
          <w:szCs w:val="16"/>
          <w:color w:val="auto"/>
        </w:rPr>
        <w:t>The effective tax rate decreased from 22.2% during the year ended December 31, 2020 to 21.7% during the year ended December 31, 2021. The Company recorded income tax expense of $31,850 and $25,626 for the years ended December 31, 2021 and 2020, respectively. The increase in income tax expense was primarily as a result of higher profit during the year ended December 31, 2021, compared to the year ended December 31, 2020, increase in state taxes and increase in non-deductible expense during the year ended December 31, 2021, partially offset by (i) the recording of higher excess tax benefits related to stock awards of $3,651 pursuant to ASU No. 2016-09 during the year ended December 31, 2021, compared to $2,378 during the year ended December 31, 2020, and (ii) the recording of a one-time deferred tax benefit of $2,411 on settlement of the Notes during the year ended December 31, 2021.</w:t>
      </w:r>
    </w:p>
    <w:p>
      <w:pPr>
        <w:spacing w:after="0" w:line="192" w:lineRule="exact"/>
        <w:rPr>
          <w:sz w:val="20"/>
          <w:szCs w:val="20"/>
          <w:color w:val="auto"/>
        </w:rPr>
      </w:pPr>
    </w:p>
    <w:p>
      <w:pPr>
        <w:jc w:val="both"/>
        <w:ind w:firstLine="393"/>
        <w:spacing w:after="0" w:line="249" w:lineRule="auto"/>
        <w:rPr>
          <w:sz w:val="20"/>
          <w:szCs w:val="20"/>
          <w:color w:val="auto"/>
        </w:rPr>
      </w:pPr>
      <w:r>
        <w:rPr>
          <w:rFonts w:ascii="Arial" w:cs="Arial" w:eastAsia="Arial" w:hAnsi="Arial"/>
          <w:sz w:val="16"/>
          <w:szCs w:val="16"/>
          <w:color w:val="auto"/>
        </w:rPr>
        <w:t>During the year 2018, the Company made an election to change the tax status of most of its controlled foreign corporations (“CFC”) to disregarded entities for U.S. income tax purposes. As a result, the Company no longer has undistributed earnings in connection with these CFCs. The Transition Tax resulted in previously taxed income (“PTI”) which may be subject to withholding taxes and currency gains or losses upon repatriation. The Company periodically evaluates opportunities to repatriate PTI held by its foreign subsidiaries to fund its operations in the United States and other geographies, and as and when it decides to repatriate such PTI, it may have to accrue additional taxes in accordance with local tax laws, rules and regulations in the relevant foreign jurisdictions. The Company has adopted an accounting policy to treat Global Intangible Low-Taxed Income (“GILTI”) as a period cost.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During the year ended December 31, 2021, the Company repatriated to the United States $66,000 (net of $3,494 withholding taxes) from India and $42,500 (net of $7,494 withholding taxes) from the Philippines. As of December 31, 2021, the Company’s deferred tax assets includes $10,988 of withholding taxes associated with these distributions. These distributions do not constitute a change in the Company’s permanent reinvestment assertion. The Company bases its decision to continue to indefinitely reinvest earnings in India and the Philippines on its estimate of the working capital required to support its operations in these geographies and periodically reviews its capital initiatives to support and expand the Company’s global operations, as well as whether there exists an economically viable rate of return on its investments made in India and the Philippines as compared to those made in the United States.</w:t>
      </w:r>
    </w:p>
    <w:p>
      <w:pPr>
        <w:spacing w:after="0" w:line="115"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The Company has benefitted from a corporate tax holiday in the Philippines for our operations centers established there over the last several years. The tax holiday expired for few of the Company’s operations centers in the last few years and will expire for other operations centers by year 2022, which may lead to an increase in the Company’s overall tax rate. Following the expiry of the tax exemption, income generated from operations centers in the Philippines will be taxed at the prevailing annual tax rate, which is currently 5.0% on gross income.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diluted earnings per share effect of the tax holiday is nil, $0.02 and $0.17 for the years ended December 31, 2021, 2020 and 2019, respectively.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the deferred tax balances as of December 31, 2021 and 2020 are as follows:</w:t>
      </w:r>
    </w:p>
    <w:p>
      <w:pPr>
        <w:spacing w:after="0" w:line="209"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6"/>
                <w:szCs w:val="16"/>
                <w:b w:val="1"/>
                <w:bCs w:val="1"/>
                <w:color w:val="auto"/>
                <w:w w:val="89"/>
              </w:rPr>
              <w:t>As of</w:t>
            </w:r>
          </w:p>
        </w:tc>
        <w:tc>
          <w:tcPr>
            <w:tcW w:w="1540" w:type="dxa"/>
            <w:vAlign w:val="bottom"/>
            <w:tcBorders>
              <w:bottom w:val="single" w:sz="8" w:color="auto"/>
            </w:tcBorders>
          </w:tcPr>
          <w:p>
            <w:pPr>
              <w:spacing w:after="0"/>
              <w:rPr>
                <w:sz w:val="18"/>
                <w:szCs w:val="18"/>
                <w:color w:val="auto"/>
              </w:rPr>
            </w:pPr>
          </w:p>
        </w:tc>
      </w:tr>
      <w:tr>
        <w:trPr>
          <w:trHeight w:val="203"/>
        </w:trPr>
        <w:tc>
          <w:tcPr>
            <w:tcW w:w="54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0"/>
              </w:rPr>
              <w:t>December 31, 2020</w:t>
            </w:r>
          </w:p>
        </w:tc>
      </w:tr>
      <w:tr>
        <w:trPr>
          <w:trHeight w:val="206"/>
        </w:trPr>
        <w:tc>
          <w:tcPr>
            <w:tcW w:w="5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tax assets:</w:t>
            </w:r>
          </w:p>
        </w:tc>
        <w:tc>
          <w:tcPr>
            <w:tcW w:w="6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3"/>
        </w:trPr>
        <w:tc>
          <w:tcPr>
            <w:tcW w:w="5480" w:type="dxa"/>
            <w:vAlign w:val="bottom"/>
          </w:tcPr>
          <w:p>
            <w:pPr>
              <w:ind w:left="740"/>
              <w:spacing w:after="0"/>
              <w:rPr>
                <w:sz w:val="20"/>
                <w:szCs w:val="20"/>
                <w:color w:val="auto"/>
              </w:rPr>
            </w:pPr>
            <w:r>
              <w:rPr>
                <w:rFonts w:ascii="Arial" w:cs="Arial" w:eastAsia="Arial" w:hAnsi="Arial"/>
                <w:sz w:val="17"/>
                <w:szCs w:val="17"/>
                <w:color w:val="auto"/>
              </w:rPr>
              <w:t>Tax credit carryforward</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16,236</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4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Depreciation and amortization expense</w:t>
            </w:r>
          </w:p>
        </w:tc>
        <w:tc>
          <w:tcPr>
            <w:tcW w:w="6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9,710</w:t>
            </w:r>
          </w:p>
        </w:tc>
      </w:tr>
      <w:tr>
        <w:trPr>
          <w:trHeight w:val="223"/>
        </w:trPr>
        <w:tc>
          <w:tcPr>
            <w:tcW w:w="5480" w:type="dxa"/>
            <w:vAlign w:val="bottom"/>
          </w:tcPr>
          <w:p>
            <w:pPr>
              <w:ind w:left="740"/>
              <w:spacing w:after="0"/>
              <w:rPr>
                <w:sz w:val="20"/>
                <w:szCs w:val="20"/>
                <w:color w:val="auto"/>
              </w:rPr>
            </w:pPr>
            <w:r>
              <w:rPr>
                <w:rFonts w:ascii="Arial" w:cs="Arial" w:eastAsia="Arial" w:hAnsi="Arial"/>
                <w:sz w:val="17"/>
                <w:szCs w:val="17"/>
                <w:color w:val="auto"/>
              </w:rPr>
              <w:t>Stock-based compensation</w:t>
            </w:r>
          </w:p>
        </w:tc>
        <w:tc>
          <w:tcPr>
            <w:tcW w:w="6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10,760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9,383</w:t>
            </w:r>
          </w:p>
        </w:tc>
      </w:tr>
      <w:tr>
        <w:trPr>
          <w:trHeight w:val="223"/>
        </w:trPr>
        <w:tc>
          <w:tcPr>
            <w:tcW w:w="54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Accrued employee costs and other expenses</w:t>
            </w:r>
          </w:p>
        </w:tc>
        <w:tc>
          <w:tcPr>
            <w:tcW w:w="6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12,208</w:t>
            </w:r>
          </w:p>
        </w:tc>
      </w:tr>
      <w:tr>
        <w:trPr>
          <w:trHeight w:val="223"/>
        </w:trPr>
        <w:tc>
          <w:tcPr>
            <w:tcW w:w="5480" w:type="dxa"/>
            <w:vAlign w:val="bottom"/>
          </w:tcPr>
          <w:p>
            <w:pPr>
              <w:ind w:left="740"/>
              <w:spacing w:after="0"/>
              <w:rPr>
                <w:sz w:val="20"/>
                <w:szCs w:val="20"/>
                <w:color w:val="auto"/>
              </w:rPr>
            </w:pPr>
            <w:r>
              <w:rPr>
                <w:rFonts w:ascii="Arial" w:cs="Arial" w:eastAsia="Arial" w:hAnsi="Arial"/>
                <w:sz w:val="17"/>
                <w:szCs w:val="17"/>
                <w:color w:val="auto"/>
              </w:rPr>
              <w:t>Net operating loss carryforwards</w:t>
            </w:r>
          </w:p>
        </w:tc>
        <w:tc>
          <w:tcPr>
            <w:tcW w:w="6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2,057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2,042</w:t>
            </w:r>
          </w:p>
        </w:tc>
      </w:tr>
      <w:tr>
        <w:trPr>
          <w:trHeight w:val="223"/>
        </w:trPr>
        <w:tc>
          <w:tcPr>
            <w:tcW w:w="54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Unrealized exchange loss</w:t>
            </w:r>
          </w:p>
        </w:tc>
        <w:tc>
          <w:tcPr>
            <w:tcW w:w="6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r>
      <w:tr>
        <w:trPr>
          <w:trHeight w:val="223"/>
        </w:trPr>
        <w:tc>
          <w:tcPr>
            <w:tcW w:w="5480" w:type="dxa"/>
            <w:vAlign w:val="bottom"/>
          </w:tcPr>
          <w:p>
            <w:pPr>
              <w:ind w:left="740"/>
              <w:spacing w:after="0"/>
              <w:rPr>
                <w:sz w:val="20"/>
                <w:szCs w:val="20"/>
                <w:color w:val="auto"/>
              </w:rPr>
            </w:pPr>
            <w:r>
              <w:rPr>
                <w:rFonts w:ascii="Arial" w:cs="Arial" w:eastAsia="Arial" w:hAnsi="Arial"/>
                <w:sz w:val="17"/>
                <w:szCs w:val="17"/>
                <w:color w:val="auto"/>
              </w:rPr>
              <w:t>Deferred rent</w:t>
            </w:r>
          </w:p>
        </w:tc>
        <w:tc>
          <w:tcPr>
            <w:tcW w:w="6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4,454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4,782</w:t>
            </w:r>
          </w:p>
        </w:tc>
      </w:tr>
      <w:tr>
        <w:trPr>
          <w:trHeight w:val="223"/>
        </w:trPr>
        <w:tc>
          <w:tcPr>
            <w:tcW w:w="54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Others</w:t>
            </w:r>
          </w:p>
        </w:tc>
        <w:tc>
          <w:tcPr>
            <w:tcW w:w="6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r>
      <w:tr>
        <w:trPr>
          <w:trHeight w:val="216"/>
        </w:trPr>
        <w:tc>
          <w:tcPr>
            <w:tcW w:w="5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58,543</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38,797</w:t>
            </w:r>
          </w:p>
        </w:tc>
      </w:tr>
      <w:tr>
        <w:trPr>
          <w:trHeight w:val="223"/>
        </w:trPr>
        <w:tc>
          <w:tcPr>
            <w:tcW w:w="54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Valuation allowance</w:t>
            </w:r>
          </w:p>
        </w:tc>
        <w:tc>
          <w:tcPr>
            <w:tcW w:w="6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r>
      <w:tr>
        <w:trPr>
          <w:trHeight w:val="216"/>
        </w:trPr>
        <w:tc>
          <w:tcPr>
            <w:tcW w:w="5480" w:type="dxa"/>
            <w:vAlign w:val="bottom"/>
          </w:tcPr>
          <w:p>
            <w:pPr>
              <w:ind w:left="740"/>
              <w:spacing w:after="0"/>
              <w:rPr>
                <w:sz w:val="20"/>
                <w:szCs w:val="20"/>
                <w:color w:val="auto"/>
              </w:rPr>
            </w:pPr>
            <w:r>
              <w:rPr>
                <w:rFonts w:ascii="Arial" w:cs="Arial" w:eastAsia="Arial" w:hAnsi="Arial"/>
                <w:sz w:val="17"/>
                <w:szCs w:val="17"/>
                <w:color w:val="auto"/>
              </w:rPr>
              <w:t>Deferred tax assets</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58,355</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38,609</w:t>
            </w:r>
          </w:p>
        </w:tc>
      </w:tr>
      <w:tr>
        <w:trPr>
          <w:trHeight w:val="229"/>
        </w:trPr>
        <w:tc>
          <w:tcPr>
            <w:tcW w:w="54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3"/>
        </w:trPr>
        <w:tc>
          <w:tcPr>
            <w:tcW w:w="5480" w:type="dxa"/>
            <w:vAlign w:val="bottom"/>
          </w:tcPr>
          <w:p>
            <w:pPr>
              <w:ind w:left="440"/>
              <w:spacing w:after="0"/>
              <w:rPr>
                <w:sz w:val="20"/>
                <w:szCs w:val="20"/>
                <w:color w:val="auto"/>
              </w:rPr>
            </w:pPr>
            <w:r>
              <w:rPr>
                <w:rFonts w:ascii="Arial" w:cs="Arial" w:eastAsia="Arial" w:hAnsi="Arial"/>
                <w:sz w:val="17"/>
                <w:szCs w:val="17"/>
                <w:color w:val="auto"/>
              </w:rPr>
              <w:t>Deferred tax liabilities:</w:t>
            </w:r>
          </w:p>
        </w:tc>
        <w:tc>
          <w:tcPr>
            <w:tcW w:w="6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3"/>
        </w:trPr>
        <w:tc>
          <w:tcPr>
            <w:tcW w:w="54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Unrealized exchange gain</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2,668</w:t>
            </w:r>
          </w:p>
        </w:tc>
      </w:tr>
      <w:tr>
        <w:trPr>
          <w:trHeight w:val="223"/>
        </w:trPr>
        <w:tc>
          <w:tcPr>
            <w:tcW w:w="5480" w:type="dxa"/>
            <w:vAlign w:val="bottom"/>
          </w:tcPr>
          <w:p>
            <w:pPr>
              <w:ind w:left="740"/>
              <w:spacing w:after="0"/>
              <w:rPr>
                <w:sz w:val="20"/>
                <w:szCs w:val="20"/>
                <w:color w:val="auto"/>
              </w:rPr>
            </w:pPr>
            <w:r>
              <w:rPr>
                <w:rFonts w:ascii="Arial" w:cs="Arial" w:eastAsia="Arial" w:hAnsi="Arial"/>
                <w:sz w:val="17"/>
                <w:szCs w:val="17"/>
                <w:color w:val="auto"/>
              </w:rPr>
              <w:t>Intangible assets</w:t>
            </w:r>
          </w:p>
        </w:tc>
        <w:tc>
          <w:tcPr>
            <w:tcW w:w="6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28,119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19,720</w:t>
            </w:r>
          </w:p>
        </w:tc>
      </w:tr>
      <w:tr>
        <w:trPr>
          <w:trHeight w:val="223"/>
        </w:trPr>
        <w:tc>
          <w:tcPr>
            <w:tcW w:w="54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Unamortized discount on convertible notes</w:t>
            </w:r>
          </w:p>
        </w:tc>
        <w:tc>
          <w:tcPr>
            <w:tcW w:w="6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2,753</w:t>
            </w:r>
          </w:p>
        </w:tc>
      </w:tr>
      <w:tr>
        <w:trPr>
          <w:trHeight w:val="223"/>
        </w:trPr>
        <w:tc>
          <w:tcPr>
            <w:tcW w:w="5480" w:type="dxa"/>
            <w:vAlign w:val="bottom"/>
            <w:tcBorders>
              <w:bottom w:val="single" w:sz="8" w:color="CCEEFF"/>
            </w:tcBorders>
          </w:tcPr>
          <w:p>
            <w:pPr>
              <w:ind w:left="740"/>
              <w:spacing w:after="0"/>
              <w:rPr>
                <w:sz w:val="20"/>
                <w:szCs w:val="20"/>
                <w:color w:val="auto"/>
              </w:rPr>
            </w:pPr>
            <w:r>
              <w:rPr>
                <w:rFonts w:ascii="Arial" w:cs="Arial" w:eastAsia="Arial" w:hAnsi="Arial"/>
                <w:sz w:val="17"/>
                <w:szCs w:val="17"/>
                <w:color w:val="auto"/>
              </w:rPr>
              <w:t>Others</w:t>
            </w:r>
          </w:p>
        </w:tc>
        <w:tc>
          <w:tcPr>
            <w:tcW w:w="6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6,566</w:t>
            </w:r>
          </w:p>
        </w:tc>
      </w:tr>
      <w:tr>
        <w:trPr>
          <w:trHeight w:val="216"/>
        </w:trPr>
        <w:tc>
          <w:tcPr>
            <w:tcW w:w="54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Deferred tax liabilities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37,916</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31,707</w:t>
            </w:r>
          </w:p>
        </w:tc>
      </w:tr>
      <w:tr>
        <w:trPr>
          <w:trHeight w:val="216"/>
        </w:trPr>
        <w:tc>
          <w:tcPr>
            <w:tcW w:w="5480" w:type="dxa"/>
            <w:vAlign w:val="bottom"/>
          </w:tcPr>
          <w:p>
            <w:pPr>
              <w:ind w:left="440"/>
              <w:spacing w:after="0"/>
              <w:rPr>
                <w:sz w:val="20"/>
                <w:szCs w:val="20"/>
                <w:color w:val="auto"/>
              </w:rPr>
            </w:pPr>
            <w:r>
              <w:rPr>
                <w:rFonts w:ascii="Arial" w:cs="Arial" w:eastAsia="Arial" w:hAnsi="Arial"/>
                <w:sz w:val="17"/>
                <w:szCs w:val="17"/>
                <w:color w:val="auto"/>
              </w:rPr>
              <w:t>Net deferred tax assets</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20,439</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6,902</w:t>
            </w:r>
          </w:p>
        </w:tc>
      </w:tr>
      <w:tr>
        <w:trPr>
          <w:trHeight w:val="20"/>
        </w:trPr>
        <w:tc>
          <w:tcPr>
            <w:tcW w:w="5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As of December 31, 2021 and 2020, the Company performed an analysis of the deferred tax asset valuation allowance for its net operating loss carryforwards for its domestic and foreign entities. Based on this analysis, the Company continues to carry a valuation allowance of $188 on the deferred tax assets on certain net operating loss carryforwards, as of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33"/>
        <w:spacing w:after="0" w:line="309" w:lineRule="auto"/>
        <w:rPr>
          <w:sz w:val="20"/>
          <w:szCs w:val="20"/>
          <w:color w:val="auto"/>
        </w:rPr>
      </w:pPr>
      <w:r>
        <w:rPr>
          <w:rFonts w:ascii="Arial" w:cs="Arial" w:eastAsia="Arial" w:hAnsi="Arial"/>
          <w:sz w:val="15"/>
          <w:szCs w:val="15"/>
          <w:color w:val="auto"/>
        </w:rPr>
        <w:t>The Company’s income tax expense also includes the impact of provisions established for uncertain income tax positions determined in accordance with ASC 740.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income tax expense in the period in which such determination is made.</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activity related to the unrecognized tax benefits for the years ended December 31, 2021, 2020 and 2019.</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54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2019</w:t>
            </w: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Balance as of January 1</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w:t>
            </w:r>
          </w:p>
        </w:tc>
      </w:tr>
      <w:tr>
        <w:trPr>
          <w:trHeight w:val="223"/>
        </w:trPr>
        <w:tc>
          <w:tcPr>
            <w:tcW w:w="5440" w:type="dxa"/>
            <w:vAlign w:val="bottom"/>
          </w:tcPr>
          <w:p>
            <w:pPr>
              <w:ind w:left="760"/>
              <w:spacing w:after="0"/>
              <w:rPr>
                <w:sz w:val="20"/>
                <w:szCs w:val="20"/>
                <w:color w:val="auto"/>
              </w:rPr>
            </w:pPr>
            <w:r>
              <w:rPr>
                <w:rFonts w:ascii="Arial" w:cs="Arial" w:eastAsia="Arial" w:hAnsi="Arial"/>
                <w:sz w:val="17"/>
                <w:szCs w:val="17"/>
                <w:color w:val="auto"/>
              </w:rPr>
              <w:t>Decreases/(increases) related to prior year tax positions</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23"/>
        </w:trPr>
        <w:tc>
          <w:tcPr>
            <w:tcW w:w="54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Decreases related to prior year tax positions</w:t>
            </w:r>
          </w:p>
        </w:tc>
        <w:tc>
          <w:tcPr>
            <w:tcW w:w="7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23"/>
        </w:trPr>
        <w:tc>
          <w:tcPr>
            <w:tcW w:w="5440" w:type="dxa"/>
            <w:vAlign w:val="bottom"/>
            <w:tcBorders>
              <w:bottom w:val="single" w:sz="8" w:color="CCEEFF"/>
            </w:tcBorders>
          </w:tcPr>
          <w:p>
            <w:pPr>
              <w:ind w:left="760"/>
              <w:spacing w:after="0"/>
              <w:rPr>
                <w:sz w:val="20"/>
                <w:szCs w:val="20"/>
                <w:color w:val="auto"/>
              </w:rPr>
            </w:pPr>
            <w:r>
              <w:rPr>
                <w:rFonts w:ascii="Arial" w:cs="Arial" w:eastAsia="Arial" w:hAnsi="Arial"/>
                <w:sz w:val="17"/>
                <w:szCs w:val="17"/>
                <w:color w:val="auto"/>
              </w:rPr>
              <w:t>Increases related to current year tax positions</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w:t>
            </w:r>
          </w:p>
        </w:tc>
      </w:tr>
      <w:tr>
        <w:trPr>
          <w:trHeight w:val="241"/>
        </w:trPr>
        <w:tc>
          <w:tcPr>
            <w:tcW w:w="5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Balance as of December 31</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unrecognized tax benefits as of December 31, 2021 of $1,068, if recognized, would impact the effective tax rate.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2021 and 2020, the Company has not accrued interest and penalties relating to unrecognized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Stock Based Compensation</w:t>
      </w:r>
    </w:p>
    <w:p>
      <w:pPr>
        <w:spacing w:after="0" w:line="204" w:lineRule="exact"/>
        <w:rPr>
          <w:sz w:val="20"/>
          <w:szCs w:val="20"/>
          <w:color w:val="auto"/>
        </w:rPr>
      </w:pPr>
    </w:p>
    <w:p>
      <w:pPr>
        <w:jc w:val="both"/>
        <w:ind w:firstLine="433"/>
        <w:spacing w:after="0" w:line="255" w:lineRule="auto"/>
        <w:rPr>
          <w:sz w:val="20"/>
          <w:szCs w:val="20"/>
          <w:color w:val="auto"/>
        </w:rPr>
      </w:pPr>
      <w:r>
        <w:rPr>
          <w:rFonts w:ascii="Arial" w:cs="Arial" w:eastAsia="Arial" w:hAnsi="Arial"/>
          <w:sz w:val="16"/>
          <w:szCs w:val="16"/>
          <w:color w:val="auto"/>
        </w:rPr>
        <w:t>On June 15, 2018, at the Company’s 2018 Annual Meeting of Stockholders, the Company's stockholders approved the 2018 Omnibus Incentive Plan, which among other things, reserves 3,175,000 shares of the Company’s common stock for grants of awards under the 2018 Omnibus Incentive Plan. As of December 31, 2021, the Company had 1,777,687 shares available for grant under the 2018 Omnibus Incentive Plan (includes 120,440 shares against vested performance-based restricted stock units for which the underlying common stock was issued subsequent to December 31, 2021).</w:t>
      </w:r>
    </w:p>
    <w:p>
      <w:pPr>
        <w:spacing w:after="0" w:line="123"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Under the 2018 Omnibus Incentive Plan, the Compensation Committee (the “Committee”) may grant awards of non-qualified stock options, incentive stock options, stock appreciation rights, restricted stock, restricted stock units, stock bonus awards, performance based compensation awards (including cash bonus awards and market condition based awards) or any combination of the foregoing.</w:t>
      </w:r>
    </w:p>
    <w:p>
      <w:pPr>
        <w:spacing w:after="0" w:line="120"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majority of options expire within ten years from the date of grant. Restricted stock units generally vest proportionally over a period of four years from the date of grant, unless specified otherwise.</w:t>
      </w:r>
    </w:p>
    <w:p>
      <w:pPr>
        <w:spacing w:after="0" w:line="124"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 xml:space="preserve">The Company applies the provisions of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to account for its stock based compensation. Under the provisions of this guidance, the estimated fair value of stock-based awards granted under stock incentive plans is recognized as compensation expense based on straight-line method over the requisite service period, which is generally the vesting period.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costs by nature of function related to the Company’s stock-based compensation plan are included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w w:val="95"/>
              </w:rPr>
              <w:t>Year ended December 31,</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Cost of revenues</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5,895</w:t>
            </w:r>
          </w:p>
        </w:tc>
        <w:tc>
          <w:tcPr>
            <w:tcW w:w="0" w:type="dxa"/>
            <w:vAlign w:val="bottom"/>
          </w:tcPr>
          <w:p>
            <w:pPr>
              <w:spacing w:after="0"/>
              <w:rPr>
                <w:sz w:val="1"/>
                <w:szCs w:val="1"/>
                <w:color w:val="auto"/>
              </w:rPr>
            </w:pPr>
          </w:p>
        </w:tc>
      </w:tr>
      <w:tr>
        <w:trPr>
          <w:trHeight w:val="223"/>
        </w:trPr>
        <w:tc>
          <w:tcPr>
            <w:tcW w:w="4320" w:type="dxa"/>
            <w:vAlign w:val="bottom"/>
          </w:tcPr>
          <w:p>
            <w:pPr>
              <w:ind w:left="460"/>
              <w:spacing w:after="0"/>
              <w:rPr>
                <w:sz w:val="20"/>
                <w:szCs w:val="20"/>
                <w:color w:val="auto"/>
              </w:rPr>
            </w:pPr>
            <w:r>
              <w:rPr>
                <w:rFonts w:ascii="Arial" w:cs="Arial" w:eastAsia="Arial" w:hAnsi="Arial"/>
                <w:sz w:val="17"/>
                <w:szCs w:val="17"/>
                <w:color w:val="auto"/>
              </w:rPr>
              <w:t>General and administrative expenses</w:t>
            </w:r>
          </w:p>
        </w:tc>
        <w:tc>
          <w:tcPr>
            <w:tcW w:w="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16,396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11,009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10,012</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Selling and marketing expenses</w:t>
            </w:r>
          </w:p>
        </w:tc>
        <w:tc>
          <w:tcPr>
            <w:tcW w:w="7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14,354</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10,163</w:t>
            </w:r>
          </w:p>
        </w:tc>
        <w:tc>
          <w:tcPr>
            <w:tcW w:w="0" w:type="dxa"/>
            <w:vAlign w:val="bottom"/>
          </w:tcPr>
          <w:p>
            <w:pPr>
              <w:spacing w:after="0"/>
              <w:rPr>
                <w:sz w:val="1"/>
                <w:szCs w:val="1"/>
                <w:color w:val="auto"/>
              </w:rPr>
            </w:pPr>
          </w:p>
        </w:tc>
      </w:tr>
      <w:tr>
        <w:trPr>
          <w:trHeight w:val="216"/>
        </w:trPr>
        <w:tc>
          <w:tcPr>
            <w:tcW w:w="4320" w:type="dxa"/>
            <w:vAlign w:val="bottom"/>
          </w:tcPr>
          <w:p>
            <w:pPr>
              <w:ind w:left="460"/>
              <w:spacing w:after="0"/>
              <w:rPr>
                <w:sz w:val="20"/>
                <w:szCs w:val="20"/>
                <w:color w:val="auto"/>
              </w:rPr>
            </w:pPr>
            <w:r>
              <w:rPr>
                <w:rFonts w:ascii="Arial" w:cs="Arial" w:eastAsia="Arial" w:hAnsi="Arial"/>
                <w:sz w:val="17"/>
                <w:szCs w:val="17"/>
                <w:color w:val="auto"/>
              </w:rPr>
              <w:t>Total</w:t>
            </w: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38,621</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28,235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26,070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320" w:type="dxa"/>
            <w:vAlign w:val="bottom"/>
          </w:tcPr>
          <w:p>
            <w:pPr>
              <w:ind w:left="460"/>
              <w:spacing w:after="0" w:line="172" w:lineRule="exact"/>
              <w:rPr>
                <w:sz w:val="20"/>
                <w:szCs w:val="20"/>
                <w:color w:val="auto"/>
              </w:rPr>
            </w:pPr>
            <w:r>
              <w:rPr>
                <w:rFonts w:ascii="Arial" w:cs="Arial" w:eastAsia="Arial" w:hAnsi="Arial"/>
                <w:sz w:val="17"/>
                <w:szCs w:val="17"/>
                <w:color w:val="auto"/>
              </w:rPr>
              <w:t>Income tax benefit related to share-based</w:t>
            </w:r>
          </w:p>
        </w:tc>
        <w:tc>
          <w:tcPr>
            <w:tcW w:w="720" w:type="dxa"/>
            <w:vAlign w:val="bottom"/>
            <w:vMerge w:val="restart"/>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9,424</w:t>
            </w:r>
          </w:p>
        </w:tc>
        <w:tc>
          <w:tcPr>
            <w:tcW w:w="120" w:type="dxa"/>
            <w:vAlign w:val="bottom"/>
          </w:tcPr>
          <w:p>
            <w:pPr>
              <w:spacing w:after="0"/>
              <w:rPr>
                <w:sz w:val="14"/>
                <w:szCs w:val="14"/>
                <w:color w:val="auto"/>
              </w:rPr>
            </w:pPr>
          </w:p>
        </w:tc>
        <w:tc>
          <w:tcPr>
            <w:tcW w:w="700" w:type="dxa"/>
            <w:vAlign w:val="bottom"/>
            <w:vMerge w:val="restart"/>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8,330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restart"/>
          </w:tcPr>
          <w:p>
            <w:pPr>
              <w:jc w:val="right"/>
              <w:ind w:right="93"/>
              <w:spacing w:after="0"/>
              <w:rPr>
                <w:sz w:val="20"/>
                <w:szCs w:val="20"/>
                <w:color w:val="auto"/>
              </w:rPr>
            </w:pPr>
            <w:r>
              <w:rPr>
                <w:rFonts w:ascii="Arial" w:cs="Arial" w:eastAsia="Arial" w:hAnsi="Arial"/>
                <w:sz w:val="17"/>
                <w:szCs w:val="17"/>
                <w:color w:val="auto"/>
              </w:rPr>
              <w:t>$</w:t>
            </w: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7,986</w:t>
            </w:r>
          </w:p>
        </w:tc>
        <w:tc>
          <w:tcPr>
            <w:tcW w:w="0" w:type="dxa"/>
            <w:vAlign w:val="bottom"/>
          </w:tcPr>
          <w:p>
            <w:pPr>
              <w:spacing w:after="0"/>
              <w:rPr>
                <w:sz w:val="1"/>
                <w:szCs w:val="1"/>
                <w:color w:val="auto"/>
              </w:rPr>
            </w:pPr>
          </w:p>
        </w:tc>
      </w:tr>
      <w:tr>
        <w:trPr>
          <w:trHeight w:val="222"/>
        </w:trPr>
        <w:tc>
          <w:tcPr>
            <w:tcW w:w="4320" w:type="dxa"/>
            <w:vAlign w:val="bottom"/>
          </w:tcPr>
          <w:p>
            <w:pPr>
              <w:ind w:left="20"/>
              <w:spacing w:after="0"/>
              <w:rPr>
                <w:sz w:val="20"/>
                <w:szCs w:val="20"/>
                <w:color w:val="auto"/>
              </w:rPr>
            </w:pPr>
            <w:r>
              <w:rPr>
                <w:rFonts w:ascii="Arial" w:cs="Arial" w:eastAsia="Arial" w:hAnsi="Arial"/>
                <w:sz w:val="17"/>
                <w:szCs w:val="17"/>
                <w:color w:val="auto"/>
              </w:rPr>
              <w:t>compensation, including excess tax benefits</w:t>
            </w:r>
          </w:p>
        </w:tc>
        <w:tc>
          <w:tcPr>
            <w:tcW w:w="7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each stock option granted to employees is estimated on the date of grant using the Black-Scholes option-pricing model.</w:t>
      </w:r>
    </w:p>
    <w:p>
      <w:pPr>
        <w:spacing w:after="0" w:line="172"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The Company does not anticipate paying any cash dividends in the foreseeable future and therefore uses an expected dividend yield of zero in the option valuation model. All stock-based payment awards are amortized on a straight-line basis over the requisite service period of the awards, which is generally the vesting period. The Company accounts for the forfeitures as and when the actual forfeitures occur.</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 activity under the Company’s stock-based compensation plans is shown below:</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ind w:left="520"/>
              <w:spacing w:after="0"/>
              <w:rPr>
                <w:sz w:val="20"/>
                <w:szCs w:val="20"/>
                <w:color w:val="auto"/>
              </w:rPr>
            </w:pPr>
            <w:r>
              <w:rPr>
                <w:rFonts w:ascii="Arial" w:cs="Arial" w:eastAsia="Arial" w:hAnsi="Arial"/>
                <w:sz w:val="16"/>
                <w:szCs w:val="16"/>
                <w:b w:val="1"/>
                <w:bCs w:val="1"/>
                <w:color w:val="auto"/>
                <w:w w:val="98"/>
              </w:rPr>
              <w:t>Weighted-</w:t>
            </w:r>
          </w:p>
        </w:tc>
        <w:tc>
          <w:tcPr>
            <w:tcW w:w="0" w:type="dxa"/>
            <w:vAlign w:val="bottom"/>
          </w:tcPr>
          <w:p>
            <w:pPr>
              <w:spacing w:after="0"/>
              <w:rPr>
                <w:sz w:val="1"/>
                <w:szCs w:val="1"/>
                <w:color w:val="auto"/>
              </w:rPr>
            </w:pPr>
          </w:p>
        </w:tc>
      </w:tr>
      <w:tr>
        <w:trPr>
          <w:trHeight w:val="157"/>
        </w:trPr>
        <w:tc>
          <w:tcPr>
            <w:tcW w:w="4460" w:type="dxa"/>
            <w:vAlign w:val="bottom"/>
          </w:tcPr>
          <w:p>
            <w:pPr>
              <w:spacing w:after="0"/>
              <w:rPr>
                <w:sz w:val="13"/>
                <w:szCs w:val="13"/>
                <w:color w:val="auto"/>
              </w:rPr>
            </w:pPr>
          </w:p>
        </w:tc>
        <w:tc>
          <w:tcPr>
            <w:tcW w:w="140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Number of</w:t>
            </w:r>
          </w:p>
        </w:tc>
        <w:tc>
          <w:tcPr>
            <w:tcW w:w="62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Weighted-</w:t>
            </w:r>
          </w:p>
        </w:tc>
        <w:tc>
          <w:tcPr>
            <w:tcW w:w="64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Aggregate</w:t>
            </w:r>
          </w:p>
        </w:tc>
        <w:tc>
          <w:tcPr>
            <w:tcW w:w="13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79"/>
        </w:trPr>
        <w:tc>
          <w:tcPr>
            <w:tcW w:w="44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300" w:type="dxa"/>
            <w:vAlign w:val="bottom"/>
            <w:vMerge w:val="restart"/>
          </w:tcPr>
          <w:p>
            <w:pPr>
              <w:jc w:val="center"/>
              <w:spacing w:after="0" w:line="158" w:lineRule="exact"/>
              <w:rPr>
                <w:sz w:val="20"/>
                <w:szCs w:val="20"/>
                <w:color w:val="auto"/>
              </w:rPr>
            </w:pPr>
            <w:r>
              <w:rPr>
                <w:rFonts w:ascii="Arial" w:cs="Arial" w:eastAsia="Arial" w:hAnsi="Arial"/>
                <w:sz w:val="16"/>
                <w:szCs w:val="16"/>
                <w:b w:val="1"/>
                <w:bCs w:val="1"/>
                <w:color w:val="auto"/>
                <w:w w:val="90"/>
              </w:rPr>
              <w:t>Remaining</w:t>
            </w:r>
          </w:p>
        </w:tc>
        <w:tc>
          <w:tcPr>
            <w:tcW w:w="0" w:type="dxa"/>
            <w:vAlign w:val="bottom"/>
          </w:tcPr>
          <w:p>
            <w:pPr>
              <w:spacing w:after="0"/>
              <w:rPr>
                <w:sz w:val="1"/>
                <w:szCs w:val="1"/>
                <w:color w:val="auto"/>
              </w:rPr>
            </w:pPr>
          </w:p>
        </w:tc>
      </w:tr>
      <w:tr>
        <w:trPr>
          <w:trHeight w:val="79"/>
        </w:trPr>
        <w:tc>
          <w:tcPr>
            <w:tcW w:w="4460" w:type="dxa"/>
            <w:vAlign w:val="bottom"/>
          </w:tcPr>
          <w:p>
            <w:pPr>
              <w:spacing w:after="0"/>
              <w:rPr>
                <w:sz w:val="6"/>
                <w:szCs w:val="6"/>
                <w:color w:val="auto"/>
              </w:rPr>
            </w:pPr>
          </w:p>
        </w:tc>
        <w:tc>
          <w:tcPr>
            <w:tcW w:w="140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Options</w:t>
            </w:r>
          </w:p>
        </w:tc>
        <w:tc>
          <w:tcPr>
            <w:tcW w:w="17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6"/>
              </w:rPr>
              <w:t>Average Exercise Price</w:t>
            </w:r>
          </w:p>
        </w:tc>
        <w:tc>
          <w:tcPr>
            <w:tcW w:w="1820" w:type="dxa"/>
            <w:vAlign w:val="bottom"/>
            <w:gridSpan w:val="3"/>
            <w:vMerge w:val="restart"/>
          </w:tcPr>
          <w:p>
            <w:pPr>
              <w:ind w:left="360"/>
              <w:spacing w:after="0"/>
              <w:rPr>
                <w:sz w:val="20"/>
                <w:szCs w:val="20"/>
                <w:color w:val="auto"/>
              </w:rPr>
            </w:pPr>
            <w:r>
              <w:rPr>
                <w:rFonts w:ascii="Arial" w:cs="Arial" w:eastAsia="Arial" w:hAnsi="Arial"/>
                <w:sz w:val="16"/>
                <w:szCs w:val="16"/>
                <w:b w:val="1"/>
                <w:bCs w:val="1"/>
                <w:color w:val="auto"/>
              </w:rPr>
              <w:t>Intrinsic Value</w:t>
            </w: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44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1300" w:type="dxa"/>
            <w:vAlign w:val="bottom"/>
            <w:vMerge w:val="restart"/>
          </w:tcPr>
          <w:p>
            <w:pPr>
              <w:jc w:val="center"/>
              <w:spacing w:after="0" w:line="158" w:lineRule="exact"/>
              <w:rPr>
                <w:sz w:val="20"/>
                <w:szCs w:val="20"/>
                <w:color w:val="auto"/>
              </w:rPr>
            </w:pPr>
            <w:r>
              <w:rPr>
                <w:rFonts w:ascii="Arial" w:cs="Arial" w:eastAsia="Arial" w:hAnsi="Arial"/>
                <w:sz w:val="16"/>
                <w:szCs w:val="16"/>
                <w:b w:val="1"/>
                <w:bCs w:val="1"/>
                <w:color w:val="auto"/>
                <w:w w:val="91"/>
              </w:rPr>
              <w:t>Contractual Life</w:t>
            </w:r>
          </w:p>
        </w:tc>
        <w:tc>
          <w:tcPr>
            <w:tcW w:w="0" w:type="dxa"/>
            <w:vAlign w:val="bottom"/>
          </w:tcPr>
          <w:p>
            <w:pPr>
              <w:spacing w:after="0"/>
              <w:rPr>
                <w:sz w:val="1"/>
                <w:szCs w:val="1"/>
                <w:color w:val="auto"/>
              </w:rPr>
            </w:pPr>
          </w:p>
        </w:tc>
      </w:tr>
      <w:tr>
        <w:trPr>
          <w:trHeight w:val="32"/>
        </w:trPr>
        <w:tc>
          <w:tcPr>
            <w:tcW w:w="4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4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Outstanding at December 31, 2020</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31,265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7"/>
                <w:szCs w:val="17"/>
                <w:color w:val="auto"/>
                <w:w w:val="92"/>
              </w:rPr>
              <w:t>1.9</w:t>
            </w:r>
          </w:p>
        </w:tc>
        <w:tc>
          <w:tcPr>
            <w:tcW w:w="0" w:type="dxa"/>
            <w:vAlign w:val="bottom"/>
          </w:tcPr>
          <w:p>
            <w:pPr>
              <w:spacing w:after="0"/>
              <w:rPr>
                <w:sz w:val="1"/>
                <w:szCs w:val="1"/>
                <w:color w:val="auto"/>
              </w:rPr>
            </w:pPr>
          </w:p>
        </w:tc>
      </w:tr>
      <w:tr>
        <w:trPr>
          <w:trHeight w:val="223"/>
        </w:trPr>
        <w:tc>
          <w:tcPr>
            <w:tcW w:w="4460" w:type="dxa"/>
            <w:vAlign w:val="bottom"/>
          </w:tcPr>
          <w:p>
            <w:pPr>
              <w:ind w:left="860"/>
              <w:spacing w:after="0"/>
              <w:rPr>
                <w:sz w:val="20"/>
                <w:szCs w:val="20"/>
                <w:color w:val="auto"/>
              </w:rPr>
            </w:pPr>
            <w:r>
              <w:rPr>
                <w:rFonts w:ascii="Arial" w:cs="Arial" w:eastAsia="Arial" w:hAnsi="Arial"/>
                <w:sz w:val="17"/>
                <w:szCs w:val="17"/>
                <w:color w:val="auto"/>
              </w:rPr>
              <w:t>Granted</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ind w:left="10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860"/>
              <w:spacing w:after="0"/>
              <w:rPr>
                <w:sz w:val="20"/>
                <w:szCs w:val="20"/>
                <w:color w:val="auto"/>
              </w:rPr>
            </w:pPr>
            <w:r>
              <w:rPr>
                <w:rFonts w:ascii="Arial" w:cs="Arial" w:eastAsia="Arial" w:hAnsi="Arial"/>
                <w:sz w:val="17"/>
                <w:szCs w:val="17"/>
                <w:color w:val="auto"/>
              </w:rPr>
              <w:t>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(28,172)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460" w:type="dxa"/>
            <w:vAlign w:val="bottom"/>
          </w:tcPr>
          <w:p>
            <w:pPr>
              <w:ind w:left="860"/>
              <w:spacing w:after="0"/>
              <w:rPr>
                <w:sz w:val="20"/>
                <w:szCs w:val="20"/>
                <w:color w:val="auto"/>
              </w:rPr>
            </w:pPr>
            <w:r>
              <w:rPr>
                <w:rFonts w:ascii="Arial" w:cs="Arial" w:eastAsia="Arial" w:hAnsi="Arial"/>
                <w:sz w:val="17"/>
                <w:szCs w:val="17"/>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ind w:left="10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4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Outstanding at December 31, 2021</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w w:val="92"/>
              </w:rPr>
              <w:t>2.0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7"/>
                <w:szCs w:val="17"/>
                <w:color w:val="auto"/>
              </w:rPr>
              <w:t>Vested and exercisable at December 31, 2021</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60" w:type="dxa"/>
            <w:vAlign w:val="bottom"/>
            <w:vMerge w:val="continue"/>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3,093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27.62</w:t>
            </w:r>
          </w:p>
        </w:tc>
        <w:tc>
          <w:tcPr>
            <w:tcW w:w="100" w:type="dxa"/>
            <w:vAlign w:val="bottom"/>
          </w:tcPr>
          <w:p>
            <w:pPr>
              <w:spacing w:after="0"/>
              <w:rPr>
                <w:sz w:val="16"/>
                <w:szCs w:val="16"/>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6"/>
                <w:szCs w:val="16"/>
                <w:color w:val="auto"/>
              </w:rPr>
            </w:pPr>
          </w:p>
        </w:tc>
        <w:tc>
          <w:tcPr>
            <w:tcW w:w="1300" w:type="dxa"/>
            <w:vAlign w:val="bottom"/>
          </w:tcPr>
          <w:p>
            <w:pPr>
              <w:ind w:left="1060"/>
              <w:spacing w:after="0"/>
              <w:rPr>
                <w:sz w:val="20"/>
                <w:szCs w:val="20"/>
                <w:color w:val="auto"/>
              </w:rPr>
            </w:pPr>
            <w:r>
              <w:rPr>
                <w:rFonts w:ascii="Arial" w:cs="Arial" w:eastAsia="Arial" w:hAnsi="Arial"/>
                <w:sz w:val="17"/>
                <w:szCs w:val="17"/>
                <w:color w:val="auto"/>
                <w:w w:val="92"/>
              </w:rPr>
              <w:t>2.0</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The unrecognized compensation cost for unvested options as of December 31, 2021 was $nil. The Company did not grant any options during the years ended December 31, 2021, 2020 and 2019. The aggregate intrinsic value of options exercised during the years ended December 31, 2021, 2020 and 2019 was $2,475, $3,488 and $3,187, respectively.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status of the Company’s stock options outstanding, vested and exercisable at December 31,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6"/>
                <w:szCs w:val="16"/>
                <w:b w:val="1"/>
                <w:bCs w:val="1"/>
                <w:color w:val="auto"/>
                <w:w w:val="98"/>
              </w:rPr>
              <w:t>Options Outstanding, Vested and Exercisable</w:t>
            </w:r>
          </w:p>
        </w:tc>
        <w:tc>
          <w:tcPr>
            <w:tcW w:w="0" w:type="dxa"/>
            <w:vAlign w:val="bottom"/>
          </w:tcPr>
          <w:p>
            <w:pPr>
              <w:spacing w:after="0"/>
              <w:rPr>
                <w:sz w:val="1"/>
                <w:szCs w:val="1"/>
                <w:color w:val="auto"/>
              </w:rPr>
            </w:pPr>
          </w:p>
        </w:tc>
      </w:tr>
      <w:tr>
        <w:trPr>
          <w:trHeight w:val="154"/>
        </w:trPr>
        <w:tc>
          <w:tcPr>
            <w:tcW w:w="6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jc w:val="right"/>
              <w:ind w:right="580"/>
              <w:spacing w:after="0" w:line="154" w:lineRule="exact"/>
              <w:rPr>
                <w:sz w:val="20"/>
                <w:szCs w:val="20"/>
                <w:color w:val="auto"/>
              </w:rPr>
            </w:pPr>
            <w:r>
              <w:rPr>
                <w:rFonts w:ascii="Arial" w:cs="Arial" w:eastAsia="Arial" w:hAnsi="Arial"/>
                <w:sz w:val="16"/>
                <w:szCs w:val="16"/>
                <w:b w:val="1"/>
                <w:bCs w:val="1"/>
                <w:color w:val="auto"/>
                <w:w w:val="99"/>
              </w:rPr>
              <w:t>Weighted-Average</w:t>
            </w:r>
          </w:p>
        </w:tc>
        <w:tc>
          <w:tcPr>
            <w:tcW w:w="0" w:type="dxa"/>
            <w:vAlign w:val="bottom"/>
          </w:tcPr>
          <w:p>
            <w:pPr>
              <w:spacing w:after="0"/>
              <w:rPr>
                <w:sz w:val="1"/>
                <w:szCs w:val="1"/>
                <w:color w:val="auto"/>
              </w:rPr>
            </w:pPr>
          </w:p>
        </w:tc>
      </w:tr>
      <w:tr>
        <w:trPr>
          <w:trHeight w:val="125"/>
        </w:trPr>
        <w:tc>
          <w:tcPr>
            <w:tcW w:w="640" w:type="dxa"/>
            <w:vAlign w:val="bottom"/>
          </w:tcPr>
          <w:p>
            <w:pPr>
              <w:spacing w:after="0"/>
              <w:rPr>
                <w:sz w:val="10"/>
                <w:szCs w:val="10"/>
                <w:color w:val="auto"/>
              </w:rPr>
            </w:pPr>
          </w:p>
        </w:tc>
        <w:tc>
          <w:tcPr>
            <w:tcW w:w="422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Range of Exercise Prices</w:t>
            </w:r>
          </w:p>
        </w:tc>
        <w:tc>
          <w:tcPr>
            <w:tcW w:w="1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2"/>
            <w:vMerge w:val="restart"/>
          </w:tcPr>
          <w:p>
            <w:pPr>
              <w:jc w:val="right"/>
              <w:ind w:right="1040"/>
              <w:spacing w:after="0"/>
              <w:rPr>
                <w:sz w:val="20"/>
                <w:szCs w:val="20"/>
                <w:color w:val="auto"/>
              </w:rPr>
            </w:pPr>
            <w:r>
              <w:rPr>
                <w:rFonts w:ascii="Arial" w:cs="Arial" w:eastAsia="Arial" w:hAnsi="Arial"/>
                <w:sz w:val="16"/>
                <w:szCs w:val="16"/>
                <w:b w:val="1"/>
                <w:bCs w:val="1"/>
                <w:color w:val="auto"/>
                <w:w w:val="85"/>
              </w:rPr>
              <w:t>Exercise Price</w:t>
            </w:r>
          </w:p>
        </w:tc>
        <w:tc>
          <w:tcPr>
            <w:tcW w:w="0" w:type="dxa"/>
            <w:vAlign w:val="bottom"/>
          </w:tcPr>
          <w:p>
            <w:pPr>
              <w:spacing w:after="0"/>
              <w:rPr>
                <w:sz w:val="1"/>
                <w:szCs w:val="1"/>
                <w:color w:val="auto"/>
              </w:rPr>
            </w:pPr>
          </w:p>
        </w:tc>
      </w:tr>
      <w:tr>
        <w:trPr>
          <w:trHeight w:val="82"/>
        </w:trPr>
        <w:tc>
          <w:tcPr>
            <w:tcW w:w="640" w:type="dxa"/>
            <w:vAlign w:val="bottom"/>
          </w:tcPr>
          <w:p>
            <w:pPr>
              <w:spacing w:after="0"/>
              <w:rPr>
                <w:sz w:val="7"/>
                <w:szCs w:val="7"/>
                <w:color w:val="auto"/>
              </w:rPr>
            </w:pPr>
          </w:p>
        </w:tc>
        <w:tc>
          <w:tcPr>
            <w:tcW w:w="4220" w:type="dxa"/>
            <w:vAlign w:val="bottom"/>
            <w:tcBorders>
              <w:bottom w:val="single" w:sz="8" w:color="CCEEFF"/>
            </w:tcBorders>
            <w:vMerge w:val="continue"/>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42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$25.01 to $28.00</w:t>
            </w:r>
          </w:p>
        </w:tc>
        <w:tc>
          <w:tcPr>
            <w:tcW w:w="10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3,093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27.62</w:t>
            </w:r>
          </w:p>
        </w:tc>
        <w:tc>
          <w:tcPr>
            <w:tcW w:w="0" w:type="dxa"/>
            <w:vAlign w:val="bottom"/>
          </w:tcPr>
          <w:p>
            <w:pPr>
              <w:spacing w:after="0"/>
              <w:rPr>
                <w:sz w:val="1"/>
                <w:szCs w:val="1"/>
                <w:color w:val="auto"/>
              </w:rPr>
            </w:pPr>
          </w:p>
        </w:tc>
      </w:tr>
      <w:tr>
        <w:trPr>
          <w:trHeight w:val="400"/>
        </w:trPr>
        <w:tc>
          <w:tcPr>
            <w:tcW w:w="6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jc w:val="center"/>
              <w:spacing w:after="0"/>
              <w:rPr>
                <w:sz w:val="20"/>
                <w:szCs w:val="20"/>
                <w:color w:val="auto"/>
              </w:rPr>
            </w:pPr>
            <w:r>
              <w:rPr>
                <w:rFonts w:ascii="Arial" w:cs="Arial" w:eastAsia="Arial" w:hAnsi="Arial"/>
                <w:sz w:val="17"/>
                <w:szCs w:val="17"/>
                <w:b w:val="1"/>
                <w:bCs w:val="1"/>
                <w:color w:val="auto"/>
                <w:w w:val="91"/>
              </w:rPr>
              <w:t>Year ended December 31,</w:t>
            </w:r>
          </w:p>
        </w:tc>
        <w:tc>
          <w:tcPr>
            <w:tcW w:w="15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7"/>
                <w:szCs w:val="17"/>
                <w:b w:val="1"/>
                <w:bCs w:val="1"/>
                <w:color w:val="auto"/>
                <w:w w:val="84"/>
              </w:rPr>
              <w:t>2020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received from options exercised during the year</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w:t>
            </w:r>
          </w:p>
        </w:tc>
        <w:tc>
          <w:tcPr>
            <w:tcW w:w="800" w:type="dxa"/>
            <w:vAlign w:val="bottom"/>
            <w:gridSpan w:val="3"/>
            <w:shd w:val="clear" w:color="auto" w:fill="CCEEFF"/>
          </w:tcPr>
          <w:p>
            <w:pPr>
              <w:jc w:val="right"/>
              <w:ind w:right="481"/>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Units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07" w:lineRule="exact"/>
        <w:rPr>
          <w:sz w:val="20"/>
          <w:szCs w:val="20"/>
          <w:color w:val="auto"/>
        </w:rPr>
      </w:pPr>
    </w:p>
    <w:p>
      <w:pPr>
        <w:jc w:val="both"/>
        <w:ind w:firstLine="433"/>
        <w:spacing w:after="0" w:line="234" w:lineRule="auto"/>
        <w:rPr>
          <w:sz w:val="20"/>
          <w:szCs w:val="20"/>
          <w:color w:val="auto"/>
        </w:rPr>
      </w:pPr>
      <w:r>
        <w:rPr>
          <w:rFonts w:ascii="Arial" w:cs="Arial" w:eastAsia="Arial" w:hAnsi="Arial"/>
          <w:sz w:val="17"/>
          <w:szCs w:val="17"/>
          <w:color w:val="auto"/>
        </w:rPr>
        <w:t>Any cash or in-kind dividends paid with respect to unvested shares of restricted stock units are withheld by the Company and paid to the holder of such shares of restricted stock, without interest, only if and when such shares of restricted stock units vest. Any unvested shares of restricted stock units are immediately forfeited without consideration upon the termination of holder’s employment with the Company or its affiliates. Accordingly, the Company’s unvested restricted stock units do not include non-forfeitable rights to dividends or dividend equivalents and are therefore not considered as participating securities for purposes of earnings per share calculations pursuant to the two-class method.</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Restricted stock unit activity under the Company’s stock-based compensation plans is shown below:</w:t>
      </w:r>
    </w:p>
    <w:p>
      <w:pPr>
        <w:spacing w:after="0" w:line="209"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6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6"/>
                <w:szCs w:val="16"/>
                <w:b w:val="1"/>
                <w:bCs w:val="1"/>
                <w:color w:val="auto"/>
              </w:rPr>
              <w:t>Restricted Stock Units</w:t>
            </w:r>
          </w:p>
        </w:tc>
        <w:tc>
          <w:tcPr>
            <w:tcW w:w="0" w:type="dxa"/>
            <w:vAlign w:val="bottom"/>
          </w:tcPr>
          <w:p>
            <w:pPr>
              <w:spacing w:after="0"/>
              <w:rPr>
                <w:sz w:val="1"/>
                <w:szCs w:val="1"/>
                <w:color w:val="auto"/>
              </w:rPr>
            </w:pPr>
          </w:p>
        </w:tc>
      </w:tr>
      <w:tr>
        <w:trPr>
          <w:trHeight w:val="154"/>
        </w:trPr>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Number</w:t>
            </w:r>
          </w:p>
        </w:tc>
        <w:tc>
          <w:tcPr>
            <w:tcW w:w="200" w:type="dxa"/>
            <w:vAlign w:val="bottom"/>
          </w:tcPr>
          <w:p>
            <w:pPr>
              <w:spacing w:after="0"/>
              <w:rPr>
                <w:sz w:val="13"/>
                <w:szCs w:val="13"/>
                <w:color w:val="auto"/>
              </w:rPr>
            </w:pPr>
          </w:p>
        </w:tc>
        <w:tc>
          <w:tcPr>
            <w:tcW w:w="1120" w:type="dxa"/>
            <w:vAlign w:val="bottom"/>
          </w:tcPr>
          <w:p>
            <w:pPr>
              <w:jc w:val="center"/>
              <w:ind w:right="136"/>
              <w:spacing w:after="0" w:line="154" w:lineRule="exact"/>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57"/>
        </w:trPr>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6"/>
              <w:spacing w:after="0" w:line="158" w:lineRule="exact"/>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207"/>
        </w:trPr>
        <w:tc>
          <w:tcPr>
            <w:tcW w:w="6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36"/>
              <w:spacing w:after="0"/>
              <w:rPr>
                <w:sz w:val="20"/>
                <w:szCs w:val="20"/>
                <w:color w:val="auto"/>
              </w:rPr>
            </w:pPr>
            <w:r>
              <w:rPr>
                <w:rFonts w:ascii="Arial" w:cs="Arial" w:eastAsia="Arial" w:hAnsi="Arial"/>
                <w:sz w:val="16"/>
                <w:szCs w:val="16"/>
                <w:b w:val="1"/>
                <w:bCs w:val="1"/>
                <w:color w:val="auto"/>
                <w:w w:val="91"/>
              </w:rPr>
              <w:t>Fair Value</w:t>
            </w:r>
          </w:p>
        </w:tc>
        <w:tc>
          <w:tcPr>
            <w:tcW w:w="0" w:type="dxa"/>
            <w:vAlign w:val="bottom"/>
          </w:tcPr>
          <w:p>
            <w:pPr>
              <w:spacing w:after="0"/>
              <w:rPr>
                <w:sz w:val="1"/>
                <w:szCs w:val="1"/>
                <w:color w:val="auto"/>
              </w:rPr>
            </w:pPr>
          </w:p>
        </w:tc>
      </w:tr>
      <w:tr>
        <w:trPr>
          <w:trHeight w:val="219"/>
        </w:trPr>
        <w:tc>
          <w:tcPr>
            <w:tcW w:w="6160" w:type="dxa"/>
            <w:vAlign w:val="bottom"/>
            <w:gridSpan w:val="2"/>
            <w:shd w:val="clear" w:color="auto" w:fill="CCEEFF"/>
          </w:tcPr>
          <w:p>
            <w:pPr>
              <w:spacing w:after="0" w:line="219" w:lineRule="exact"/>
              <w:rPr>
                <w:sz w:val="20"/>
                <w:szCs w:val="20"/>
                <w:color w:val="auto"/>
              </w:rPr>
            </w:pPr>
            <w:r>
              <w:rPr>
                <w:rFonts w:ascii="Arial" w:cs="Arial" w:eastAsia="Arial" w:hAnsi="Arial"/>
                <w:sz w:val="17"/>
                <w:szCs w:val="17"/>
                <w:color w:val="auto"/>
              </w:rPr>
              <w:t>Outstanding at December 31, 2020</w:t>
            </w:r>
            <w:r>
              <w:rPr>
                <w:rFonts w:ascii="Arial" w:cs="Arial" w:eastAsia="Arial" w:hAnsi="Arial"/>
                <w:sz w:val="22"/>
                <w:szCs w:val="22"/>
                <w:color w:val="auto"/>
                <w:vertAlign w:val="superscript"/>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903,666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67.84</w:t>
            </w:r>
          </w:p>
        </w:tc>
        <w:tc>
          <w:tcPr>
            <w:tcW w:w="0" w:type="dxa"/>
            <w:vAlign w:val="bottom"/>
          </w:tcPr>
          <w:p>
            <w:pPr>
              <w:spacing w:after="0"/>
              <w:rPr>
                <w:sz w:val="1"/>
                <w:szCs w:val="1"/>
                <w:color w:val="auto"/>
              </w:rPr>
            </w:pPr>
          </w:p>
        </w:tc>
      </w:tr>
      <w:tr>
        <w:trPr>
          <w:trHeight w:val="223"/>
        </w:trPr>
        <w:tc>
          <w:tcPr>
            <w:tcW w:w="6160" w:type="dxa"/>
            <w:vAlign w:val="bottom"/>
            <w:gridSpan w:val="2"/>
          </w:tcPr>
          <w:p>
            <w:pPr>
              <w:ind w:left="400"/>
              <w:spacing w:after="0"/>
              <w:rPr>
                <w:sz w:val="20"/>
                <w:szCs w:val="20"/>
                <w:color w:val="auto"/>
              </w:rPr>
            </w:pPr>
            <w:r>
              <w:rPr>
                <w:rFonts w:ascii="Arial" w:cs="Arial" w:eastAsia="Arial" w:hAnsi="Arial"/>
                <w:sz w:val="17"/>
                <w:szCs w:val="17"/>
                <w:color w:val="auto"/>
              </w:rPr>
              <w:t>Granted</w:t>
            </w:r>
          </w:p>
        </w:tc>
        <w:tc>
          <w:tcPr>
            <w:tcW w:w="1300" w:type="dxa"/>
            <w:vAlign w:val="bottom"/>
          </w:tcPr>
          <w:p>
            <w:pPr>
              <w:jc w:val="right"/>
              <w:spacing w:after="0"/>
              <w:rPr>
                <w:sz w:val="20"/>
                <w:szCs w:val="20"/>
                <w:color w:val="auto"/>
              </w:rPr>
            </w:pPr>
            <w:r>
              <w:rPr>
                <w:rFonts w:ascii="Arial" w:cs="Arial" w:eastAsia="Arial" w:hAnsi="Arial"/>
                <w:sz w:val="17"/>
                <w:szCs w:val="17"/>
                <w:color w:val="auto"/>
              </w:rPr>
              <w:t>550,690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91.23</w:t>
            </w:r>
          </w:p>
        </w:tc>
        <w:tc>
          <w:tcPr>
            <w:tcW w:w="0" w:type="dxa"/>
            <w:vAlign w:val="bottom"/>
          </w:tcPr>
          <w:p>
            <w:pPr>
              <w:spacing w:after="0"/>
              <w:rPr>
                <w:sz w:val="1"/>
                <w:szCs w:val="1"/>
                <w:color w:val="auto"/>
              </w:rPr>
            </w:pPr>
          </w:p>
        </w:tc>
      </w:tr>
      <w:tr>
        <w:trPr>
          <w:trHeight w:val="223"/>
        </w:trPr>
        <w:tc>
          <w:tcPr>
            <w:tcW w:w="61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(372,519)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64.01</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(99,650)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75.68</w:t>
            </w:r>
          </w:p>
        </w:tc>
        <w:tc>
          <w:tcPr>
            <w:tcW w:w="0" w:type="dxa"/>
            <w:vAlign w:val="bottom"/>
          </w:tcPr>
          <w:p>
            <w:pPr>
              <w:spacing w:after="0"/>
              <w:rPr>
                <w:sz w:val="1"/>
                <w:szCs w:val="1"/>
                <w:color w:val="auto"/>
              </w:rPr>
            </w:pPr>
          </w:p>
        </w:tc>
      </w:tr>
      <w:tr>
        <w:trPr>
          <w:trHeight w:val="241"/>
        </w:trPr>
        <w:tc>
          <w:tcPr>
            <w:tcW w:w="6160" w:type="dxa"/>
            <w:vAlign w:val="bottom"/>
            <w:tcBorders>
              <w:bottom w:val="single" w:sz="8" w:color="CCEEFF"/>
            </w:tcBorders>
            <w:gridSpan w:val="2"/>
            <w:shd w:val="clear" w:color="auto" w:fill="CCEEFF"/>
          </w:tcPr>
          <w:p>
            <w:pPr>
              <w:spacing w:after="0" w:line="217" w:lineRule="exact"/>
              <w:rPr>
                <w:sz w:val="20"/>
                <w:szCs w:val="20"/>
                <w:color w:val="auto"/>
              </w:rPr>
            </w:pPr>
            <w:r>
              <w:rPr>
                <w:rFonts w:ascii="Arial" w:cs="Arial" w:eastAsia="Arial" w:hAnsi="Arial"/>
                <w:sz w:val="17"/>
                <w:szCs w:val="17"/>
                <w:color w:val="auto"/>
              </w:rPr>
              <w:t>Outstanding at December 31, 2021</w:t>
            </w:r>
            <w:r>
              <w:rPr>
                <w:rFonts w:ascii="Arial" w:cs="Arial" w:eastAsia="Arial" w:hAnsi="Arial"/>
                <w:sz w:val="22"/>
                <w:szCs w:val="22"/>
                <w:color w:val="auto"/>
                <w:vertAlign w:val="superscript"/>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982,187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160" w:hanging="155"/>
        <w:spacing w:after="0" w:line="260" w:lineRule="auto"/>
        <w:tabs>
          <w:tab w:leader="none" w:pos="124"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18,904 and 14,368 restricted stock units vested during the years ended December 31, 2021 and 2020, respectively, for which the underlying common stock is yet to be issued.</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As of December 31, 2021 and 2020, restricted stock units vested for which the underlying common stock is yet to be issued are 162,481 and 181,638, respectively.</w:t>
      </w:r>
    </w:p>
    <w:p>
      <w:pPr>
        <w:spacing w:after="0" w:line="166"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The fair value of restricted stock units is generally the market price of the Company’s shares on the date of grant. As of December 31, 2021, unrecognized compensation cost of $57,897 is expected to be expensed over a weighted average period of 2.5 years.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weighted-average fair value of restricted stock units granted was as follows:</w:t>
      </w:r>
    </w:p>
    <w:p>
      <w:pPr>
        <w:spacing w:after="0" w:line="20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w w:val="95"/>
              </w:rPr>
              <w:t>Year ended December 31,</w:t>
            </w: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3"/>
        </w:trPr>
        <w:tc>
          <w:tcPr>
            <w:tcW w:w="45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6"/>
                <w:szCs w:val="16"/>
                <w:b w:val="1"/>
                <w:bCs w:val="1"/>
                <w:color w:val="auto"/>
              </w:rPr>
              <w:t>2019</w:t>
            </w:r>
          </w:p>
        </w:tc>
      </w:tr>
      <w:tr>
        <w:trPr>
          <w:trHeight w:val="219"/>
        </w:trPr>
        <w:tc>
          <w:tcPr>
            <w:tcW w:w="45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Weighted-average fair value</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total grant date fair value of restricted stock units vested was as follows:</w:t>
      </w:r>
    </w:p>
    <w:p>
      <w:pPr>
        <w:spacing w:after="0" w:line="20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w w:val="96"/>
              </w:rPr>
              <w:t>Year ended December 31,</w:t>
            </w:r>
          </w:p>
        </w:tc>
        <w:tc>
          <w:tcPr>
            <w:tcW w:w="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3"/>
        </w:trPr>
        <w:tc>
          <w:tcPr>
            <w:tcW w:w="44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6"/>
                <w:szCs w:val="16"/>
                <w:b w:val="1"/>
                <w:bCs w:val="1"/>
                <w:color w:val="auto"/>
              </w:rPr>
              <w:t>2019</w:t>
            </w:r>
          </w:p>
        </w:tc>
      </w:tr>
      <w:tr>
        <w:trPr>
          <w:trHeight w:val="219"/>
        </w:trPr>
        <w:tc>
          <w:tcPr>
            <w:tcW w:w="44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grant date fair value</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22,084</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Based Stock Awards</w:t>
      </w:r>
    </w:p>
    <w:p>
      <w:pPr>
        <w:spacing w:after="0" w:line="178"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Under the 2018 Plan, the Company grants performance-based restricted stock units (“PRSUs”) to executive officers and other specified employees. Generally the grants provide that 50% of the PRSUs cliff vest at the end of a three-year period based on an aggregated revenue target for a three year period (“PUs”). The remaining 50% is based on a market condition that is contingent on the Company's meeting the total shareholder return relative to a group of peer companies specified under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program measured over a three-year performance period. During the year ended December 31, 2021, the Company granted PRSUs that cliff vest at the end of a three year period based only on a market condition stated above. The award recipient may earn up to two hundred percent (200%) of the PRSUs granted based on the actual achievement of targets. However, the features of the equity incentive compensation program are subject to change by the Compensation Committee of our Board of Directors.</w:t>
      </w:r>
    </w:p>
    <w:p>
      <w:pPr>
        <w:spacing w:after="0" w:line="124" w:lineRule="exact"/>
        <w:rPr>
          <w:sz w:val="20"/>
          <w:szCs w:val="20"/>
          <w:color w:val="auto"/>
        </w:rPr>
      </w:pPr>
    </w:p>
    <w:p>
      <w:pPr>
        <w:jc w:val="both"/>
        <w:ind w:firstLine="433"/>
        <w:spacing w:after="0" w:line="286" w:lineRule="auto"/>
        <w:rPr>
          <w:sz w:val="20"/>
          <w:szCs w:val="20"/>
          <w:color w:val="auto"/>
        </w:rPr>
      </w:pPr>
      <w:r>
        <w:rPr>
          <w:rFonts w:ascii="Arial" w:cs="Arial" w:eastAsia="Arial" w:hAnsi="Arial"/>
          <w:sz w:val="16"/>
          <w:szCs w:val="16"/>
          <w:color w:val="auto"/>
        </w:rPr>
        <w:t>The fair value of each PU is determined based on the market price of one common share on a day prior to the date of grant, and the associated stock compensation expense is calculated on the basis that performance targets at 100% are probable of being achieved. The stock compensation expense for the PUs is recognized on a straight-line basis over the service period, which is through the end of the third year. Over this period, the number of shares that will be issued are adjusted upward or downward based upon the probability of achievement of the performance targets. The final number of shares issued and the related compensation cost recognized as an expense is based on a comparison of the final performance metrics to the specified targets.</w:t>
      </w:r>
    </w:p>
    <w:p>
      <w:pPr>
        <w:spacing w:after="0" w:line="110"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The grant date fair value for the MUs is determined using a Monte Carlo simulation model and the related stock compensation expense is expensed on a straight-line basis over the vesting period. The stock compensation expense related to the MUs is recognized once the requisite performance period is fulfilled regardless of the extent of the market condition achieved.</w:t>
      </w:r>
    </w:p>
    <w:p>
      <w:pPr>
        <w:spacing w:after="0" w:line="120"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The Monte Carlo simulation model simulates a range of possible future stock prices and estimates the probabilities of the potential payouts. This model also incorporates the following ranges of assumptions:</w:t>
      </w:r>
    </w:p>
    <w:p>
      <w:pPr>
        <w:spacing w:after="0" w:line="106" w:lineRule="exact"/>
        <w:rPr>
          <w:sz w:val="20"/>
          <w:szCs w:val="20"/>
          <w:color w:val="auto"/>
        </w:rPr>
      </w:pPr>
    </w:p>
    <w:p>
      <w:pPr>
        <w:ind w:left="620" w:hanging="300"/>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historical volatilities are used over the most recent three-year period for the components of the peer group.</w:t>
      </w:r>
    </w:p>
    <w:p>
      <w:pPr>
        <w:spacing w:after="0" w:line="211" w:lineRule="exact"/>
        <w:rPr>
          <w:rFonts w:ascii="Arial" w:cs="Arial" w:eastAsia="Arial" w:hAnsi="Arial"/>
          <w:sz w:val="17"/>
          <w:szCs w:val="17"/>
          <w:color w:val="auto"/>
        </w:rPr>
      </w:pPr>
    </w:p>
    <w:p>
      <w:pPr>
        <w:ind w:left="620" w:hanging="300"/>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risk-free interest rate is based on the U.S. Treasury rate assumption commensurate with the three-year performance period.</w:t>
      </w:r>
    </w:p>
    <w:p>
      <w:pPr>
        <w:spacing w:after="0" w:line="171" w:lineRule="exact"/>
        <w:rPr>
          <w:rFonts w:ascii="Arial" w:cs="Arial" w:eastAsia="Arial" w:hAnsi="Arial"/>
          <w:sz w:val="17"/>
          <w:szCs w:val="17"/>
          <w:color w:val="auto"/>
        </w:rPr>
      </w:pPr>
    </w:p>
    <w:p>
      <w:pPr>
        <w:ind w:left="640" w:right="700" w:hanging="320"/>
        <w:spacing w:after="0" w:line="289"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Since the plan stipulates that the awards are based upon the TSR of the Company and the components of the peer group, it is assumed that the dividends get reinvested in the issuing entity on a continuous basis.</w:t>
      </w:r>
    </w:p>
    <w:p>
      <w:pPr>
        <w:spacing w:after="0" w:line="10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correlation coefficients are used to model the way in which each entity tends to move in relation to each other are based upon the price data used to calculate the historical volatilities.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fair value of each MU granted to employees is estimated on the date of grant using the following weighted average assumptions:</w:t>
      </w:r>
    </w:p>
    <w:p>
      <w:pPr>
        <w:spacing w:after="0" w:line="209"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3340" w:type="dxa"/>
            <w:vAlign w:val="bottom"/>
            <w:tcBorders>
              <w:bottom w:val="single" w:sz="8" w:color="auto"/>
            </w:tcBorders>
            <w:gridSpan w:val="5"/>
          </w:tcPr>
          <w:p>
            <w:pPr>
              <w:ind w:left="1380"/>
              <w:spacing w:after="0"/>
              <w:rPr>
                <w:sz w:val="20"/>
                <w:szCs w:val="20"/>
                <w:color w:val="auto"/>
              </w:rPr>
            </w:pPr>
            <w:r>
              <w:rPr>
                <w:rFonts w:ascii="Arial" w:cs="Arial" w:eastAsia="Arial" w:hAnsi="Arial"/>
                <w:sz w:val="16"/>
                <w:szCs w:val="16"/>
                <w:b w:val="1"/>
                <w:bCs w:val="1"/>
                <w:color w:val="auto"/>
                <w:w w:val="99"/>
              </w:rPr>
              <w:t>Year ended December 31,</w:t>
            </w:r>
          </w:p>
        </w:tc>
        <w:tc>
          <w:tcPr>
            <w:tcW w:w="1120" w:type="dxa"/>
            <w:vAlign w:val="bottom"/>
            <w:tcBorders>
              <w:bottom w:val="single" w:sz="8" w:color="auto"/>
            </w:tcBorders>
          </w:tcPr>
          <w:p>
            <w:pPr>
              <w:spacing w:after="0"/>
              <w:rPr>
                <w:sz w:val="18"/>
                <w:szCs w:val="18"/>
                <w:color w:val="auto"/>
              </w:rPr>
            </w:pPr>
          </w:p>
        </w:tc>
      </w:tr>
      <w:tr>
        <w:trPr>
          <w:trHeight w:val="203"/>
        </w:trPr>
        <w:tc>
          <w:tcPr>
            <w:tcW w:w="51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2019</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Expected life (years)</w:t>
            </w:r>
          </w:p>
        </w:tc>
        <w:tc>
          <w:tcPr>
            <w:tcW w:w="14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 free interest rate for expected life</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2.46 %</w:t>
            </w:r>
          </w:p>
        </w:tc>
      </w:tr>
      <w:tr>
        <w:trPr>
          <w:trHeight w:val="222"/>
        </w:trPr>
        <w:tc>
          <w:tcPr>
            <w:tcW w:w="5180" w:type="dxa"/>
            <w:vAlign w:val="bottom"/>
          </w:tcPr>
          <w:p>
            <w:pPr>
              <w:ind w:left="20"/>
              <w:spacing w:after="0"/>
              <w:rPr>
                <w:sz w:val="20"/>
                <w:szCs w:val="20"/>
                <w:color w:val="auto"/>
              </w:rPr>
            </w:pPr>
            <w:r>
              <w:rPr>
                <w:rFonts w:ascii="Arial" w:cs="Arial" w:eastAsia="Arial" w:hAnsi="Arial"/>
                <w:sz w:val="17"/>
                <w:szCs w:val="17"/>
                <w:color w:val="auto"/>
              </w:rPr>
              <w:t>Volatility for expected life</w:t>
            </w:r>
          </w:p>
        </w:tc>
        <w:tc>
          <w:tcPr>
            <w:tcW w:w="1420" w:type="dxa"/>
            <w:vAlign w:val="bottom"/>
          </w:tcPr>
          <w:p>
            <w:pPr>
              <w:jc w:val="right"/>
              <w:spacing w:after="0"/>
              <w:rPr>
                <w:sz w:val="20"/>
                <w:szCs w:val="20"/>
                <w:color w:val="auto"/>
              </w:rPr>
            </w:pPr>
            <w:r>
              <w:rPr>
                <w:rFonts w:ascii="Arial" w:cs="Arial" w:eastAsia="Arial" w:hAnsi="Arial"/>
                <w:sz w:val="17"/>
                <w:szCs w:val="17"/>
                <w:color w:val="auto"/>
              </w:rPr>
              <w:t>65.24 %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34.30 %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20.52 %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ind w:left="80"/>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Performance restricted stock unit activity under the Company’s stock plans is shown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1680" w:type="dxa"/>
            <w:vAlign w:val="bottom"/>
            <w:gridSpan w:val="4"/>
          </w:tcPr>
          <w:p>
            <w:pPr>
              <w:ind w:left="160"/>
              <w:spacing w:after="0"/>
              <w:rPr>
                <w:sz w:val="20"/>
                <w:szCs w:val="20"/>
                <w:color w:val="auto"/>
              </w:rPr>
            </w:pPr>
            <w:r>
              <w:rPr>
                <w:rFonts w:ascii="Arial" w:cs="Arial" w:eastAsia="Arial" w:hAnsi="Arial"/>
                <w:sz w:val="16"/>
                <w:szCs w:val="16"/>
                <w:b w:val="1"/>
                <w:bCs w:val="1"/>
                <w:color w:val="auto"/>
                <w:w w:val="84"/>
              </w:rPr>
              <w:t>Revenue Based PRSUs</w:t>
            </w:r>
          </w:p>
        </w:tc>
        <w:tc>
          <w:tcPr>
            <w:tcW w:w="1040" w:type="dxa"/>
            <w:vAlign w:val="bottom"/>
          </w:tcPr>
          <w:p>
            <w:pPr>
              <w:spacing w:after="0"/>
              <w:rPr>
                <w:sz w:val="18"/>
                <w:szCs w:val="18"/>
                <w:color w:val="auto"/>
              </w:rPr>
            </w:pPr>
          </w:p>
        </w:tc>
        <w:tc>
          <w:tcPr>
            <w:tcW w:w="3000" w:type="dxa"/>
            <w:vAlign w:val="bottom"/>
            <w:gridSpan w:val="4"/>
          </w:tcPr>
          <w:p>
            <w:pPr>
              <w:jc w:val="right"/>
              <w:ind w:right="714"/>
              <w:spacing w:after="0"/>
              <w:rPr>
                <w:sz w:val="20"/>
                <w:szCs w:val="20"/>
                <w:color w:val="auto"/>
              </w:rPr>
            </w:pPr>
            <w:r>
              <w:rPr>
                <w:rFonts w:ascii="Arial" w:cs="Arial" w:eastAsia="Arial" w:hAnsi="Arial"/>
                <w:sz w:val="16"/>
                <w:szCs w:val="16"/>
                <w:b w:val="1"/>
                <w:bCs w:val="1"/>
                <w:color w:val="auto"/>
                <w:w w:val="90"/>
              </w:rPr>
              <w:t>Market Condition Based PRSUs</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8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480" w:type="dxa"/>
            <w:vAlign w:val="bottom"/>
            <w:gridSpan w:val="2"/>
            <w:vMerge w:val="restart"/>
          </w:tcPr>
          <w:p>
            <w:pPr>
              <w:ind w:left="4760"/>
              <w:spacing w:after="0"/>
              <w:rPr>
                <w:sz w:val="20"/>
                <w:szCs w:val="20"/>
                <w:color w:val="auto"/>
              </w:rPr>
            </w:pPr>
            <w:r>
              <w:rPr>
                <w:rFonts w:ascii="Arial" w:cs="Arial" w:eastAsia="Arial" w:hAnsi="Arial"/>
                <w:sz w:val="16"/>
                <w:szCs w:val="16"/>
                <w:b w:val="1"/>
                <w:bCs w:val="1"/>
                <w:color w:val="auto"/>
              </w:rPr>
              <w:t>Number</w:t>
            </w:r>
          </w:p>
        </w:tc>
        <w:tc>
          <w:tcPr>
            <w:tcW w:w="2080" w:type="dxa"/>
            <w:vAlign w:val="bottom"/>
            <w:gridSpan w:val="4"/>
          </w:tcPr>
          <w:p>
            <w:pPr>
              <w:jc w:val="right"/>
              <w:ind w:right="394"/>
              <w:spacing w:after="0" w:line="154" w:lineRule="exact"/>
              <w:rPr>
                <w:sz w:val="20"/>
                <w:szCs w:val="20"/>
                <w:color w:val="auto"/>
              </w:rPr>
            </w:pPr>
            <w:r>
              <w:rPr>
                <w:rFonts w:ascii="Arial" w:cs="Arial" w:eastAsia="Arial" w:hAnsi="Arial"/>
                <w:sz w:val="16"/>
                <w:szCs w:val="16"/>
                <w:b w:val="1"/>
                <w:bCs w:val="1"/>
                <w:color w:val="auto"/>
              </w:rPr>
              <w:t>Weighted Average</w:t>
            </w:r>
          </w:p>
        </w:tc>
        <w:tc>
          <w:tcPr>
            <w:tcW w:w="100" w:type="dxa"/>
            <w:vAlign w:val="bottom"/>
          </w:tcPr>
          <w:p>
            <w:pPr>
              <w:spacing w:after="0"/>
              <w:rPr>
                <w:sz w:val="13"/>
                <w:szCs w:val="13"/>
                <w:color w:val="auto"/>
              </w:rPr>
            </w:pPr>
          </w:p>
        </w:tc>
        <w:tc>
          <w:tcPr>
            <w:tcW w:w="2900" w:type="dxa"/>
            <w:vAlign w:val="bottom"/>
            <w:gridSpan w:val="3"/>
          </w:tcPr>
          <w:p>
            <w:pPr>
              <w:jc w:val="right"/>
              <w:ind w:right="434"/>
              <w:spacing w:after="0" w:line="154" w:lineRule="exact"/>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7"/>
        </w:trPr>
        <w:tc>
          <w:tcPr>
            <w:tcW w:w="54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234"/>
              <w:spacing w:after="0"/>
              <w:rPr>
                <w:sz w:val="20"/>
                <w:szCs w:val="20"/>
                <w:color w:val="auto"/>
              </w:rPr>
            </w:pPr>
            <w:r>
              <w:rPr>
                <w:rFonts w:ascii="Arial" w:cs="Arial" w:eastAsia="Arial" w:hAnsi="Arial"/>
                <w:sz w:val="16"/>
                <w:szCs w:val="16"/>
                <w:b w:val="1"/>
                <w:bCs w:val="1"/>
                <w:color w:val="auto"/>
                <w:w w:val="91"/>
              </w:rPr>
              <w:t>Fair Value</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Number</w:t>
            </w:r>
          </w:p>
        </w:tc>
        <w:tc>
          <w:tcPr>
            <w:tcW w:w="1400" w:type="dxa"/>
            <w:vAlign w:val="bottom"/>
          </w:tcPr>
          <w:p>
            <w:pPr>
              <w:jc w:val="right"/>
              <w:ind w:right="274"/>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9"/>
        </w:trPr>
        <w:tc>
          <w:tcPr>
            <w:tcW w:w="4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at December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105,891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72.33</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$105,869</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97.84</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121,180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119.80</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w w:val="95"/>
              </w:rPr>
              <w:t>upon final determination of level of performance goal achievement*</w:t>
            </w: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(15,134)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45,189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92.13</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(30,062)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64.33</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(90,378)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92.13</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78.34</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(9,818)</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116.50</w:t>
            </w:r>
          </w:p>
        </w:tc>
        <w:tc>
          <w:tcPr>
            <w:tcW w:w="0" w:type="dxa"/>
            <w:vAlign w:val="bottom"/>
          </w:tcPr>
          <w:p>
            <w:pPr>
              <w:spacing w:after="0"/>
              <w:rPr>
                <w:sz w:val="1"/>
                <w:szCs w:val="1"/>
                <w:color w:val="auto"/>
              </w:rPr>
            </w:pPr>
          </w:p>
        </w:tc>
      </w:tr>
      <w:tr>
        <w:trPr>
          <w:trHeight w:val="216"/>
        </w:trPr>
        <w:tc>
          <w:tcPr>
            <w:tcW w:w="4840" w:type="dxa"/>
            <w:vAlign w:val="bottom"/>
          </w:tcPr>
          <w:p>
            <w:pPr>
              <w:ind w:left="40"/>
              <w:spacing w:after="0"/>
              <w:rPr>
                <w:sz w:val="20"/>
                <w:szCs w:val="20"/>
                <w:color w:val="auto"/>
              </w:rPr>
            </w:pPr>
            <w:r>
              <w:rPr>
                <w:rFonts w:ascii="Arial" w:cs="Arial" w:eastAsia="Arial" w:hAnsi="Arial"/>
                <w:sz w:val="17"/>
                <w:szCs w:val="17"/>
                <w:color w:val="auto"/>
              </w:rPr>
              <w:t>at December 31, 2021</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58,864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78.29</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$172,042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113.74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80" w:firstLine="398"/>
        <w:spacing w:after="0" w:line="289" w:lineRule="auto"/>
        <w:tabs>
          <w:tab w:leader="none" w:pos="604" w:val="left"/>
        </w:tabs>
        <w:numPr>
          <w:ilvl w:val="0"/>
          <w:numId w:val="47"/>
        </w:numPr>
        <w:rPr>
          <w:rFonts w:ascii="Arial" w:cs="Arial" w:eastAsia="Arial" w:hAnsi="Arial"/>
          <w:sz w:val="16"/>
          <w:szCs w:val="16"/>
          <w:i w:val="1"/>
          <w:iCs w:val="1"/>
          <w:color w:val="auto"/>
        </w:rPr>
      </w:pPr>
      <w:r>
        <w:rPr>
          <w:rFonts w:ascii="Arial" w:cs="Arial" w:eastAsia="Arial" w:hAnsi="Arial"/>
          <w:sz w:val="17"/>
          <w:szCs w:val="17"/>
          <w:color w:val="auto"/>
        </w:rPr>
        <w:t>Represents adjustment of shares vested in respect of PUs and MUs granted in February 2019 upon achievement of the performance targets for such awards for which the underlying common stock was issued subsequent to December 31, 2021.</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2021, unrecognized compensation cost of $12,964 is expected to be expensed over a weighted average period of 1.7 years.</w:t>
      </w:r>
    </w:p>
    <w:p>
      <w:pPr>
        <w:spacing w:after="0" w:line="183" w:lineRule="exact"/>
        <w:rPr>
          <w:sz w:val="20"/>
          <w:szCs w:val="20"/>
          <w:color w:val="auto"/>
        </w:rPr>
      </w:pPr>
    </w:p>
    <w:p>
      <w:pPr>
        <w:jc w:val="both"/>
        <w:ind w:left="80" w:firstLine="433"/>
        <w:spacing w:after="0" w:line="289" w:lineRule="auto"/>
        <w:rPr>
          <w:sz w:val="20"/>
          <w:szCs w:val="20"/>
          <w:color w:val="auto"/>
        </w:rPr>
      </w:pPr>
      <w:r>
        <w:rPr>
          <w:rFonts w:ascii="Arial" w:cs="Arial" w:eastAsia="Arial" w:hAnsi="Arial"/>
          <w:sz w:val="17"/>
          <w:szCs w:val="17"/>
          <w:color w:val="auto"/>
        </w:rPr>
        <w:t>The impact of COVID-19 on the economic environment is uncertain and has caused variability in the estimation of number of performance based restricted stock units that will eventually vest and the related compensation cost to be recognized in the consolidated statements of income.</w:t>
      </w:r>
    </w:p>
    <w:p>
      <w:pPr>
        <w:spacing w:after="0" w:line="33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23. Impairment and Restructuring Charges</w:t>
      </w:r>
    </w:p>
    <w:p>
      <w:pPr>
        <w:spacing w:after="0" w:line="256" w:lineRule="exact"/>
        <w:rPr>
          <w:sz w:val="20"/>
          <w:szCs w:val="20"/>
          <w:color w:val="auto"/>
        </w:rPr>
      </w:pPr>
    </w:p>
    <w:p>
      <w:pPr>
        <w:jc w:val="both"/>
        <w:ind w:left="80" w:firstLine="472"/>
        <w:spacing w:after="0" w:line="286" w:lineRule="auto"/>
        <w:rPr>
          <w:sz w:val="20"/>
          <w:szCs w:val="20"/>
          <w:color w:val="auto"/>
        </w:rPr>
      </w:pPr>
      <w:r>
        <w:rPr>
          <w:rFonts w:ascii="Arial" w:cs="Arial" w:eastAsia="Arial" w:hAnsi="Arial"/>
          <w:sz w:val="16"/>
          <w:szCs w:val="16"/>
          <w:color w:val="auto"/>
        </w:rPr>
        <w:t>In March 2020, the Company completed the wind down of the operations of the Health Integrated business, which was reported within the former Healthcare reportable segment. The Healthcare reportable segment was based on segment reporting structure that existed prior to the Company's transition to new segment reporting structure effective January 1, 2020, which resulted in certain changes to its reportable segments. During the year ended December 31, 2019, in connection with the wind down process, the Company recorded pre-tax costs in the consolidated statements of income under “Impairment and restructuring charges,” and paid for the wind down during the years ended December 31, 2020 and 2019.</w:t>
      </w:r>
    </w:p>
    <w:p>
      <w:pPr>
        <w:spacing w:after="0" w:line="34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24. Related Party Disclosures</w:t>
      </w:r>
    </w:p>
    <w:p>
      <w:pPr>
        <w:spacing w:after="0" w:line="151" w:lineRule="exact"/>
        <w:rPr>
          <w:sz w:val="20"/>
          <w:szCs w:val="20"/>
          <w:color w:val="auto"/>
        </w:rPr>
      </w:pPr>
    </w:p>
    <w:p>
      <w:pPr>
        <w:jc w:val="both"/>
        <w:ind w:left="80" w:firstLine="433"/>
        <w:spacing w:after="0" w:line="237" w:lineRule="auto"/>
        <w:rPr>
          <w:sz w:val="20"/>
          <w:szCs w:val="20"/>
          <w:color w:val="auto"/>
        </w:rPr>
      </w:pPr>
      <w:r>
        <w:rPr>
          <w:rFonts w:ascii="Arial" w:cs="Arial" w:eastAsia="Arial" w:hAnsi="Arial"/>
          <w:sz w:val="17"/>
          <w:szCs w:val="17"/>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 The Company settled the Notes on August 27, 2021. Refer to Note 17 - Borrowings to the consolidated financial statements for further details.</w:t>
      </w:r>
    </w:p>
    <w:p>
      <w:pPr>
        <w:spacing w:after="0" w:line="133" w:lineRule="exact"/>
        <w:rPr>
          <w:sz w:val="20"/>
          <w:szCs w:val="20"/>
          <w:color w:val="auto"/>
        </w:rPr>
      </w:pPr>
    </w:p>
    <w:p>
      <w:pPr>
        <w:jc w:val="both"/>
        <w:ind w:left="80" w:firstLine="433"/>
        <w:spacing w:after="0" w:line="289" w:lineRule="auto"/>
        <w:rPr>
          <w:sz w:val="20"/>
          <w:szCs w:val="20"/>
          <w:color w:val="auto"/>
        </w:rPr>
      </w:pPr>
      <w:r>
        <w:rPr>
          <w:rFonts w:ascii="Arial" w:cs="Arial" w:eastAsia="Arial" w:hAnsi="Arial"/>
          <w:sz w:val="17"/>
          <w:szCs w:val="17"/>
          <w:color w:val="auto"/>
        </w:rPr>
        <w:t>The principal amount outstanding for the Notes was $150,000 as of December 31, 2020, and interest accrued of $1,313 as of December 31, 2020, related to the Investment Agreement.</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transactions with the Purchaser were recognized by the Company in connection with the Notes: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71120</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50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Year ended December 31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16"/>
        </w:trPr>
        <w:tc>
          <w:tcPr>
            <w:tcW w:w="5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393"/>
              <w:spacing w:after="0"/>
              <w:rPr>
                <w:sz w:val="20"/>
                <w:szCs w:val="20"/>
                <w:color w:val="auto"/>
              </w:rPr>
            </w:pPr>
            <w:r>
              <w:rPr>
                <w:rFonts w:ascii="Arial" w:cs="Arial" w:eastAsia="Arial" w:hAnsi="Arial"/>
                <w:sz w:val="17"/>
                <w:szCs w:val="17"/>
                <w:b w:val="1"/>
                <w:bCs w:val="1"/>
                <w:color w:val="auto"/>
              </w:rPr>
              <w:t>2021</w:t>
            </w:r>
          </w:p>
        </w:tc>
        <w:tc>
          <w:tcPr>
            <w:tcW w:w="720" w:type="dxa"/>
            <w:vAlign w:val="bottom"/>
          </w:tcPr>
          <w:p>
            <w:pPr>
              <w:spacing w:after="0"/>
              <w:rPr>
                <w:sz w:val="18"/>
                <w:szCs w:val="18"/>
                <w:color w:val="auto"/>
              </w:rPr>
            </w:pPr>
          </w:p>
        </w:tc>
        <w:tc>
          <w:tcPr>
            <w:tcW w:w="1320" w:type="dxa"/>
            <w:vAlign w:val="bottom"/>
          </w:tcPr>
          <w:p>
            <w:pPr>
              <w:jc w:val="right"/>
              <w:ind w:right="733"/>
              <w:spacing w:after="0"/>
              <w:rPr>
                <w:sz w:val="20"/>
                <w:szCs w:val="20"/>
                <w:color w:val="auto"/>
              </w:rPr>
            </w:pPr>
            <w:r>
              <w:rPr>
                <w:rFonts w:ascii="Arial" w:cs="Arial" w:eastAsia="Arial" w:hAnsi="Arial"/>
                <w:sz w:val="17"/>
                <w:szCs w:val="17"/>
                <w:b w:val="1"/>
                <w:bCs w:val="1"/>
                <w:color w:val="auto"/>
              </w:rPr>
              <w:t>2020</w:t>
            </w:r>
          </w:p>
        </w:tc>
        <w:tc>
          <w:tcPr>
            <w:tcW w:w="340" w:type="dxa"/>
            <w:vAlign w:val="bottom"/>
          </w:tcPr>
          <w:p>
            <w:pPr>
              <w:spacing w:after="0"/>
              <w:rPr>
                <w:sz w:val="18"/>
                <w:szCs w:val="18"/>
                <w:color w:val="auto"/>
              </w:rPr>
            </w:pPr>
          </w:p>
        </w:tc>
        <w:tc>
          <w:tcPr>
            <w:tcW w:w="920" w:type="dxa"/>
            <w:vAlign w:val="bottom"/>
          </w:tcPr>
          <w:p>
            <w:pPr>
              <w:jc w:val="right"/>
              <w:ind w:right="333"/>
              <w:spacing w:after="0"/>
              <w:rPr>
                <w:sz w:val="20"/>
                <w:szCs w:val="20"/>
                <w:color w:val="auto"/>
              </w:rPr>
            </w:pPr>
            <w:r>
              <w:rPr>
                <w:rFonts w:ascii="Arial" w:cs="Arial" w:eastAsia="Arial" w:hAnsi="Arial"/>
                <w:sz w:val="17"/>
                <w:szCs w:val="17"/>
                <w:b w:val="1"/>
                <w:bCs w:val="1"/>
                <w:color w:val="auto"/>
              </w:rPr>
              <w:t>2019</w:t>
            </w:r>
          </w:p>
        </w:tc>
      </w:tr>
      <w:tr>
        <w:trPr>
          <w:trHeight w:val="223"/>
        </w:trPr>
        <w:tc>
          <w:tcPr>
            <w:tcW w:w="5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Repayment of Notes in cash</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200,000</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060" w:type="dxa"/>
            <w:vAlign w:val="bottom"/>
          </w:tcPr>
          <w:p>
            <w:pPr>
              <w:ind w:left="440"/>
              <w:spacing w:after="0"/>
              <w:rPr>
                <w:sz w:val="20"/>
                <w:szCs w:val="20"/>
                <w:color w:val="auto"/>
              </w:rPr>
            </w:pPr>
            <w:r>
              <w:rPr>
                <w:rFonts w:ascii="Arial" w:cs="Arial" w:eastAsia="Arial" w:hAnsi="Arial"/>
                <w:sz w:val="17"/>
                <w:szCs w:val="17"/>
                <w:color w:val="auto"/>
              </w:rPr>
              <w:t>Issuance of shares of the Company's common stock</w:t>
            </w:r>
          </w:p>
        </w:tc>
        <w:tc>
          <w:tcPr>
            <w:tcW w:w="70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36,742</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33"/>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Interest expense on the Notes</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3,442</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5,250</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5,206</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Commitments and Contingencies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Commitments</w:t>
      </w:r>
    </w:p>
    <w:p>
      <w:pPr>
        <w:spacing w:after="0" w:line="172"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At December 31, 2021 and 2020, the Company had committed to spend approximately $8,100 and $6,100 under agreements to purchase property and equipment. This amount is net of capital advances paid which are recognized in consolidated balance sheets as “Capital work in progress” under “Property and equipment, net.”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7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Certain units of the Company’s Indian subsidiaries were established as 100% Export-Oriented units or under the STPI or SEZ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114"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5"/>
          <w:szCs w:val="15"/>
          <w:color w:val="auto"/>
        </w:rPr>
        <w:t>The Company’s operations centers in the Philippines are registered with the Philippine Economic Zone Authority. The registration provides the Company with certain fiscal incentives on the import of capital goods and local purchase of services and materials and requires ExlService Philippines, Inc. to meet certain performance and investment criteria. The Company believes that these centers have in the past satisfied and will continue to satisfy the required criteria.</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72" w:lineRule="exact"/>
        <w:rPr>
          <w:sz w:val="20"/>
          <w:szCs w:val="20"/>
          <w:color w:val="auto"/>
        </w:rPr>
      </w:pPr>
    </w:p>
    <w:p>
      <w:pPr>
        <w:jc w:val="both"/>
        <w:ind w:firstLine="433"/>
        <w:spacing w:after="0" w:line="283" w:lineRule="auto"/>
        <w:rPr>
          <w:sz w:val="20"/>
          <w:szCs w:val="20"/>
          <w:color w:val="auto"/>
        </w:rPr>
      </w:pPr>
      <w:r>
        <w:rPr>
          <w:rFonts w:ascii="Arial" w:cs="Arial" w:eastAsia="Arial" w:hAnsi="Arial"/>
          <w:sz w:val="16"/>
          <w:szCs w:val="16"/>
          <w:color w:val="auto"/>
        </w:rPr>
        <w:t>Transfer pricing regulations generally require that any controlled intercompany transactions involving related entities be at an arm’s-length price. Accordingly, the Company determines the appropriate transfer prices for transactions among its related entities on the basis of a detailed functional and economic analysis involving benchmarking against transactions among unrelated entities. Tax authorities have jurisdiction to review transfer pricing results, and in the event that they determine that the transfer price applied was not appropriate, the Company may incur additional tax, interest and penalties. The Company is currently involved in transfer pricing disputes with Indian tax authorities regarding transactions with some of its related entities. In addition, the Company and a U.S. subsidiary are engaged in tax litigation with Indian tax authorities regarding a permanent establishment matter.</w:t>
      </w:r>
    </w:p>
    <w:p>
      <w:pPr>
        <w:spacing w:after="0" w:line="115" w:lineRule="exact"/>
        <w:rPr>
          <w:sz w:val="20"/>
          <w:szCs w:val="20"/>
          <w:color w:val="auto"/>
        </w:rPr>
      </w:pPr>
    </w:p>
    <w:p>
      <w:pPr>
        <w:jc w:val="both"/>
        <w:ind w:firstLine="433"/>
        <w:spacing w:after="0" w:line="283" w:lineRule="auto"/>
        <w:rPr>
          <w:sz w:val="20"/>
          <w:szCs w:val="20"/>
          <w:color w:val="auto"/>
        </w:rPr>
      </w:pPr>
      <w:r>
        <w:rPr>
          <w:rFonts w:ascii="Arial" w:cs="Arial" w:eastAsia="Arial" w:hAnsi="Arial"/>
          <w:sz w:val="16"/>
          <w:szCs w:val="16"/>
          <w:color w:val="auto"/>
        </w:rPr>
        <w:t>The aggregate amount demanded by Indian tax authorities (net of advance payments) from the Company related to its transfer pricing and other corporate tax issues for tax years 2003 to 2019 and its permanent establishment issues for tax years 2003 to 2006 as of December 31, 2021 and 2020 is $34,276 and $16,748, respectively. The Company has made payments and/or provided bank guarantees against these demands in the amounts of $7,954 and $8,120, respectively. Amounts paid as deposits in respect of such assessments aggregating to $6,172 and $6,307 as of December 31, 2021 and 2020, respectively, are included in “Other assets” and amounts deposited for bank guarantees aggregating to $1,782 and $1,813 as of December 31, 2021 and 2020, respectively, are included in “Restricted cash” in the non-current assets section of the Company’s consolidated balance sheets.</w:t>
      </w:r>
    </w:p>
    <w:p>
      <w:pPr>
        <w:spacing w:after="0" w:line="115"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consolidated financial statements.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FF"/>
        </w:rPr>
      </w:pPr>
      <w:hyperlink w:anchor="page2">
        <w:r>
          <w:rPr>
            <w:rFonts w:ascii="Arial" w:cs="Arial" w:eastAsia="Arial" w:hAnsi="Arial"/>
            <w:sz w:val="17"/>
            <w:szCs w:val="17"/>
            <w:b w:val="1"/>
            <w:bCs w:val="1"/>
            <w:u w:val="single" w:color="auto"/>
            <w:color w:val="0000FF"/>
          </w:rPr>
          <w:t>Table of Contents</w:t>
        </w:r>
      </w:hyperlink>
    </w:p>
    <w:p>
      <w:pPr>
        <w:spacing w:after="0" w:line="32"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EXLSERVICE HOLDINGS, INC.</w:t>
      </w:r>
    </w:p>
    <w:p>
      <w:pPr>
        <w:spacing w:after="0" w:line="101"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NOTES TO CONSOLIDATED FINANCIAL STATEMENTS—(continued)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India’s Value Added Tax ("VAT") regime ended in June 2017 and was replaced by the current Goods and Service Tax regime. Pursuant to reviewing the Company’s annual VAT filings, the Indian tax authorities raised aggregate VAT tax demands for tax years 2015 and 2017 in the amount $6,387. Beginning in the first quarter of 2020, the GST authorities began to reject the Company’s GST refunds in the amount of $3,322, and additional refunds may be denied. The Company has filed appeals against these matters and believes that it is more likely than not that upon final examination its position will be sustained based on its technical merits. Accordingly, no reserve has been provided as of December 31, 2021.</w:t>
      </w:r>
    </w:p>
    <w:p>
      <w:pPr>
        <w:spacing w:after="0" w:line="127"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In February 2019, there was a judicial pronouncement in India with respect to defined social security contribution benefits payments interpreting certain statutory defined contribution obligations of employees and employers. Currently some of the Company's subsidiaries in India are undergoing assessment with the statutory authorities. As of the reporting date,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The Company will continue to monitor and evaluate its position based on future events and developments in this matter for the implications on the financial statements, if any.</w:t>
      </w:r>
    </w:p>
    <w:p>
      <w:pPr>
        <w:spacing w:after="0" w:line="129" w:lineRule="exact"/>
        <w:rPr>
          <w:sz w:val="20"/>
          <w:szCs w:val="20"/>
          <w:color w:val="auto"/>
        </w:rPr>
      </w:pPr>
    </w:p>
    <w:p>
      <w:pPr>
        <w:jc w:val="both"/>
        <w:ind w:firstLine="433"/>
        <w:spacing w:after="0" w:line="281" w:lineRule="auto"/>
        <w:rPr>
          <w:sz w:val="20"/>
          <w:szCs w:val="20"/>
          <w:color w:val="auto"/>
        </w:rPr>
      </w:pPr>
      <w:r>
        <w:rPr>
          <w:rFonts w:ascii="Arial" w:cs="Arial" w:eastAsia="Arial" w:hAnsi="Arial"/>
          <w:sz w:val="16"/>
          <w:szCs w:val="16"/>
          <w:color w:val="auto"/>
        </w:rPr>
        <w:t>In September 2020, the Indian Parliament passed various consolidating labor codes, including the Code on Social Security, 2020 (the “Indian Social Security Code”) which aims to rationalize labor laws. The Indian Social Security 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amongst others.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 financial statements in the period in which, the Indian Social Security Code becomes effective and the related rules to determine the financial impact are published.</w:t>
      </w:r>
    </w:p>
    <w:p>
      <w:pPr>
        <w:spacing w:after="0" w:line="118"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From time to time, the Company, its subsidiaries, and/or their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127"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color w:val="auto"/>
        </w:rPr>
        <w:t>Exhibit 21.1</w:t>
      </w:r>
    </w:p>
    <w:p>
      <w:pPr>
        <w:spacing w:after="0" w:line="2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Subsidiaries of the Registrant</w:t>
      </w:r>
    </w:p>
    <w:p>
      <w:pPr>
        <w:sectPr>
          <w:pgSz w:w="11900" w:h="16838" w:orient="portrait"/>
          <w:cols w:equalWidth="0" w:num="1">
            <w:col w:w="10120"/>
          </w:cols>
          <w:pgMar w:left="1440" w:top="638" w:right="339" w:bottom="1440" w:gutter="0" w:footer="0" w:header="0"/>
        </w:sectPr>
      </w:pPr>
    </w:p>
    <w:p>
      <w:pPr>
        <w:spacing w:after="0" w:line="6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Name of Subsidiary</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Jurisdiction</w:t>
      </w:r>
    </w:p>
    <w:p>
      <w:pPr>
        <w:spacing w:after="0" w:line="83" w:lineRule="exact"/>
        <w:rPr>
          <w:sz w:val="20"/>
          <w:szCs w:val="20"/>
          <w:color w:val="auto"/>
        </w:rPr>
      </w:pPr>
    </w:p>
    <w:p>
      <w:pPr>
        <w:sectPr>
          <w:pgSz w:w="11900" w:h="16838" w:orient="portrait"/>
          <w:cols w:equalWidth="0" w:num="2">
            <w:col w:w="5720" w:space="720"/>
            <w:col w:w="3680"/>
          </w:cols>
          <w:pgMar w:left="1440" w:top="638"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Kogni LLC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Australia Pty Ltd.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Bulgaria EAD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IQR Consulting, LLC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Clairvoyant Inc.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Canada Inc.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Colombia S.A.S.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Czech Republic S.R.O.</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Business Process Outsourcing, LLC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Clairvoyant AI Inc.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Technology Solutions, LLC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ExlService.com, LLC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Outsource Partners International, Inc.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Overland Solutions, LLC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Germany GmbH</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5"/>
          <w:szCs w:val="15"/>
          <w:color w:val="auto"/>
        </w:rPr>
        <w:t>Business Process Solutions (India) Private Limited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Clairvoyant India Private Ltd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 Service.com (India) Private Limited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Inductis (India) Private Limited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IQR Analytics Private Limited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Outsource partners International Private Limited</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SCIOinspire Consulting Services (India) Pvt Ltd.</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Business Process Outsourcing Ltd.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Mauritius Limited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OPI Limited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 Mexico, S. de R.L. de C.V.</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Philippines, Inc.</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Romania Private Limited S.R.L.</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Inductis (Singapore) PTE Limited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 Analytics SA (Pty) Ltd.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South Africa (Pty) Ltd.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Switzerland GmbH</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ExlService (U.K.) Limited</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SCIO Health Analytics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Arizona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Australia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Bulgaria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California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Colombia</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Mauritius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Mauritius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Mauritius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Philippines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Romania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ectPr>
          <w:pgSz w:w="11900" w:h="16838" w:orient="portrait"/>
          <w:cols w:equalWidth="0" w:num="2">
            <w:col w:w="5720" w:space="720"/>
            <w:col w:w="3680"/>
          </w:cols>
          <w:pgMar w:left="1440" w:top="638" w:right="3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consent to the incorporation by reference in Registration Statement Nos. 333-229967 and 333-179098 on Form S-3 and Nos. 333-139211; 333-157076; 333-206022; and 333-226527 on Form S-8 of our reports dated February 24, 2022, relating to the consolidated financial statements of ExlService Holdings, Inc., and the effectiveness of ExlService Holdings, Inc.’s internal control over financial reporting, appearing in this Annual Report on Form 10-K of ExlService Holdings, Inc.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2022</w:t>
      </w:r>
    </w:p>
    <w:p>
      <w:pPr>
        <w:sectPr>
          <w:pgSz w:w="11900" w:h="16838" w:orient="portrait"/>
          <w:cols w:equalWidth="0" w:num="1">
            <w:col w:w="11240"/>
          </w:cols>
          <w:pgMar w:left="320" w:top="86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Rohit Kapoor, certify that:</w:t>
      </w:r>
    </w:p>
    <w:p>
      <w:pPr>
        <w:spacing w:after="0" w:line="224" w:lineRule="exact"/>
        <w:rPr>
          <w:sz w:val="20"/>
          <w:szCs w:val="20"/>
          <w:color w:val="auto"/>
        </w:rPr>
      </w:pPr>
    </w:p>
    <w:p>
      <w:pPr>
        <w:ind w:left="400" w:hanging="395"/>
        <w:spacing w:after="0"/>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 have reviewed this annual report of ExlService Holdings, Inc. for the year ended December 31, 2021;</w:t>
      </w:r>
    </w:p>
    <w:p>
      <w:pPr>
        <w:spacing w:after="0" w:line="224" w:lineRule="exact"/>
        <w:rPr>
          <w:rFonts w:ascii="Arial" w:cs="Arial" w:eastAsia="Arial" w:hAnsi="Arial"/>
          <w:sz w:val="17"/>
          <w:szCs w:val="17"/>
          <w:color w:val="auto"/>
        </w:rPr>
      </w:pPr>
    </w:p>
    <w:p>
      <w:pPr>
        <w:ind w:left="400" w:right="180" w:hanging="395"/>
        <w:spacing w:after="0" w:line="360" w:lineRule="auto"/>
        <w:tabs>
          <w:tab w:leader="none" w:pos="4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400" w:right="640" w:hanging="395"/>
        <w:spacing w:after="0" w:line="289" w:lineRule="auto"/>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400" w:right="120" w:hanging="395"/>
        <w:spacing w:after="0" w:line="273" w:lineRule="auto"/>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720" w:right="120" w:hanging="322"/>
        <w:spacing w:after="0" w:line="273" w:lineRule="auto"/>
        <w:tabs>
          <w:tab w:leader="none" w:pos="717"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720" w:right="100" w:hanging="322"/>
        <w:spacing w:after="0" w:line="273" w:lineRule="auto"/>
        <w:tabs>
          <w:tab w:leader="none" w:pos="714"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720" w:right="160" w:hanging="322"/>
        <w:spacing w:after="0" w:line="289" w:lineRule="auto"/>
        <w:tabs>
          <w:tab w:leader="none" w:pos="717"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720" w:right="20" w:hanging="322"/>
        <w:spacing w:after="0" w:line="273" w:lineRule="auto"/>
        <w:tabs>
          <w:tab w:leader="none" w:pos="714"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400" w:right="560" w:hanging="395"/>
        <w:spacing w:after="0" w:line="322" w:lineRule="auto"/>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720" w:right="80" w:hanging="322"/>
        <w:spacing w:after="0" w:line="289" w:lineRule="auto"/>
        <w:tabs>
          <w:tab w:leader="none" w:pos="717"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720" w:right="120" w:hanging="322"/>
        <w:spacing w:after="0" w:line="289" w:lineRule="auto"/>
        <w:tabs>
          <w:tab w:leader="none" w:pos="714" w:val="left"/>
        </w:tabs>
        <w:numPr>
          <w:ilvl w:val="1"/>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100" w:type="dxa"/>
            <w:vAlign w:val="bottom"/>
          </w:tcPr>
          <w:p>
            <w:pPr>
              <w:spacing w:after="0"/>
              <w:rPr>
                <w:sz w:val="20"/>
                <w:szCs w:val="20"/>
                <w:color w:val="auto"/>
              </w:rPr>
            </w:pPr>
            <w:r>
              <w:rPr>
                <w:rFonts w:ascii="Arial" w:cs="Arial" w:eastAsia="Arial" w:hAnsi="Arial"/>
                <w:sz w:val="17"/>
                <w:szCs w:val="17"/>
                <w:color w:val="auto"/>
              </w:rPr>
              <w:t>February 24, 2022</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Rohit Kapoor</w:t>
            </w:r>
          </w:p>
        </w:tc>
      </w:tr>
      <w:tr>
        <w:trPr>
          <w:trHeight w:val="216"/>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Rohit Kapoor</w:t>
            </w:r>
          </w:p>
        </w:tc>
      </w:tr>
      <w:tr>
        <w:trPr>
          <w:trHeight w:val="223"/>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7"/>
                <w:szCs w:val="17"/>
                <w:color w:val="auto"/>
              </w:rPr>
              <w:t>Vice-Chairman and Chief Executive Officer</w:t>
            </w:r>
          </w:p>
        </w:tc>
      </w:tr>
    </w:tbl>
    <w:p>
      <w:pPr>
        <w:sectPr>
          <w:pgSz w:w="11900" w:h="16838" w:orient="portrait"/>
          <w:cols w:equalWidth="0" w:num="1">
            <w:col w:w="11240"/>
          </w:cols>
          <w:pgMar w:left="320" w:top="868"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Maurizio Nicolelli, certify that:</w:t>
      </w:r>
    </w:p>
    <w:p>
      <w:pPr>
        <w:spacing w:after="0" w:line="342" w:lineRule="exact"/>
        <w:rPr>
          <w:sz w:val="20"/>
          <w:szCs w:val="20"/>
          <w:color w:val="auto"/>
        </w:rPr>
      </w:pPr>
    </w:p>
    <w:p>
      <w:pPr>
        <w:ind w:left="400" w:hanging="395"/>
        <w:spacing w:after="0"/>
        <w:tabs>
          <w:tab w:leader="none" w:pos="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annual report of ExlService Holdings, Inc. for the year ended December 31, 2021;</w:t>
      </w:r>
    </w:p>
    <w:p>
      <w:pPr>
        <w:spacing w:after="0" w:line="224" w:lineRule="exact"/>
        <w:rPr>
          <w:rFonts w:ascii="Arial" w:cs="Arial" w:eastAsia="Arial" w:hAnsi="Arial"/>
          <w:sz w:val="17"/>
          <w:szCs w:val="17"/>
          <w:color w:val="auto"/>
        </w:rPr>
      </w:pPr>
    </w:p>
    <w:p>
      <w:pPr>
        <w:ind w:left="400" w:right="180" w:hanging="395"/>
        <w:spacing w:after="0" w:line="360" w:lineRule="auto"/>
        <w:tabs>
          <w:tab w:leader="none" w:pos="4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400" w:right="640" w:hanging="395"/>
        <w:spacing w:after="0" w:line="289" w:lineRule="auto"/>
        <w:tabs>
          <w:tab w:leader="none" w:pos="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400" w:right="120" w:hanging="395"/>
        <w:spacing w:after="0" w:line="273" w:lineRule="auto"/>
        <w:tabs>
          <w:tab w:leader="none" w:pos="4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720" w:right="120" w:hanging="322"/>
        <w:spacing w:after="0" w:line="273" w:lineRule="auto"/>
        <w:tabs>
          <w:tab w:leader="none" w:pos="717"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720" w:right="100" w:hanging="322"/>
        <w:spacing w:after="0" w:line="273" w:lineRule="auto"/>
        <w:tabs>
          <w:tab w:leader="none" w:pos="714"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720" w:right="160" w:hanging="322"/>
        <w:spacing w:after="0" w:line="289" w:lineRule="auto"/>
        <w:tabs>
          <w:tab w:leader="none" w:pos="717"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720" w:right="20" w:hanging="322"/>
        <w:spacing w:after="0" w:line="273" w:lineRule="auto"/>
        <w:tabs>
          <w:tab w:leader="none" w:pos="714"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400" w:right="560" w:hanging="395"/>
        <w:spacing w:after="0" w:line="322" w:lineRule="auto"/>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720" w:right="80" w:hanging="322"/>
        <w:spacing w:after="0" w:line="289" w:lineRule="auto"/>
        <w:tabs>
          <w:tab w:leader="none" w:pos="717"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720" w:right="120" w:hanging="322"/>
        <w:spacing w:after="0" w:line="289" w:lineRule="auto"/>
        <w:tabs>
          <w:tab w:leader="none" w:pos="714"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5800" w:type="dxa"/>
            <w:vAlign w:val="bottom"/>
          </w:tcPr>
          <w:p>
            <w:pPr>
              <w:spacing w:after="0"/>
              <w:rPr>
                <w:sz w:val="20"/>
                <w:szCs w:val="20"/>
                <w:color w:val="auto"/>
              </w:rPr>
            </w:pPr>
            <w:r>
              <w:rPr>
                <w:rFonts w:ascii="Arial" w:cs="Arial" w:eastAsia="Arial" w:hAnsi="Arial"/>
                <w:sz w:val="17"/>
                <w:szCs w:val="17"/>
                <w:color w:val="auto"/>
              </w:rPr>
              <w:t>February 24,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Maurizio Nicolelli</w:t>
            </w:r>
          </w:p>
        </w:tc>
      </w:tr>
      <w:tr>
        <w:trPr>
          <w:trHeight w:val="216"/>
        </w:trPr>
        <w:tc>
          <w:tcPr>
            <w:tcW w:w="58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7"/>
                <w:szCs w:val="17"/>
                <w:color w:val="auto"/>
              </w:rPr>
              <w:t>Maurizio Nicolelli</w:t>
            </w:r>
          </w:p>
        </w:tc>
      </w:tr>
      <w:tr>
        <w:trPr>
          <w:trHeight w:val="223"/>
        </w:trPr>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68"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Annual Report of ExlService Holdings, Inc. (the “Company”) on Form 10-K for the year ended December 31, 2021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2" w:lineRule="exact"/>
        <w:rPr>
          <w:sz w:val="20"/>
          <w:szCs w:val="20"/>
          <w:color w:val="auto"/>
        </w:rPr>
      </w:pPr>
    </w:p>
    <w:p>
      <w:pPr>
        <w:ind w:left="320" w:hanging="315"/>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1" w:lineRule="exact"/>
        <w:rPr>
          <w:rFonts w:ascii="Arial" w:cs="Arial" w:eastAsia="Arial" w:hAnsi="Arial"/>
          <w:sz w:val="17"/>
          <w:szCs w:val="17"/>
          <w:color w:val="auto"/>
        </w:rPr>
      </w:pPr>
    </w:p>
    <w:p>
      <w:pPr>
        <w:ind w:left="320" w:hanging="315"/>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2788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627888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Rohit Kapoor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Vice-Chairman and Chief Executive Officer</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24, 2022</w:t>
      </w:r>
    </w:p>
    <w:p>
      <w:pPr>
        <w:sectPr>
          <w:pgSz w:w="11900" w:h="16838" w:orient="portrait"/>
          <w:cols w:equalWidth="0" w:num="1">
            <w:col w:w="11240"/>
          </w:cols>
          <w:pgMar w:left="320" w:top="868"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Annual Report of ExlService Holdings, Inc. (the “Company”) on Form 10-K for the year ended December 31, 2021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2" w:lineRule="exact"/>
        <w:rPr>
          <w:sz w:val="20"/>
          <w:szCs w:val="20"/>
          <w:color w:val="auto"/>
        </w:rPr>
      </w:pPr>
    </w:p>
    <w:p>
      <w:pPr>
        <w:ind w:left="320" w:hanging="315"/>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4" w:lineRule="exact"/>
        <w:rPr>
          <w:rFonts w:ascii="Arial" w:cs="Arial" w:eastAsia="Arial" w:hAnsi="Arial"/>
          <w:sz w:val="17"/>
          <w:szCs w:val="17"/>
          <w:color w:val="auto"/>
        </w:rPr>
      </w:pPr>
    </w:p>
    <w:p>
      <w:pPr>
        <w:ind w:left="320" w:hanging="315"/>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48882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4888230"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Maurizio Nicolelli</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24, 2022</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upperLetter"/>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decimal"/>
      <w:start w:val="2"/>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1"/>
    </w:lvl>
    <w:lvl w:ilvl="1">
      <w:lvlJc w:val="left"/>
      <w:lvlText w:val="%2."/>
      <w:numFmt w:val="decimal"/>
      <w:start w:val="2"/>
    </w:lvl>
  </w:abstractNum>
  <w:abstractNum w:abstractNumId="24">
    <w:nsid w:val="5C482A97"/>
    <w:multiLevelType w:val="hybridMultilevel"/>
    <w:lvl w:ilvl="0">
      <w:lvlJc w:val="left"/>
      <w:lvlText w:val="(%1)"/>
      <w:numFmt w:val="lowerLetter"/>
      <w:start w:val="2"/>
    </w:lvl>
    <w:lvl w:ilvl="1">
      <w:lvlJc w:val="left"/>
      <w:lvlText w:val="%2"/>
      <w:numFmt w:val="decimal"/>
      <w:start w:val="1"/>
    </w:lvl>
  </w:abstractNum>
  <w:abstractNum w:abstractNumId="25">
    <w:nsid w:val="2463B9EA"/>
    <w:multiLevelType w:val="hybridMultilevel"/>
    <w:lvl w:ilvl="0">
      <w:lvlJc w:val="left"/>
      <w:lvlText w:val="•"/>
      <w:numFmt w:val="bullet"/>
      <w:start w:val="1"/>
    </w:lvl>
    <w:lvl w:ilvl="1">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lowerLetter"/>
      <w:start w:val="3"/>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1"/>
      <w:numFmt w:val="lowerRoman"/>
      <w:start w:val="1"/>
    </w:lvl>
    <w:lvl w:ilvl="1">
      <w:lvlJc w:val="left"/>
      <w:lvlText w:val="%2)"/>
      <w:numFmt w:val="lowerLetter"/>
      <w:start w:val="2"/>
    </w:lvl>
  </w:abstractNum>
  <w:abstractNum w:abstractNumId="30">
    <w:nsid w:val="153EA438"/>
    <w:multiLevelType w:val="hybridMultilevel"/>
    <w:lvl w:ilvl="0">
      <w:lvlJc w:val="left"/>
      <w:lvlText w:val="%1."/>
      <w:numFmt w:val="lowerRoman"/>
      <w:start w:val="2"/>
    </w:lvl>
    <w:lvl w:ilvl="1">
      <w:lvlJc w:val="left"/>
      <w:lvlText w:val="%2"/>
      <w:numFmt w:val="lowerLetter"/>
      <w:start w:val="1"/>
    </w:lvl>
  </w:abstractNum>
  <w:abstractNum w:abstractNumId="31">
    <w:nsid w:val="3855585C"/>
    <w:multiLevelType w:val="hybridMultilevel"/>
    <w:lvl w:ilvl="0">
      <w:lvlJc w:val="left"/>
      <w:lvlText w:val="%1"/>
      <w:numFmt w:val="lowerLetter"/>
      <w:start w:val="1"/>
    </w:lvl>
    <w:lvl w:ilvl="1">
      <w:lvlJc w:val="left"/>
      <w:lvlText w:val="%2."/>
      <w:numFmt w:val="lowerRoman"/>
      <w:start w:val="1"/>
    </w:lvl>
  </w:abstractNum>
  <w:abstractNum w:abstractNumId="32">
    <w:nsid w:val="70A64E2A"/>
    <w:multiLevelType w:val="hybridMultilevel"/>
    <w:lvl w:ilvl="0">
      <w:lvlJc w:val="left"/>
      <w:lvlText w:val="(%1)"/>
      <w:numFmt w:val="lowerLetter"/>
      <w:start w:val="5"/>
    </w:lvl>
    <w:lvl w:ilvl="1">
      <w:lvlJc w:val="left"/>
      <w:lvlText w:val="%2"/>
      <w:numFmt w:val="lowerRoman"/>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9"/>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
    </w:lvl>
    <w:lvl w:ilvl="1">
      <w:lvlJc w:val="left"/>
      <w:lvlText w:val="%2."/>
      <w:numFmt w:val="decimal"/>
      <w:start w:val="1"/>
    </w:lvl>
  </w:abstractNum>
  <w:abstractNum w:abstractNumId="42">
    <w:nsid w:val="6DE91B18"/>
    <w:multiLevelType w:val="hybridMultilevel"/>
    <w:lvl w:ilvl="0">
      <w:lvlJc w:val="left"/>
      <w:lvlText w:val="%1."/>
      <w:numFmt w:val="decimal"/>
      <w:start w:val="15"/>
    </w:lvl>
    <w:lvl w:ilvl="1">
      <w:lvlJc w:val="left"/>
      <w:lvlText w:val="%2"/>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02"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84" Type="http://schemas.openxmlformats.org/officeDocument/2006/relationships/hyperlink" Target="http://www.sec.gov/Archives/edgar/data/1297989/000119312506214684/dex31.htm" TargetMode="External"/><Relationship Id="rId85" Type="http://schemas.openxmlformats.org/officeDocument/2006/relationships/hyperlink" Target="http://www.sec.gov/Archives/edgar/data/1297989/000104746919002609/a2238453zdef14a.htm#PROP1" TargetMode="External"/><Relationship Id="rId86" Type="http://schemas.openxmlformats.org/officeDocument/2006/relationships/hyperlink" Target="http://www.sec.gov/Archives/edgar/data/1297989/000114420419031504/tv523830_ex3-2.htm" TargetMode="External"/><Relationship Id="rId87" Type="http://schemas.openxmlformats.org/officeDocument/2006/relationships/hyperlink" Target="http://www.sec.gov/Archives/edgar/data/1297989/000119312506214684/dex41.htm" TargetMode="External"/><Relationship Id="rId88" Type="http://schemas.openxmlformats.org/officeDocument/2006/relationships/hyperlink" Target="http://www.sec.gov/Archives/edgar/data/1297989/000114420418052500/tv504132_ex4-1.htm" TargetMode="External"/><Relationship Id="rId89" Type="http://schemas.openxmlformats.org/officeDocument/2006/relationships/hyperlink" Target="https://www.sec.gov/Archives/edgar/data/1297989/000129798920000003/exls-ex43x12312019x10xk.htm" TargetMode="External"/><Relationship Id="rId90" Type="http://schemas.openxmlformats.org/officeDocument/2006/relationships/hyperlink" Target="https://www.sec.gov/Archives/edgar/data/1297989/000129798920000010/exls-ex101x09x30x2020x10xq.htm" TargetMode="External"/><Relationship Id="rId91" Type="http://schemas.openxmlformats.org/officeDocument/2006/relationships/hyperlink" Target="https://www.sec.gov/Archives/edgar/data/1297989/000129798921000004/exls-ex104x12x31x2020x10k.htm" TargetMode="External"/><Relationship Id="rId92" Type="http://schemas.openxmlformats.org/officeDocument/2006/relationships/hyperlink" Target="http://www.sec.gov/Archives/edgar/data/1297989/000129798916000006/exls-ex101x03x31x2016x10xq.htm" TargetMode="External"/><Relationship Id="rId93" Type="http://schemas.openxmlformats.org/officeDocument/2006/relationships/hyperlink" Target="https://www.sec.gov/Archives/edgar/data/1297989/000129798921000004/exls-ex106x12x31x2020x10k.htm" TargetMode="External"/><Relationship Id="rId94" Type="http://schemas.openxmlformats.org/officeDocument/2006/relationships/hyperlink" Target="https://www.sec.gov/Archives/edgar/data/1297989/000129798921000004/exls-ex107x12x31x2020x10k.htm" TargetMode="External"/><Relationship Id="rId95" Type="http://schemas.openxmlformats.org/officeDocument/2006/relationships/hyperlink" Target="http://www.sec.gov/Archives/edgar/data/1297989/000119312506155175/dex1020.htm" TargetMode="External"/><Relationship Id="rId96" Type="http://schemas.openxmlformats.org/officeDocument/2006/relationships/hyperlink" Target="http://www.sec.gov/Archives/edgar/data/1297989/000119312506202168/dex1032.htm" TargetMode="External"/><Relationship Id="rId97" Type="http://schemas.openxmlformats.org/officeDocument/2006/relationships/hyperlink" Target="http://www.sec.gov/Archives/edgar/data/1297989/000119312506208742/dex1038.htm" TargetMode="External"/><Relationship Id="rId98" Type="http://schemas.openxmlformats.org/officeDocument/2006/relationships/hyperlink" Target="http://www.sec.gov/Archives/edgar/data/1297989/000119312506202168/dex1039.htm" TargetMode="External"/><Relationship Id="rId99" Type="http://schemas.openxmlformats.org/officeDocument/2006/relationships/hyperlink" Target="http://www.sec.gov/Archives/edgar/data/1297989/000119312506202168/dex1043.htm" TargetMode="External"/><Relationship Id="rId100" Type="http://schemas.openxmlformats.org/officeDocument/2006/relationships/hyperlink" Target="http://www.sec.gov/Archives/edgar/data/1297989/000119312506208742/dex1046.htm" TargetMode="External"/><Relationship Id="rId101" Type="http://schemas.openxmlformats.org/officeDocument/2006/relationships/hyperlink" Target="http://www.sec.gov/Archives/edgar/data/1297989/000119312509016370/dex46.htm" TargetMode="External"/><Relationship Id="rId103" Type="http://schemas.openxmlformats.org/officeDocument/2006/relationships/hyperlink" Target="http://www.sec.gov/Archives/edgar/data/1297989/000119312514177305/d701173dex101.htm" TargetMode="External"/><Relationship Id="rId104" Type="http://schemas.openxmlformats.org/officeDocument/2006/relationships/hyperlink" Target="http://www.sec.gov/Archives/edgar/data/1297989/000119312515235176/d948602dex101.htm" TargetMode="External"/><Relationship Id="rId105" Type="http://schemas.openxmlformats.org/officeDocument/2006/relationships/hyperlink" Target="http://www.sec.gov/Archives/edgar/data/1297989/000129798916000015/exls-ex101x09x30x2016x10xq.htm" TargetMode="External"/><Relationship Id="rId106" Type="http://schemas.openxmlformats.org/officeDocument/2006/relationships/hyperlink" Target="http://www.sec.gov/Archives/edgar/data/1297989/000129798917000002/exls-ex1040x213116x10k.htm" TargetMode="External"/><Relationship Id="rId107" Type="http://schemas.openxmlformats.org/officeDocument/2006/relationships/hyperlink" Target="http://www.sec.gov/Archives/edgar/data/1297989/000114420418034885/tv496784_ex10-1.htm" TargetMode="External"/><Relationship Id="rId108" Type="http://schemas.openxmlformats.org/officeDocument/2006/relationships/hyperlink" Target="http://www.sec.gov/Archives/edgar/data/1297989/000114420418034885/tv496784_ex10-2.htm" TargetMode="External"/><Relationship Id="rId109" Type="http://schemas.openxmlformats.org/officeDocument/2006/relationships/hyperlink" Target="http://www.sec.gov/Archives/edgar/data/1297989/000114420418034885/tv496784_ex10-3.htm" TargetMode="External"/><Relationship Id="rId110" Type="http://schemas.openxmlformats.org/officeDocument/2006/relationships/hyperlink" Target="http://www.sec.gov/Archives/edgar/data/1297989/000114420418034885/tv496784_ex10-4.htm" TargetMode="External"/><Relationship Id="rId111" Type="http://schemas.openxmlformats.org/officeDocument/2006/relationships/hyperlink" Target="http://www.sec.gov/Archives/edgar/data/1297989/000129798918000002/exls-ex1037x123117x10xk.htm" TargetMode="External"/><Relationship Id="rId112" Type="http://schemas.openxmlformats.org/officeDocument/2006/relationships/hyperlink" Target="http://www.sec.gov/Archives/edgar/data/1297989/000129798919000002/exls-ex1024x12312018x10k.htm" TargetMode="External"/><Relationship Id="rId113" Type="http://schemas.openxmlformats.org/officeDocument/2006/relationships/hyperlink" Target="http://www.sec.gov/Archives/edgar/data/1297989/000114420418052500/tv504132_ex10-2.htm" TargetMode="External"/><Relationship Id="rId114" Type="http://schemas.openxmlformats.org/officeDocument/2006/relationships/hyperlink" Target="https://www.sec.gov/Archives/edgar/data/0001297989/000110465921051962/tm2113375d1_ex10-1.htm" TargetMode="External"/><Relationship Id="rId115" Type="http://schemas.openxmlformats.org/officeDocument/2006/relationships/hyperlink" Target="https://www.sec.gov/Archives/edgar/data/1297989/000110465921110500/tm212635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2022-02-24T16:54:28Z</dcterms:created>
  <dcterms:modified xsi:type="dcterms:W3CDTF">2022-02-24T16:54:28Z</dcterms:modified>
</cp:coreProperties>
</file>