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613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6135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81"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Nicolelli Maurizio</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120"/>
        <w:spacing w:after="0" w:line="383"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20" w:type="dxa"/>
            <w:vAlign w:val="bottom"/>
            <w:tcBorders>
              <w:top w:val="single" w:sz="8" w:color="0000EE"/>
            </w:tcBorders>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ind w:left="14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02/15/2024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Executive Vice President &amp; CFO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8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4,110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141,102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1,618</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30.34</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139,484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02/16/2024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4,855</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144,339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02/16/2024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1,911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30.97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142,428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4,110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02/15/2024</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4,110</w:t>
            </w: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02/15/2033</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220"/>
              <w:spacing w:after="0" w:line="143" w:lineRule="exact"/>
              <w:rPr>
                <w:sz w:val="20"/>
                <w:szCs w:val="20"/>
                <w:color w:val="auto"/>
              </w:rPr>
            </w:pPr>
            <w:r>
              <w:rPr>
                <w:rFonts w:ascii="Times New Roman" w:cs="Times New Roman" w:eastAsia="Times New Roman" w:hAnsi="Times New Roman"/>
                <w:sz w:val="13"/>
                <w:szCs w:val="13"/>
                <w:color w:val="0000FF"/>
              </w:rPr>
              <w:t>12,330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4,855</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02/16/2024</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4,855</w:t>
            </w: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02/16/2032</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260"/>
              <w:spacing w:after="0" w:line="143" w:lineRule="exact"/>
              <w:rPr>
                <w:sz w:val="20"/>
                <w:szCs w:val="20"/>
                <w:color w:val="auto"/>
              </w:rPr>
            </w:pPr>
            <w:r>
              <w:rPr>
                <w:rFonts w:ascii="Times New Roman" w:cs="Times New Roman" w:eastAsia="Times New Roman" w:hAnsi="Times New Roman"/>
                <w:sz w:val="13"/>
                <w:szCs w:val="13"/>
                <w:color w:val="0000FF"/>
              </w:rPr>
              <w:t>9,710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6" w:lineRule="exact"/>
        <w:rPr>
          <w:rFonts w:ascii="Times New Roman" w:cs="Times New Roman" w:eastAsia="Times New Roman" w:hAnsi="Times New Roman"/>
          <w:sz w:val="13"/>
          <w:szCs w:val="13"/>
          <w:color w:val="008000"/>
        </w:rPr>
      </w:pPr>
    </w:p>
    <w:p>
      <w:pPr>
        <w:jc w:val="both"/>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2023, the reporting person was granted 3,288 (pre-split) restricted stock units, vesting in four equal annual installments beginning on the first anniversary of the grant date. 25 percent of the restricted stock units became vested on February 15, 2024, an additional 25 percent of the restricted stock units will vest on February 15, 2025, an additional 25 percent of the restricted stock units will vest on February 15, 2026, and the remaining balance of 25 percent of the restricted stock units will vest on February 15, 2027.</w:t>
      </w:r>
    </w:p>
    <w:p>
      <w:pPr>
        <w:spacing w:after="0" w:line="26"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3,884 (pre-split) restricted stock units, vesting in four equal annual installments beginning on the first anniversary of the grant date. 25 percent of the restricted stock units became vested on February 16, 2023, an additional 25 percent of the restricted stock units became vested on February 16, 2024, an additional 25 percent of the restricted stock units will vest on February 16, 2025, and the remaining balance of 25 of the restricted stock units will vest on February 16, 2026.</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7265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2024-02-20T17:15:15Z</dcterms:created>
  <dcterms:modified xsi:type="dcterms:W3CDTF">2024-02-20T17:15:15Z</dcterms:modified>
</cp:coreProperties>
</file>