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718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1,835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18,964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785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170.57</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18,179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20,254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887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19,367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1,708</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21,075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20,345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1,835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02/17/2023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1,835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5"/>
              </w:rPr>
              <w:t>3,670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02/19/2023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2,075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5"/>
              </w:rPr>
              <w:t>2,075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1,708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02/20/2023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1,708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2"/>
              </w:rPr>
              <w:t>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17,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7,340 restricted stock units, vesting in four annual installments beginning on the first anniversary of the grant date. 25 percent of the restricted stock units became vested on February 17, 2022, an additional twenty-five percent of the restricted stock units became vested on February 17, 2023, an additional twenty-five percent of the restricted stock units will vest on February 17, 2024, and the remaining balance of twenty-five percent of the restricted stock units will vest on February 17 2025.</w:t>
      </w:r>
    </w:p>
    <w:p>
      <w:pPr>
        <w:spacing w:after="0" w:line="30" w:lineRule="exact"/>
        <w:rPr>
          <w:rFonts w:ascii="Arial" w:cs="Arial" w:eastAsia="Arial" w:hAnsi="Arial"/>
          <w:sz w:val="13"/>
          <w:szCs w:val="13"/>
          <w:color w:val="008000"/>
        </w:rPr>
      </w:pPr>
    </w:p>
    <w:p>
      <w:pPr>
        <w:jc w:val="both"/>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8,300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of the restricted stock units will vest on February 19, 2024.</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6,830 restricted stock units, vesting in four equal annual installments beginning on the first anniversary of the grant date. 25 percent of the restricted stock units became vested on February 20, 2020, an additional 25 percent of the restricted stock units became vested on February 20, 2021, an additional 25 percent of the restricted stock units will vest on February 20, 2022, and the remaining balance of 25 percent of the restricted stock units became vested on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Mr. Oseni is the Company's Head of Administration and Accounts.</w:t>
      </w:r>
    </w:p>
    <w:p>
      <w:pPr>
        <w:sectPr>
          <w:pgSz w:w="11900" w:h="16838"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/s/ Lazbart Oseni, Attorney-in-  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-10795</wp:posOffset>
            </wp:positionV>
            <wp:extent cx="1884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2023-02-22T17:54:42Z</dcterms:created>
  <dcterms:modified xsi:type="dcterms:W3CDTF">2023-02-22T17:54:42Z</dcterms:modified>
</cp:coreProperties>
</file>