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4" w:lineRule="exact"/>
        <w:rPr>
          <w:sz w:val="24"/>
          <w:szCs w:val="24"/>
          <w:color w:val="auto"/>
        </w:rPr>
      </w:pPr>
    </w:p>
    <w:p>
      <w:pPr>
        <w:ind w:left="360"/>
        <w:spacing w:after="0" w:line="230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-234950</wp:posOffset>
            </wp:positionV>
            <wp:extent cx="132080" cy="13208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080" cy="132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5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5"/>
        </w:trPr>
        <w:tc>
          <w:tcPr>
            <w:tcW w:w="6320" w:type="dxa"/>
            <w:vAlign w:val="bottom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36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6"/>
        </w:trPr>
        <w:tc>
          <w:tcPr>
            <w:tcW w:w="6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6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5290820</wp:posOffset>
            </wp:positionH>
            <wp:positionV relativeFrom="paragraph">
              <wp:posOffset>-630555</wp:posOffset>
            </wp:positionV>
            <wp:extent cx="58420" cy="64389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3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4004945</wp:posOffset>
            </wp:positionH>
            <wp:positionV relativeFrom="paragraph">
              <wp:posOffset>-630555</wp:posOffset>
            </wp:positionV>
            <wp:extent cx="58420" cy="64389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3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-1609725</wp:posOffset>
            </wp:positionH>
            <wp:positionV relativeFrom="paragraph">
              <wp:posOffset>16510</wp:posOffset>
            </wp:positionV>
            <wp:extent cx="6992620" cy="494792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2620" cy="49479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80" w:space="240"/>
            <w:col w:w="8560"/>
          </w:cols>
          <w:pgMar w:left="460" w:top="222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Nicolelli Maurizio</w:t>
        </w:r>
      </w:hyperlink>
    </w:p>
    <w:p>
      <w:pPr>
        <w:spacing w:after="0" w:line="30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3" w:lineRule="exact"/>
        <w:rPr>
          <w:sz w:val="24"/>
          <w:szCs w:val="24"/>
          <w:color w:val="auto"/>
        </w:rPr>
      </w:pPr>
    </w:p>
    <w:p>
      <w:pPr>
        <w:ind w:left="120" w:right="560"/>
        <w:spacing w:after="0" w:line="32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EXLSERVICE HOLDINGS INC 320 PARK AVENUE, 29TH FLOOR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jc w:val="center"/>
        <w:ind w:right="243"/>
        <w:spacing w:after="0"/>
        <w:rPr>
          <w:rFonts w:ascii="Arial" w:cs="Arial" w:eastAsia="Arial" w:hAnsi="Arial"/>
          <w:sz w:val="19"/>
          <w:szCs w:val="19"/>
          <w:color w:val="0000EE"/>
        </w:rPr>
      </w:pPr>
      <w:hyperlink r:id="rId13">
        <w:r>
          <w:rPr>
            <w:rFonts w:ascii="Arial" w:cs="Arial" w:eastAsia="Arial" w:hAnsi="Arial"/>
            <w:sz w:val="19"/>
            <w:szCs w:val="19"/>
            <w:u w:val="single" w:color="auto"/>
            <w:color w:val="0000EE"/>
          </w:rPr>
          <w:t>ExlService Holdings, Inc.</w:t>
        </w:r>
        <w:r>
          <w:rPr>
            <w:rFonts w:ascii="Arial" w:cs="Arial" w:eastAsia="Arial" w:hAnsi="Arial"/>
            <w:sz w:val="19"/>
            <w:szCs w:val="19"/>
            <w:color w:val="0000EE"/>
          </w:rPr>
          <w:t xml:space="preserve"> </w:t>
        </w:r>
      </w:hyperlink>
      <w:r>
        <w:rPr>
          <w:rFonts w:ascii="Arial" w:cs="Arial" w:eastAsia="Arial" w:hAnsi="Arial"/>
          <w:sz w:val="19"/>
          <w:szCs w:val="19"/>
          <w:color w:val="000000"/>
        </w:rPr>
        <w:t>[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4"/>
          <w:szCs w:val="14"/>
          <w:color w:val="0000FF"/>
        </w:rPr>
        <w:t>EXLS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9"/>
          <w:szCs w:val="19"/>
          <w:color w:val="000000"/>
        </w:rPr>
        <w:t>]</w:t>
      </w:r>
    </w:p>
    <w:p>
      <w:pPr>
        <w:spacing w:after="0" w:line="38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09/01/2021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ind w:left="-3" w:right="600" w:firstLine="3"/>
        <w:spacing w:after="0" w:line="239" w:lineRule="auto"/>
        <w:tabs>
          <w:tab w:leader="none" w:pos="142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27" w:lineRule="exact"/>
        <w:rPr>
          <w:sz w:val="24"/>
          <w:szCs w:val="24"/>
          <w:color w:val="auto"/>
        </w:rPr>
      </w:pPr>
    </w:p>
    <w:tbl>
      <w:tblPr>
        <w:tblLayout w:type="fixed"/>
        <w:tblInd w:w="197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6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2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2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2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457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Executive Vice President &amp; CFO</w:t>
      </w:r>
    </w:p>
    <w:p>
      <w:pPr>
        <w:spacing w:after="0" w:line="44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103" w:space="720"/>
            <w:col w:w="3337"/>
          </w:cols>
          <w:pgMar w:left="460" w:top="222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60" w:type="dxa"/>
            <w:vAlign w:val="bottom"/>
            <w:gridSpan w:val="8"/>
          </w:tcPr>
          <w:p>
            <w:pPr>
              <w:jc w:val="center"/>
              <w:spacing w:after="0" w:line="9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4. If Amendment, Date of Original Filed (Month/Day/Year)</w:t>
            </w:r>
          </w:p>
        </w:tc>
        <w:tc>
          <w:tcPr>
            <w:tcW w:w="3660" w:type="dxa"/>
            <w:vAlign w:val="bottom"/>
            <w:gridSpan w:val="10"/>
          </w:tcPr>
          <w:p>
            <w:pPr>
              <w:ind w:left="320"/>
              <w:spacing w:after="0" w:line="9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gridSpan w:val="4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60" w:type="dxa"/>
            <w:vAlign w:val="bottom"/>
            <w:gridSpan w:val="10"/>
            <w:vMerge w:val="restart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NEW YORK</w:t>
            </w: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NY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10022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6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Person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Table I - Non-Derivative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2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  <w:gridSpan w:val="3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6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720" w:type="dxa"/>
            <w:vAlign w:val="bottom"/>
            <w:gridSpan w:val="4"/>
          </w:tcPr>
          <w:p>
            <w:pPr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Disposed Of (D) (Instr. 3, 4 and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3"/>
          </w:tcPr>
          <w:p>
            <w:pPr>
              <w:ind w:left="7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  <w:gridSpan w:val="4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56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92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jc w:val="center"/>
              <w:ind w:left="8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9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40" w:type="dxa"/>
            <w:vAlign w:val="bottom"/>
            <w:gridSpan w:val="12"/>
          </w:tcPr>
          <w:p>
            <w:pPr>
              <w:jc w:val="center"/>
              <w:ind w:left="49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9"/>
              </w:rPr>
              <w:t>(e.g., puts, calls, warrants, options, convertible securities)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8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6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 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Code (Instr.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Derivative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1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1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1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4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Stock,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8,121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24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09/01/2021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8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560" w:type="dxa"/>
            <w:vAlign w:val="bottom"/>
          </w:tcPr>
          <w:p>
            <w:pPr>
              <w:ind w:left="18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8,121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09/01/2031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par value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</w:t>
            </w:r>
          </w:p>
        </w:tc>
        <w:tc>
          <w:tcPr>
            <w:tcW w:w="600" w:type="dxa"/>
            <w:vAlign w:val="bottom"/>
          </w:tcPr>
          <w:p>
            <w:pPr>
              <w:ind w:left="28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8,121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34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2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$0.001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per share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7006590</wp:posOffset>
            </wp:positionH>
            <wp:positionV relativeFrom="paragraph">
              <wp:posOffset>-2287905</wp:posOffset>
            </wp:positionV>
            <wp:extent cx="29210" cy="229298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10" cy="22929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3" w:lineRule="exact"/>
        <w:rPr>
          <w:sz w:val="24"/>
          <w:szCs w:val="24"/>
          <w:color w:val="auto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Each restricted stock unit represents a contingent right to receive one share of the Company's common stock upon settlement.</w:t>
      </w:r>
    </w:p>
    <w:p>
      <w:pPr>
        <w:spacing w:after="0" w:line="45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40" w:right="200" w:firstLine="3"/>
        <w:spacing w:after="0" w:line="252" w:lineRule="auto"/>
        <w:tabs>
          <w:tab w:leader="none" w:pos="17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restricted stock units will vest in two installments, one-third on the second anniversary of the grant date, and two-thirds on the third anniversary of the grant date. Vesting will be accelerated upon certain termination of employment events and upon a "Change in Control" (as defined in the ExlService Holdings, Inc. 2018 Omnibus Incentive Plan).</w:t>
      </w:r>
    </w:p>
    <w:p>
      <w:pPr>
        <w:spacing w:after="0" w:line="1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5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8000"/>
        </w:rPr>
        <w:t>Mr. Oseni is the Company's Head of Administration and Accounts.</w:t>
      </w:r>
    </w:p>
    <w:p>
      <w:pPr>
        <w:ind w:left="6600"/>
        <w:spacing w:after="0" w:line="18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 xml:space="preserve">/s/ Lazbart Oseni, Attorney-in-  </w:t>
      </w:r>
      <w:r>
        <w:rPr>
          <w:rFonts w:ascii="Arial" w:cs="Arial" w:eastAsia="Arial" w:hAnsi="Arial"/>
          <w:sz w:val="33"/>
          <w:szCs w:val="33"/>
          <w:color w:val="0000FF"/>
          <w:vertAlign w:val="subscript"/>
        </w:rPr>
        <w:t>09/03/2021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4191000</wp:posOffset>
            </wp:positionH>
            <wp:positionV relativeFrom="paragraph">
              <wp:posOffset>-27305</wp:posOffset>
            </wp:positionV>
            <wp:extent cx="1321435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143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4191000</wp:posOffset>
            </wp:positionH>
            <wp:positionV relativeFrom="paragraph">
              <wp:posOffset>-19685</wp:posOffset>
            </wp:positionV>
            <wp:extent cx="18478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478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5584825</wp:posOffset>
            </wp:positionH>
            <wp:positionV relativeFrom="paragraph">
              <wp:posOffset>-85725</wp:posOffset>
            </wp:positionV>
            <wp:extent cx="48831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83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jc w:val="both"/>
        <w:ind w:left="40" w:right="3540" w:firstLine="3"/>
        <w:spacing w:after="0" w:line="337" w:lineRule="auto"/>
        <w:tabs>
          <w:tab w:leader="none" w:pos="177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2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2" Type="http://schemas.openxmlformats.org/officeDocument/2006/relationships/hyperlink" Target="http://www.sec.gov/cgi-bin/browse-edgar?action=getcompany&amp;CIK=0001472650" TargetMode="External"/><Relationship Id="rId13" Type="http://schemas.openxmlformats.org/officeDocument/2006/relationships/hyperlink" Target="http://www.sec.gov/cgi-bin/browse-edgar?action=getcompany&amp;CIK=000129798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2021-09-03T16:04:21Z</dcterms:created>
  <dcterms:modified xsi:type="dcterms:W3CDTF">2021-09-03T16:04:21Z</dcterms:modified>
</cp:coreProperties>
</file>