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6994525" cy="9408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9408160"/>
                    </a:xfrm>
                    <a:prstGeom prst="rect">
                      <a:avLst/>
                    </a:prstGeom>
                    <a:noFill/>
                  </pic:spPr>
                </pic:pic>
              </a:graphicData>
            </a:graphic>
          </wp:anchor>
        </w:drawing>
      </w:r>
    </w:p>
    <w:p>
      <w:pPr>
        <w:spacing w:after="0" w:line="45" w:lineRule="exact"/>
        <w:rPr>
          <w:sz w:val="24"/>
          <w:szCs w:val="24"/>
          <w:color w:val="auto"/>
        </w:rPr>
      </w:pPr>
    </w:p>
    <w:p>
      <w:pPr>
        <w:sectPr>
          <w:pgSz w:w="11900" w:h="16889" w:orient="portrait"/>
          <w:cols w:equalWidth="0" w:num="2">
            <w:col w:w="2240" w:space="320"/>
            <w:col w:w="852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9"/>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PANDIT VIKRAM S</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10"/>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ExlService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7"/>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7"/>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7"/>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9"/>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tcPr>
          <w:p>
            <w:pPr>
              <w:ind w:left="50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100" w:type="dxa"/>
            <w:vAlign w:val="bottom"/>
          </w:tcPr>
          <w:p>
            <w:pPr>
              <w:spacing w:after="0"/>
              <w:rPr>
                <w:sz w:val="18"/>
                <w:szCs w:val="18"/>
                <w:color w:val="auto"/>
              </w:rPr>
            </w:pPr>
          </w:p>
        </w:tc>
        <w:tc>
          <w:tcPr>
            <w:tcW w:w="152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06/21/2022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7"/>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35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20" w:type="dxa"/>
            <w:vAlign w:val="bottom"/>
            <w:gridSpan w:val="10"/>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4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06/22/2022</w:t>
            </w: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46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5"/>
          </w:tcPr>
          <w:p>
            <w:pPr>
              <w:ind w:left="20"/>
              <w:spacing w:after="0" w:line="193" w:lineRule="exact"/>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w:t>
            </w: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22"/>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9"/>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7"/>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6"/>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303"/>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60" w:type="dxa"/>
            <w:vAlign w:val="bottom"/>
            <w:gridSpan w:val="3"/>
            <w:vMerge w:val="restart"/>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820" w:type="dxa"/>
            <w:vAlign w:val="bottom"/>
            <w:gridSpan w:val="2"/>
          </w:tcPr>
          <w:p>
            <w:pPr>
              <w:ind w:left="36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2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gridSpan w:val="3"/>
          </w:tcPr>
          <w:p>
            <w:pPr>
              <w:spacing w:after="0"/>
              <w:rPr>
                <w:sz w:val="7"/>
                <w:szCs w:val="7"/>
                <w:color w:val="auto"/>
              </w:rPr>
            </w:pPr>
          </w:p>
        </w:tc>
        <w:tc>
          <w:tcPr>
            <w:tcW w:w="1820" w:type="dxa"/>
            <w:vAlign w:val="bottom"/>
            <w:tcBorders>
              <w:bottom w:val="single" w:sz="8" w:color="2C2C2C"/>
            </w:tcBorders>
            <w:gridSpan w:val="6"/>
          </w:tcPr>
          <w:p>
            <w:pPr>
              <w:spacing w:after="0"/>
              <w:rPr>
                <w:sz w:val="7"/>
                <w:szCs w:val="7"/>
                <w:color w:val="auto"/>
              </w:rPr>
            </w:pPr>
          </w:p>
        </w:tc>
        <w:tc>
          <w:tcPr>
            <w:tcW w:w="7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0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340" w:type="dxa"/>
            <w:vAlign w:val="bottom"/>
            <w:gridSpan w:val="18"/>
          </w:tcPr>
          <w:p>
            <w:pPr>
              <w:ind w:left="7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Conversion</w:t>
            </w:r>
          </w:p>
        </w:tc>
        <w:tc>
          <w:tcPr>
            <w:tcW w:w="10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Ownership</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or Indirect</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Date</w:t>
            </w:r>
          </w:p>
        </w:tc>
        <w:tc>
          <w:tcPr>
            <w:tcW w:w="400" w:type="dxa"/>
            <w:vAlign w:val="bottom"/>
          </w:tcPr>
          <w:p>
            <w:pPr>
              <w:spacing w:after="0"/>
              <w:rPr>
                <w:sz w:val="11"/>
                <w:szCs w:val="11"/>
                <w:color w:val="auto"/>
              </w:rPr>
            </w:pPr>
          </w:p>
        </w:tc>
        <w:tc>
          <w:tcPr>
            <w:tcW w:w="82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20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(A)(D)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2,154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3"/>
                <w:szCs w:val="13"/>
                <w:color w:val="0000FF"/>
              </w:rPr>
              <w:t>06/21/2022</w:t>
            </w: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2,154</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vMerge w:val="restart"/>
          </w:tcPr>
          <w:p>
            <w:pP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9,272</w:t>
            </w:r>
          </w:p>
        </w:tc>
        <w:tc>
          <w:tcPr>
            <w:tcW w:w="90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4"/>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60" w:type="dxa"/>
            <w:vAlign w:val="bottom"/>
            <w:tcBorders>
              <w:right w:val="single" w:sz="8" w:color="2C2C2C"/>
            </w:tcBorders>
            <w:gridSpan w:val="3"/>
            <w:vMerge w:val="restart"/>
          </w:tcPr>
          <w:p>
            <w:pPr>
              <w:ind w:left="20"/>
              <w:spacing w:after="0" w:line="158"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4"/>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tcPr>
          <w:p>
            <w:pPr>
              <w:ind w:left="60"/>
              <w:spacing w:after="0" w:line="77" w:lineRule="exact"/>
              <w:rPr>
                <w:sz w:val="20"/>
                <w:szCs w:val="20"/>
                <w:color w:val="auto"/>
              </w:rPr>
            </w:pPr>
            <w:r>
              <w:rPr>
                <w:rFonts w:ascii="Times New Roman" w:cs="Times New Roman" w:eastAsia="Times New Roman" w:hAnsi="Times New Roman"/>
                <w:sz w:val="7"/>
                <w:szCs w:val="7"/>
                <w:color w:val="0000FF"/>
              </w:rPr>
              <w:t>Units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ind w:left="80"/>
              <w:spacing w:after="0" w:line="77" w:lineRule="exact"/>
              <w:rPr>
                <w:sz w:val="20"/>
                <w:szCs w:val="20"/>
                <w:color w:val="auto"/>
              </w:rPr>
            </w:pPr>
            <w:r>
              <w:rPr>
                <w:rFonts w:ascii="Times New Roman" w:cs="Times New Roman" w:eastAsia="Times New Roman" w:hAnsi="Times New Roman"/>
                <w:sz w:val="7"/>
                <w:szCs w:val="7"/>
                <w:color w:val="0000FF"/>
              </w:rPr>
              <w:t>$0.001</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per share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9"/>
          </w:tcPr>
          <w:p>
            <w:pPr>
              <w:ind w:left="60"/>
              <w:spacing w:after="0" w:line="23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7"/>
          </w:tcPr>
          <w:p>
            <w:pPr>
              <w:spacing w:after="0" w:line="218"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PANDIT VIKRAM S</w:t>
              </w:r>
            </w:hyperlink>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9"/>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7"/>
          </w:tcPr>
          <w:p>
            <w:pPr>
              <w:spacing w:after="0" w:line="21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Orogen Echo LLC</w:t>
              </w:r>
            </w:hyperlink>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9"/>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7"/>
          </w:tcPr>
          <w:p>
            <w:pPr>
              <w:spacing w:after="0" w:line="218"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Orogen Group LLC</w:t>
              </w:r>
            </w:hyperlink>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-6322695</wp:posOffset>
            </wp:positionV>
            <wp:extent cx="29210" cy="226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ROCKEFELLER PLAZA SUITE 2416</w:t>
      </w:r>
    </w:p>
    <w:p>
      <w:pPr>
        <w:sectPr>
          <w:pgSz w:w="11900" w:h="16889" w:orient="portrait"/>
          <w:cols w:equalWidth="0" w:num="1">
            <w:col w:w="11080"/>
          </w:cols>
          <w:pgMar w:left="460" w:top="217" w:right="359" w:bottom="0" w:gutter="0" w:footer="0" w:header="0"/>
          <w:type w:val="continuous"/>
        </w:sect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89" w:orient="portrait"/>
          <w:cols w:equalWidth="0" w:num="1">
            <w:col w:w="11080"/>
          </w:cols>
          <w:pgMar w:left="460" w:top="217"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8"/>
                <w:szCs w:val="18"/>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Orogen Holdings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Atairos-Orogen Holdings,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Atairos Group, Inc.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40 MORRIS AVENUE</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Atairos Partners, L.P.</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Atairos Partners GP, Inc.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Angelakis Michael J</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3049270</wp:posOffset>
            </wp:positionH>
            <wp:positionV relativeFrom="page">
              <wp:posOffset>88900</wp:posOffset>
            </wp:positionV>
            <wp:extent cx="41910" cy="10527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41910" cy="10527030"/>
                    </a:xfrm>
                    <a:prstGeom prst="rect">
                      <a:avLst/>
                    </a:prstGeom>
                    <a:noFill/>
                  </pic:spPr>
                </pic:pic>
              </a:graphicData>
            </a:graphic>
          </wp:anchor>
        </w:drawing>
        <w:drawing>
          <wp:anchor simplePos="0" relativeHeight="251657728" behindDoc="1" locked="0" layoutInCell="0" allowOverlap="1">
            <wp:simplePos x="0" y="0"/>
            <wp:positionH relativeFrom="page">
              <wp:posOffset>281305</wp:posOffset>
            </wp:positionH>
            <wp:positionV relativeFrom="page">
              <wp:posOffset>88900</wp:posOffset>
            </wp:positionV>
            <wp:extent cx="41910" cy="10527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41910" cy="1052703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-9481185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-9481185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-8805545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-8805545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-8178800</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-8178800</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-7763510</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-7763510</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-7087870</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-7087870</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-6461125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-6461125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-6045835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-6045835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-5370195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-5370195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-4743450</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-4743450</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-4328160</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-4328160</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-3652520</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-3652520</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-3025140</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-3025140</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-2609850</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-2609850</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-1934210</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-1934210</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-1307465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-1307465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-892175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-892175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-216535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-216535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ATAIROS MANAGEMENT, L.P.</w:t>
      </w: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40 MORRIS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90805</wp:posOffset>
            </wp:positionV>
            <wp:extent cx="26797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679700" cy="4191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52" w:right="1440" w:bottom="0" w:gutter="0" w:footer="0" w:header="0"/>
        </w:sectPr>
      </w:pPr>
    </w:p>
    <w:p>
      <w:pPr>
        <w:spacing w:after="0" w:line="30"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BRYN MAWR</w:t>
      </w:r>
      <w:r>
        <w:rPr>
          <w:sz w:val="20"/>
          <w:szCs w:val="20"/>
          <w:color w:val="auto"/>
        </w:rPr>
        <w:tab/>
      </w:r>
      <w:r>
        <w:rPr>
          <w:rFonts w:ascii="Times New Roman" w:cs="Times New Roman" w:eastAsia="Times New Roman" w:hAnsi="Times New Roman"/>
          <w:sz w:val="17"/>
          <w:szCs w:val="17"/>
          <w:color w:val="0000FF"/>
        </w:rPr>
        <w:t>PA</w:t>
      </w:r>
      <w:r>
        <w:rPr>
          <w:sz w:val="20"/>
          <w:szCs w:val="20"/>
          <w:color w:val="auto"/>
        </w:rPr>
        <w:tab/>
      </w:r>
      <w:r>
        <w:rPr>
          <w:rFonts w:ascii="Times New Roman" w:cs="Times New Roman" w:eastAsia="Times New Roman" w:hAnsi="Times New Roman"/>
          <w:sz w:val="16"/>
          <w:szCs w:val="16"/>
          <w:color w:val="0000FF"/>
        </w:rPr>
        <w:t>19010</w:t>
      </w:r>
    </w:p>
    <w:p>
      <w:pPr>
        <w:sectPr>
          <w:pgSz w:w="11900" w:h="16838" w:orient="portrait"/>
          <w:cols w:equalWidth="0" w:num="1">
            <w:col w:w="9979"/>
          </w:cols>
          <w:pgMar w:left="480" w:top="152"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09875" cy="281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809875" cy="28130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2" w:lineRule="exact"/>
        <w:rPr>
          <w:rFonts w:ascii="Times New Roman" w:cs="Times New Roman" w:eastAsia="Times New Roman" w:hAnsi="Times New Roman"/>
          <w:sz w:val="13"/>
          <w:szCs w:val="13"/>
          <w:color w:val="008000"/>
        </w:rPr>
      </w:pPr>
    </w:p>
    <w:p>
      <w:pPr>
        <w:ind w:right="60" w:firstLine="1"/>
        <w:spacing w:after="0" w:line="234"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which were granted in connection with Mr. Pandit's appointment as Chairman of the Board of Directors of the issuer (the "Board"), vest upon the earlier of (i) the first anniversary of the date of grant, (ii) the date on which the reporting person's term as a member of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7" w:lineRule="exact"/>
        <w:rPr>
          <w:rFonts w:ascii="Times New Roman" w:cs="Times New Roman" w:eastAsia="Times New Roman" w:hAnsi="Times New Roman"/>
          <w:sz w:val="13"/>
          <w:szCs w:val="13"/>
          <w:color w:val="008000"/>
        </w:rPr>
      </w:pPr>
    </w:p>
    <w:p>
      <w:pPr>
        <w:ind w:firstLine="1"/>
        <w:spacing w:after="0" w:line="236"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Pandit serves on the Board and is the Chairman and Chief Executive Officer of Orogen Echo LLC ("OE"). Orogen Holdings LLC and Atairos-Orogen Holdings, LLC are the sole members with joint investment control of The Orogen Group LLC,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27" w:lineRule="exact"/>
        <w:rPr>
          <w:rFonts w:ascii="Times New Roman" w:cs="Times New Roman" w:eastAsia="Times New Roman" w:hAnsi="Times New Roman"/>
          <w:sz w:val="13"/>
          <w:szCs w:val="13"/>
          <w:color w:val="008000"/>
        </w:rPr>
      </w:pPr>
    </w:p>
    <w:p>
      <w:pPr>
        <w:ind w:right="80" w:firstLine="1"/>
        <w:spacing w:after="0" w:line="253"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other than Mr. Pandit, is acting as a director by deputization of the issuer with respect to Mr. Pandit's membership on the Board. Each of the reporting persons may be deemed to have direct or indirect beneficial ownership of the reported securities, as applicable, but disclaims such beneficial ownership except to the extent of its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This amended Form 4 is being filed to correct the number of restricted stock units reported as being granted to the reporting person on June 21, 2022 in the original Form 4.</w:t>
      </w:r>
    </w:p>
    <w:p>
      <w:pPr>
        <w:sectPr>
          <w:pgSz w:w="11900" w:h="16838" w:orient="portrait"/>
          <w:cols w:equalWidth="0" w:num="1">
            <w:col w:w="10840"/>
          </w:cols>
          <w:pgMar w:left="500" w:top="294" w:right="559" w:bottom="1440" w:gutter="0" w:footer="0" w:header="0"/>
        </w:sectPr>
      </w:pPr>
    </w:p>
    <w:p>
      <w:pPr>
        <w:spacing w:after="0" w:line="6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Vikram S. Pandit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0312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81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906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80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07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823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376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by Vikram S. Pandit,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284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and Chief Executive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201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96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81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84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LLC, 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341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490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1607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948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081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8286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40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020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94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Caplan, Vice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092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02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Partners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553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0807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490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660" w:space="100"/>
            <w:col w:w="2080"/>
          </w:cols>
          <w:pgMar w:left="500" w:top="294" w:right="559" w:bottom="144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Michael J. Angelakis /s/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06/27/2022</w:t>
            </w:r>
          </w:p>
        </w:tc>
        <w:tc>
          <w:tcPr>
            <w:tcW w:w="0" w:type="dxa"/>
            <w:vAlign w:val="bottom"/>
          </w:tcPr>
          <w:p>
            <w:pPr>
              <w:spacing w:after="0"/>
              <w:rPr>
                <w:sz w:val="1"/>
                <w:szCs w:val="1"/>
                <w:color w:val="auto"/>
              </w:rPr>
            </w:pPr>
          </w:p>
        </w:tc>
      </w:tr>
      <w:tr>
        <w:trPr>
          <w:trHeight w:val="83"/>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Michael J. Angelakis</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40" w:firstLine="1"/>
        <w:spacing w:after="0" w:line="33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29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12" Type="http://schemas.openxmlformats.org/officeDocument/2006/relationships/hyperlink" Target="http://www.sec.gov/cgi-bin/browse-edgar?action=getcompany&amp;CIK=0001183417"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754751" TargetMode="External"/><Relationship Id="rId15" Type="http://schemas.openxmlformats.org/officeDocument/2006/relationships/hyperlink" Target="http://www.sec.gov/cgi-bin/browse-edgar?action=getcompany&amp;CIK=0001705509" TargetMode="External"/><Relationship Id="rId17" Type="http://schemas.openxmlformats.org/officeDocument/2006/relationships/hyperlink" Target="http://www.sec.gov/cgi-bin/browse-edgar?action=getcompany&amp;CIK=0001705500" TargetMode="External"/><Relationship Id="rId18" Type="http://schemas.openxmlformats.org/officeDocument/2006/relationships/hyperlink" Target="http://www.sec.gov/cgi-bin/browse-edgar?action=getcompany&amp;CIK=0001705610" TargetMode="External"/><Relationship Id="rId19" Type="http://schemas.openxmlformats.org/officeDocument/2006/relationships/hyperlink" Target="http://www.sec.gov/cgi-bin/browse-edgar?action=getcompany&amp;CIK=0001671122" TargetMode="External"/><Relationship Id="rId20" Type="http://schemas.openxmlformats.org/officeDocument/2006/relationships/hyperlink" Target="http://www.sec.gov/cgi-bin/browse-edgar?action=getcompany&amp;CIK=0001671185" TargetMode="External"/><Relationship Id="rId21" Type="http://schemas.openxmlformats.org/officeDocument/2006/relationships/hyperlink" Target="http://www.sec.gov/cgi-bin/browse-edgar?action=getcompany&amp;CIK=0001671176" TargetMode="External"/><Relationship Id="rId22"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2022-06-27T20:12:31Z</dcterms:created>
  <dcterms:modified xsi:type="dcterms:W3CDTF">2022-06-27T20:12:31Z</dcterms:modified>
</cp:coreProperties>
</file>