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right="1980" w:firstLine="8"/>
        <w:spacing w:after="0" w:line="431" w:lineRule="auto"/>
        <w:tabs>
          <w:tab w:leader="none" w:pos="44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2009</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spacing w:after="0"/>
        <w:tabs>
          <w:tab w:leader="none" w:pos="4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6700" w:type="dxa"/>
            <w:vAlign w:val="bottom"/>
          </w:tcPr>
          <w:p>
            <w:pPr>
              <w:jc w:val="center"/>
              <w:ind w:right="2904"/>
              <w:spacing w:after="0"/>
              <w:rPr>
                <w:sz w:val="20"/>
                <w:szCs w:val="20"/>
                <w:color w:val="auto"/>
              </w:rPr>
            </w:pPr>
            <w:r>
              <w:rPr>
                <w:rFonts w:ascii="Arial" w:cs="Arial" w:eastAsia="Arial" w:hAnsi="Arial"/>
                <w:sz w:val="18"/>
                <w:szCs w:val="18"/>
                <w:b w:val="1"/>
                <w:bCs w:val="1"/>
                <w:color w:val="auto"/>
                <w:w w:val="96"/>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700" w:type="dxa"/>
            <w:vAlign w:val="bottom"/>
          </w:tcPr>
          <w:p>
            <w:pPr>
              <w:jc w:val="center"/>
              <w:ind w:right="29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00" w:type="dxa"/>
            <w:vAlign w:val="bottom"/>
          </w:tcPr>
          <w:p>
            <w:pPr>
              <w:jc w:val="center"/>
              <w:ind w:right="290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12"/>
        </w:trPr>
        <w:tc>
          <w:tcPr>
            <w:tcW w:w="6700" w:type="dxa"/>
            <w:vAlign w:val="bottom"/>
          </w:tcPr>
          <w:p>
            <w:pPr>
              <w:jc w:val="center"/>
              <w:ind w:right="2904"/>
              <w:spacing w:after="0"/>
              <w:rPr>
                <w:sz w:val="20"/>
                <w:szCs w:val="20"/>
                <w:color w:val="auto"/>
              </w:rPr>
            </w:pPr>
            <w:r>
              <w:rPr>
                <w:rFonts w:ascii="Arial" w:cs="Arial" w:eastAsia="Arial" w:hAnsi="Arial"/>
                <w:sz w:val="18"/>
                <w:szCs w:val="18"/>
                <w:b w:val="1"/>
                <w:bCs w:val="1"/>
                <w:color w:val="auto"/>
                <w:w w:val="96"/>
              </w:rPr>
              <w:t>350 PARK AVENUE, NEW YORK, NEW YORK</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6700" w:type="dxa"/>
            <w:vAlign w:val="bottom"/>
          </w:tcPr>
          <w:p>
            <w:pPr>
              <w:jc w:val="center"/>
              <w:ind w:right="290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700" w:type="dxa"/>
            <w:vAlign w:val="bottom"/>
          </w:tcPr>
          <w:p>
            <w:pPr>
              <w:jc w:val="right"/>
              <w:ind w:right="1364"/>
              <w:spacing w:after="0"/>
              <w:rPr>
                <w:sz w:val="20"/>
                <w:szCs w:val="20"/>
                <w:color w:val="auto"/>
              </w:rPr>
            </w:pPr>
            <w:r>
              <w:rPr>
                <w:rFonts w:ascii="Arial" w:cs="Arial" w:eastAsia="Arial" w:hAnsi="Arial"/>
                <w:sz w:val="18"/>
                <w:szCs w:val="18"/>
                <w:b w:val="1"/>
                <w:bCs w:val="1"/>
                <w:color w:val="auto"/>
              </w:rPr>
              <w:t>(212) 277-7100</w:t>
            </w:r>
          </w:p>
        </w:tc>
        <w:tc>
          <w:tcPr>
            <w:tcW w:w="1520" w:type="dxa"/>
            <w:vAlign w:val="bottom"/>
          </w:tcPr>
          <w:p>
            <w:pPr>
              <w:spacing w:after="0"/>
              <w:rPr>
                <w:sz w:val="24"/>
                <w:szCs w:val="24"/>
                <w:color w:val="auto"/>
              </w:rPr>
            </w:pPr>
          </w:p>
        </w:tc>
      </w:tr>
      <w:tr>
        <w:trPr>
          <w:trHeight w:val="174"/>
        </w:trPr>
        <w:tc>
          <w:tcPr>
            <w:tcW w:w="6700" w:type="dxa"/>
            <w:vAlign w:val="bottom"/>
          </w:tcPr>
          <w:p>
            <w:pPr>
              <w:jc w:val="center"/>
              <w:ind w:left="264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141"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sectPr>
      </w:pPr>
    </w:p>
    <w:p>
      <w:pPr>
        <w:spacing w:after="0" w:line="126" w:lineRule="exact"/>
        <w:rPr>
          <w:sz w:val="24"/>
          <w:szCs w:val="24"/>
          <w:color w:val="auto"/>
        </w:rPr>
      </w:pPr>
    </w:p>
    <w:p>
      <w:pPr>
        <w:ind w:left="86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8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4">
            <w:col w:w="4820" w:space="720"/>
            <w:col w:w="160" w:space="380"/>
            <w:col w:w="3600" w:space="720"/>
            <w:col w:w="960"/>
          </w:cols>
          <w:pgMar w:left="240" w:top="230" w:right="29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60"/>
          </w:cols>
          <w:pgMar w:left="240" w:top="230" w:right="299" w:bottom="1440" w:gutter="0" w:footer="0" w:header="0"/>
          <w:type w:val="continuous"/>
        </w:sectPr>
      </w:pPr>
    </w:p>
    <w:p>
      <w:pPr>
        <w:spacing w:after="0" w:line="168"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4">
            <w:col w:w="8740" w:space="80"/>
            <w:col w:w="160" w:space="180"/>
            <w:col w:w="220" w:space="80"/>
            <w:col w:w="1900"/>
          </w:cols>
          <w:pgMar w:left="240" w:top="230" w:right="299" w:bottom="1440" w:gutter="0" w:footer="0" w:header="0"/>
          <w:type w:val="continuous"/>
        </w:sectPr>
      </w:pPr>
    </w:p>
    <w:p>
      <w:pPr>
        <w:ind w:right="260" w:firstLine="456"/>
        <w:spacing w:after="0" w:line="268" w:lineRule="auto"/>
        <w:rPr>
          <w:sz w:val="20"/>
          <w:szCs w:val="20"/>
          <w:color w:val="auto"/>
        </w:rPr>
      </w:pPr>
      <w:r>
        <w:rPr>
          <w:rFonts w:ascii="Arial" w:cs="Arial" w:eastAsia="Arial" w:hAnsi="Arial"/>
          <w:sz w:val="18"/>
          <w:szCs w:val="18"/>
          <w:color w:val="auto"/>
        </w:rPr>
        <w:t>As of April 30, 2009, there were 28,923,833 shares of the registrant’s common stock outstanding (excluding 247,030 shares held in treasury), par value $0.001 per share.</w:t>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560" w:type="dxa"/>
            <w:vAlign w:val="bottom"/>
            <w:gridSpan w:val="8"/>
          </w:tcPr>
          <w:p>
            <w:pPr>
              <w:ind w:left="520"/>
              <w:spacing w:after="0"/>
              <w:rPr>
                <w:sz w:val="20"/>
                <w:szCs w:val="20"/>
                <w:color w:val="auto"/>
              </w:rPr>
            </w:pPr>
            <w:r>
              <w:rPr>
                <w:rFonts w:ascii="Arial" w:cs="Arial" w:eastAsia="Arial" w:hAnsi="Arial"/>
                <w:sz w:val="14"/>
                <w:szCs w:val="14"/>
                <w:b w:val="1"/>
                <w:bCs w:val="1"/>
                <w:color w:val="auto"/>
              </w:rPr>
              <w:t>TABLE OF CONTENTS</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w:t>
            </w:r>
          </w:p>
        </w:tc>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240" w:type="dxa"/>
            <w:vAlign w:val="bottom"/>
            <w:gridSpan w:val="9"/>
            <w:vMerge w:val="restart"/>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800" w:type="dxa"/>
            <w:vAlign w:val="bottom"/>
            <w:gridSpan w:val="2"/>
            <w:vMerge w:val="continue"/>
          </w:tcPr>
          <w:p>
            <w:pPr>
              <w:spacing w:after="0"/>
              <w:rPr>
                <w:sz w:val="14"/>
                <w:szCs w:val="14"/>
                <w:color w:val="auto"/>
              </w:rPr>
            </w:pPr>
          </w:p>
        </w:tc>
        <w:tc>
          <w:tcPr>
            <w:tcW w:w="3000" w:type="dxa"/>
            <w:vAlign w:val="bottom"/>
            <w:tcBorders>
              <w:bottom w:val="single" w:sz="8" w:color="0000EE"/>
            </w:tcBorders>
            <w:gridSpan w:val="10"/>
            <w:vMerge w:val="continue"/>
          </w:tcPr>
          <w:p>
            <w:pPr>
              <w:spacing w:after="0"/>
              <w:rPr>
                <w:sz w:val="14"/>
                <w:szCs w:val="14"/>
                <w:color w:val="auto"/>
              </w:rPr>
            </w:pPr>
          </w:p>
        </w:tc>
        <w:tc>
          <w:tcPr>
            <w:tcW w:w="7240" w:type="dxa"/>
            <w:vAlign w:val="bottom"/>
            <w:gridSpan w:val="9"/>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222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STATEMENTS</w:t>
              </w:r>
            </w:hyperlink>
          </w:p>
        </w:tc>
        <w:tc>
          <w:tcPr>
            <w:tcW w:w="8020" w:type="dxa"/>
            <w:vAlign w:val="bottom"/>
            <w:gridSpan w:val="1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(Unaudited) as of March 31, 2009 and December 31, 2008</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Income (Unaudited) for the Three Months Ended March 31, 2009 and 2008</w:t>
              </w:r>
            </w:hyperlink>
          </w:p>
        </w:tc>
        <w:tc>
          <w:tcPr>
            <w:tcW w:w="252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 (Unaudited) for the Three Months Ended March 31, 2009 and 2008</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00" w:type="dxa"/>
            <w:vAlign w:val="bottom"/>
            <w:tcBorders>
              <w:top w:val="single" w:sz="8" w:color="0000EE"/>
            </w:tcBorders>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23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940" w:type="dxa"/>
            <w:vAlign w:val="bottom"/>
            <w:gridSpan w:val="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Controls and Procedures</w:t>
              </w:r>
            </w:hyperlink>
          </w:p>
        </w:tc>
        <w:tc>
          <w:tcPr>
            <w:tcW w:w="8500" w:type="dxa"/>
            <w:vAlign w:val="bottom"/>
            <w:gridSpan w:val="1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2700" w:type="dxa"/>
            <w:vAlign w:val="bottom"/>
            <w:tcBorders>
              <w:top w:val="single" w:sz="8" w:color="0000EE"/>
            </w:tcBorders>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7540" w:type="dxa"/>
            <w:vAlign w:val="bottom"/>
            <w:gridSpan w:val="10"/>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8940" w:type="dxa"/>
            <w:vAlign w:val="bottom"/>
            <w:gridSpan w:val="1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24"/>
                <w:szCs w:val="24"/>
                <w:color w:val="auto"/>
              </w:rPr>
            </w:pPr>
          </w:p>
        </w:tc>
        <w:tc>
          <w:tcPr>
            <w:tcW w:w="600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36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Submission of Matters to a Vote of Security Holders</w:t>
              </w:r>
            </w:hyperlink>
          </w:p>
        </w:tc>
        <w:tc>
          <w:tcPr>
            <w:tcW w:w="6560" w:type="dxa"/>
            <w:vAlign w:val="bottom"/>
            <w:gridSpan w:val="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960" w:type="dxa"/>
            <w:vAlign w:val="bottom"/>
            <w:gridSpan w:val="1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300" w:type="dxa"/>
            <w:vAlign w:val="bottom"/>
            <w:gridSpan w:val="15"/>
          </w:tcPr>
          <w:p>
            <w:pPr>
              <w:ind w:left="48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20" w:type="dxa"/>
            <w:vAlign w:val="bottom"/>
          </w:tcPr>
          <w:p>
            <w:pPr>
              <w:jc w:val="center"/>
              <w:ind w:left="119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82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20" w:type="dxa"/>
            <w:vAlign w:val="bottom"/>
          </w:tcPr>
          <w:p>
            <w:pPr>
              <w:jc w:val="center"/>
              <w:ind w:left="1192"/>
              <w:spacing w:after="0"/>
              <w:rPr>
                <w:sz w:val="20"/>
                <w:szCs w:val="20"/>
                <w:color w:val="auto"/>
              </w:rPr>
            </w:pPr>
            <w:r>
              <w:rPr>
                <w:rFonts w:ascii="Arial" w:cs="Arial" w:eastAsia="Arial" w:hAnsi="Arial"/>
                <w:sz w:val="18"/>
                <w:szCs w:val="18"/>
                <w:b w:val="1"/>
                <w:bCs w:val="1"/>
                <w:color w:val="auto"/>
                <w:w w:val="99"/>
              </w:rPr>
              <w:t>EXLSERVICE HOLDINGS,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20" w:type="dxa"/>
            <w:vAlign w:val="bottom"/>
          </w:tcPr>
          <w:p>
            <w:pPr>
              <w:jc w:val="center"/>
              <w:ind w:left="12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20" w:type="dxa"/>
            <w:vAlign w:val="bottom"/>
          </w:tcPr>
          <w:p>
            <w:pPr>
              <w:jc w:val="center"/>
              <w:ind w:left="119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20" w:type="dxa"/>
            <w:vAlign w:val="bottom"/>
          </w:tcPr>
          <w:p>
            <w:pPr>
              <w:jc w:val="center"/>
              <w:ind w:left="119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106,595</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112,174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$125 at March 31, 2009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and $128 at December 31, 2008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33,714</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148,838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157,877</w:t>
            </w:r>
          </w:p>
        </w:tc>
        <w:tc>
          <w:tcPr>
            <w:tcW w:w="60" w:type="dxa"/>
            <w:vAlign w:val="bottom"/>
            <w:shd w:val="clear" w:color="auto" w:fill="CCEEFF"/>
          </w:tcPr>
          <w:p>
            <w:pPr>
              <w:spacing w:after="0"/>
              <w:rPr>
                <w:sz w:val="18"/>
                <w:szCs w:val="18"/>
                <w:color w:val="auto"/>
              </w:rPr>
            </w:pPr>
          </w:p>
        </w:tc>
      </w:tr>
      <w:tr>
        <w:trPr>
          <w:trHeight w:val="221"/>
        </w:trPr>
        <w:tc>
          <w:tcPr>
            <w:tcW w:w="9480" w:type="dxa"/>
            <w:vAlign w:val="bottom"/>
            <w:gridSpan w:val="3"/>
          </w:tcPr>
          <w:p>
            <w:pPr>
              <w:spacing w:after="0"/>
              <w:rPr>
                <w:sz w:val="20"/>
                <w:szCs w:val="20"/>
                <w:color w:val="auto"/>
              </w:rPr>
            </w:pPr>
            <w:r>
              <w:rPr>
                <w:rFonts w:ascii="Arial" w:cs="Arial" w:eastAsia="Arial" w:hAnsi="Arial"/>
                <w:sz w:val="18"/>
                <w:szCs w:val="18"/>
                <w:color w:val="auto"/>
              </w:rPr>
              <w:t>Fixed assets, net of accumulated depreciation of $29,040 at March 31, 2009 and $27,727 at December 31, 2008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24,518</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202,543</w:t>
            </w:r>
          </w:p>
        </w:tc>
        <w:tc>
          <w:tcPr>
            <w:tcW w:w="22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211,969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39,068</w:t>
            </w:r>
          </w:p>
        </w:tc>
        <w:tc>
          <w:tcPr>
            <w:tcW w:w="60" w:type="dxa"/>
            <w:vAlign w:val="bottom"/>
            <w:shd w:val="clear" w:color="auto" w:fill="CCEEFF"/>
          </w:tcPr>
          <w:p>
            <w:pPr>
              <w:spacing w:after="0"/>
              <w:rPr>
                <w:sz w:val="18"/>
                <w:szCs w:val="18"/>
                <w:color w:val="auto"/>
              </w:rPr>
            </w:pP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40,637</w:t>
            </w:r>
          </w:p>
        </w:tc>
        <w:tc>
          <w:tcPr>
            <w:tcW w:w="60" w:type="dxa"/>
            <w:vAlign w:val="bottom"/>
            <w:shd w:val="clear" w:color="auto" w:fill="CCEEFF"/>
          </w:tcPr>
          <w:p>
            <w:pPr>
              <w:spacing w:after="0"/>
              <w:rPr>
                <w:sz w:val="18"/>
                <w:szCs w:val="18"/>
                <w:color w:val="auto"/>
              </w:rPr>
            </w:pPr>
          </w:p>
        </w:tc>
      </w:tr>
      <w:tr>
        <w:trPr>
          <w:trHeight w:val="221"/>
        </w:trPr>
        <w:tc>
          <w:tcPr>
            <w:tcW w:w="94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Common stock, $0.001 par value; 100,000,000 shares authorized, 29,095,045 shares issued and outstanding as of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March 31, 2009 and 29,054,145 shares issued and outstanding as of December 31, 2008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118,226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116,676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(19,034)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(14,491)</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172,125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172,235</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Less: 244,016 shares as of March 31, 2009 and 237,080 shares as of December 31, 2008,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held in treasury, at cost</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(948)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171,177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171,332</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202,543</w:t>
            </w:r>
          </w:p>
        </w:tc>
        <w:tc>
          <w:tcPr>
            <w:tcW w:w="22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211,969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24,356</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12,347</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100" w:type="dxa"/>
            <w:vAlign w:val="bottom"/>
          </w:tcPr>
          <w:p>
            <w:pPr>
              <w:spacing w:after="0"/>
              <w:rPr>
                <w:sz w:val="19"/>
                <w:szCs w:val="19"/>
                <w:color w:val="auto"/>
              </w:rPr>
            </w:pPr>
          </w:p>
        </w:tc>
        <w:tc>
          <w:tcPr>
            <w:tcW w:w="1380" w:type="dxa"/>
            <w:vAlign w:val="bottom"/>
            <w:gridSpan w:val="2"/>
          </w:tcPr>
          <w:p>
            <w:pPr>
              <w:jc w:val="right"/>
              <w:ind w:right="47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share(a):</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28,843,190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28,757,077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29,079,675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29,292,838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 Per share amounts may not foot due to rounding.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2,883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employee stock options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Unrealized foreign exchange (gain)/loss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 and liabilities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cash used for operating activities - continuing operations</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 discontinued operations</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Net cash used for operating activities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Proceeds from sale of discontinued operations</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 - continuing operations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cash used for investing activities - discontinued operations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by/(used for) financing activities</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(16,535)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 (includes $804 at January 1, 2008</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discontinued operations)</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112,174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102,210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Less cash and equivalents of discontinued operations, end of period</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of continuing operations, end of period</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106,595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right="830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ExlService.com, Inc. (“Exl Inc.”), ExlService Philippines, Inc. (“Exl Philippines”), exlService.com (India) Private Limited (“Exl India”), Exl Support Services Pvt. Ltd. (“ESSPL”), ExlService (U.K.) Limited (“Exl UK”), ExlService Mauritius Limited (“Exl Mauritius”), ExlService SEZ BPO Solutions Private Limited (“Exl SEZ BPO”) and Inductis Inc. and its wholly owned subsidiaries (“Inductis”), including Inductis LLC (“Inductis LLC”), Inductis India Private Limited (“Inductis India”) and Inductis (Singapore) Pte Limited (“Inductis Singapore”) (collectively, the “Company”), is a leading provider of outsourcing services and transformation services. The Company’s clients are located principally in the United States and the United Kingdom.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The unaudited interim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annual financial statements and therefore should be read in conjunction with the audited consolidated financial statements and footnotes thereto included in the Company’s Annual Report on Form 10-K for the fiscal year ended December 31, 2008.</w:t>
      </w:r>
    </w:p>
    <w:p>
      <w:pPr>
        <w:spacing w:after="0" w:line="9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consolidated statements of income for the interim periods presented are not necessarily indicative of the results for the full year or for any subsequent period.</w:t>
      </w:r>
    </w:p>
    <w:p>
      <w:pPr>
        <w:spacing w:after="0" w:line="140"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Certain prior period amounts have been reclassified in the consolidated financial statements to conform to the 2009 presentation. These reclassifications reflect the presentation of discontinued operations of Noida Customer Operations Private Limited (“NCOP”), previously included in the outsourcing services segment. On August 11, 2008, the Company completed the sale of all of its shares of NCOP to Aviva Global Services Singapore Pte Ltd. (see Note 16).</w:t>
      </w:r>
    </w:p>
    <w:p>
      <w:pPr>
        <w:spacing w:after="0" w:line="163" w:lineRule="exact"/>
        <w:rPr>
          <w:sz w:val="20"/>
          <w:szCs w:val="20"/>
          <w:color w:val="auto"/>
        </w:rPr>
      </w:pPr>
    </w:p>
    <w:p>
      <w:pPr>
        <w:ind w:right="79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unaudited consolidated financial statements include the accounts of ExlService Holdings and its subsidiaries. All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stock-based compensation expense, depreciation and amortization periods, recoverability of long-term assets including goodwill and intangibles, and estimates to complete fixed price contracts.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2007, the Financial Accounting Standards Board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 141 (revised 2007)”). SFAS No. 141 (revised 2007)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SFAS No. 141 (revised 2007) is effective for fiscal years beginning after December 15, 2008, with early adoption prohibited. The impact of SFAS No. 141 (revised 2007) on the Company’s consolidated financial statements will depend on the size and nature of any acquisitions on or after January 1, 2009.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February 2008, the FASB issued Financial Staff Positions (“FSP”) SFAS 157-2, Effective Date of FASB Statement No. 157 (“FSP 157-2”), which delays the effective date of SFAS No. 157, Fair Value Measurement (“SFAS No. 157”), for all nonfinancial assets and nonfinancial liabilities, except those that are recognized or disclosed at fair value in the financial statements on a recurring basis (at least annually). FSP 157-2 partially defers the effective date of SFAS No. 157 to fiscal years beginning after November 15, 2008, and interim periods within those fiscal years for items within the scope of FSP 157-2. The implementation of FSP 157-2 for non financial assets and financial liabilities, effective January 1, 2009, did not have a material impact on the Company’s consolidated financial position, results of operations or cash flows.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March 2008, the FASB issued SFAS No. 161, “</w:t>
      </w:r>
      <w:r>
        <w:rPr>
          <w:rFonts w:ascii="Arial" w:cs="Arial" w:eastAsia="Arial" w:hAnsi="Arial"/>
          <w:sz w:val="16"/>
          <w:szCs w:val="16"/>
          <w:i w:val="1"/>
          <w:iCs w:val="1"/>
          <w:color w:val="auto"/>
        </w:rPr>
        <w:t>Disclosures about Derivative Instruments and Hedging Activities—an amendment of FASB Statement No.</w:t>
      </w:r>
      <w:r>
        <w:rPr>
          <w:rFonts w:ascii="Arial" w:cs="Arial" w:eastAsia="Arial" w:hAnsi="Arial"/>
          <w:sz w:val="16"/>
          <w:szCs w:val="16"/>
          <w:color w:val="auto"/>
        </w:rPr>
        <w:t xml:space="preserve"> </w:t>
      </w:r>
      <w:r>
        <w:rPr>
          <w:rFonts w:ascii="Arial" w:cs="Arial" w:eastAsia="Arial" w:hAnsi="Arial"/>
          <w:sz w:val="16"/>
          <w:szCs w:val="16"/>
          <w:i w:val="1"/>
          <w:iCs w:val="1"/>
          <w:color w:val="auto"/>
        </w:rPr>
        <w:t>133</w:t>
      </w:r>
      <w:r>
        <w:rPr>
          <w:rFonts w:ascii="Arial" w:cs="Arial" w:eastAsia="Arial" w:hAnsi="Arial"/>
          <w:sz w:val="16"/>
          <w:szCs w:val="16"/>
          <w:color w:val="auto"/>
        </w:rPr>
        <w:t>” (“SFAS No. 161”). SFAS No. 161 amends and expands the disclosures required by SFAS No. 133 so that they provide an enhanced understanding of how</w:t>
      </w:r>
      <w:r>
        <w:rPr>
          <w:rFonts w:ascii="Arial" w:cs="Arial" w:eastAsia="Arial" w:hAnsi="Arial"/>
          <w:sz w:val="16"/>
          <w:szCs w:val="16"/>
          <w:i w:val="1"/>
          <w:iCs w:val="1"/>
          <w:color w:val="auto"/>
        </w:rPr>
        <w:t xml:space="preserve"> </w:t>
      </w:r>
      <w:r>
        <w:rPr>
          <w:rFonts w:ascii="Arial" w:cs="Arial" w:eastAsia="Arial" w:hAnsi="Arial"/>
          <w:sz w:val="16"/>
          <w:szCs w:val="16"/>
          <w:color w:val="auto"/>
        </w:rPr>
        <w:t>and why an entity uses derivative instruments, how derivative instruments and related hedged items are accounted for under SFAS No. 133 and its related interpretations and how derivative instruments affect an entity’s financial position, financial performance and cash flows. SFAS No. 161 encourages, but does not require, comparative disclosures for earlier periods at initial adoption. SFAS No. 161 is effective for financial statements issued for fiscal years and interim periods beginning after November 15, 2008, with early application encouraged. The Company’s adoption of SFAS No. 161, effective January 1, 2009, did not have a material impact on its consolidated financial position, results of operations or cash flows. See Note 6 on Derivative Financial Instruments.</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April 2009, the FASB issued three Staff Positions that are intended to provide additional application guidance and enhance disclosures about fair value measurements and impairments of securities. FSP FAS 157-4 clarifies the objective and method of fair value measurement when there has been a significant decrease in market activity for the asset being measured. FSP FAS 115-2 and FAS 124-2 establishes a new model for measuring other-than-temporary impairments for debt securities, including establishing criteria for when to recognize a write-down through earnings versus other comprehensive income. FSP FAS 107-1 and APB 28-1 expands the fair value disclosures required for all financial instruments within the scope of SFAS No. 107, “</w:t>
      </w:r>
      <w:r>
        <w:rPr>
          <w:rFonts w:ascii="Arial" w:cs="Arial" w:eastAsia="Arial" w:hAnsi="Arial"/>
          <w:sz w:val="16"/>
          <w:szCs w:val="16"/>
          <w:i w:val="1"/>
          <w:iCs w:val="1"/>
          <w:color w:val="auto"/>
        </w:rPr>
        <w:t>Disclosures about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of Financial Instruments”</w:t>
      </w:r>
      <w:r>
        <w:rPr>
          <w:rFonts w:ascii="Arial" w:cs="Arial" w:eastAsia="Arial" w:hAnsi="Arial"/>
          <w:sz w:val="16"/>
          <w:szCs w:val="16"/>
          <w:color w:val="auto"/>
        </w:rPr>
        <w:t>, to interim periods. These FSPs are effective for periods ending after June 15, 2009. The Company is currently evaluating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that these standards will have on its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and diluted earnings per share is computed by using the weighted average number of common shares plus the potentially dilutive effect of stock options, restricted stock, and restricted stock units issued and outstanding at the reporting date.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three months ended March 31, 2009 and 2008, the weighted average number of shares used in calculating the diluted earnings per share includes stock options, restricted stock, and restricted stock units for 236,485 shares and 535,761 shares, respectively.</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calculation of earnings per share for the three months ended March 31, 2009 and 2008 excludes stock options, restricted stock, and restricted stock units for 3,103,074 shares and 961,200 shares, respectively, as their effect would have been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Effective April 1, 2008, we modified our reportable segments to reflect a change in the operating segments of our business to outsourcing services and transformation services. Prior period information below has been updated to reflect the change. The Outsourcing Services segment is comprised of the former Business Process Outsourcing segment excluding operations and process excellence services (formerly known as process advisory services). The Transformation Services segment is comprised of decision analytics services (formerly known as research and analytics services), risk and financial management services (formerly known as risk advisory services) and operations and process excellence services.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organized around its Outsourcing Services and Transformation Services segments. The chief operating decision maker generally reviews financial information at the consolidated statement of income level but does not review any information except for revenues and cost of revenues of the individual segments. Therefore, the Company does not allocate or evaluate depreciation, amortization, interest expense or income, capital expenditures, and income taxes to its operating segments. Consequently, it is not practical to show assets, capital expenditures, depreciation or amortization by segment.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March 31, 2009 and 2008 for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97"/>
              </w:rPr>
              <w:t>Three months ended March 31, 2009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7"/>
              </w:rPr>
              <w:t>Three months ended March 31,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1220" w:type="dxa"/>
            <w:vAlign w:val="bottom"/>
            <w:tcBorders>
              <w:top w:val="single" w:sz="8" w:color="auto"/>
            </w:tcBorders>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33,393</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40,986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18,261</w:t>
            </w:r>
          </w:p>
        </w:tc>
        <w:tc>
          <w:tcPr>
            <w:tcW w:w="1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6,095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24,356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22,605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6,029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15,132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16,630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3"/>
              </w:rPr>
              <w:t>12,347</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13,263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SFAS 157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SFAS 157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14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211"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are observable in active markets; and</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sets forth the Company’s assets and liabilities that were accounted for at fair value as of March 31, 2009. The table excludes short-term investments, accounts receivable, accounts payable and accrued expenses for which fair values approximate their carrying amounts.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Level 2</w:t>
            </w:r>
          </w:p>
        </w:tc>
        <w:tc>
          <w:tcPr>
            <w:tcW w:w="4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Level 3</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98,484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98,484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98,484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88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98,551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8,733</w:t>
            </w:r>
          </w:p>
        </w:tc>
        <w:tc>
          <w:tcPr>
            <w:tcW w:w="88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The Company’s derivative financial instruments consist of foreign currency forward exchange contracts. Fair values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instruments are based on broker quotations and are classified as Level 2. See Note 6 for further details on derivative financial instruments.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the normal course of business, the Company actively looks to mitigate the exposure of foreign currency market risk by entering into various hedging instruments, authorized under Company policies, with counterparties that are highly rated financial institutions. The Company’s primary exchange rate exposure is to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hedges anticipated transactions that are subject to foreign exchange exposure with foreign currency exchange contracts that are designated effective and that qualify as cash flow hedges under SFAS No. 133. Changes in the fair value of these cash flow hedges which are deemed effective, are recorded in accumulated other comprehensive income/(loss) (“AOCI”) until the contract is settled and at that time are recognized in the unaudited consolidated statements of income. Changes in the fair value of cash flow hedges deemed ineffective are recognized in the unaudited consolidated statement of income and are included in foreign exchange gain/(loss).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also uses derivatives consisting of foreign currency exchange contracts not designated as hedging instruments under SFAS No. 133 to hedge intercompany balances and other monetary assets or liabilities denominated in currencies other than the functional currency. Changes in the fair value of these derivatives are recognized in the unaudited consolidated statement of income and are included in foreign exchange gain/(loss).</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other income in the consolidated statements of income. For hedge relationships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for the three months ended March 31, 2009 and 2008.</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had outstanding foreign exchange contracts totaling $94,291 and GBP23,600 as of March 31, 2009 and totaling $110,182 and GBP30,320 as of December 31, 2008. The Company estimates that approximately $7,414 of net derivative losses included in AOCI could be reclassified into earnings within the next 12 months based on exchange rates prevailing as of March 31, 2009. At March 31, 2009, the maximum outstanding term of derivative instruments that hedge forecasted transactions was 31 months.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the fair value of derivative instruments included in the consolidated balance sheets as on March 31, 2009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hedging instruments under SFAS No. 133: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5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 and other current liabilities:</w:t>
            </w:r>
          </w:p>
        </w:tc>
        <w:tc>
          <w:tcPr>
            <w:tcW w:w="3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4200" w:type="dxa"/>
            <w:vAlign w:val="bottom"/>
            <w:gridSpan w:val="3"/>
          </w:tcPr>
          <w:p>
            <w:pPr>
              <w:ind w:left="40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7,355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5,411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4200" w:type="dxa"/>
            <w:vAlign w:val="bottom"/>
            <w:gridSpan w:val="3"/>
          </w:tcPr>
          <w:p>
            <w:pPr>
              <w:ind w:left="40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1,378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451"/>
        </w:trPr>
        <w:tc>
          <w:tcPr>
            <w:tcW w:w="5520" w:type="dxa"/>
            <w:vAlign w:val="bottom"/>
          </w:tcPr>
          <w:p>
            <w:pPr>
              <w:spacing w:after="0"/>
              <w:rPr>
                <w:sz w:val="20"/>
                <w:szCs w:val="20"/>
                <w:color w:val="auto"/>
              </w:rPr>
            </w:pPr>
            <w:r>
              <w:rPr>
                <w:rFonts w:ascii="Arial" w:cs="Arial" w:eastAsia="Arial" w:hAnsi="Arial"/>
                <w:sz w:val="18"/>
                <w:szCs w:val="18"/>
                <w:b w:val="1"/>
                <w:bCs w:val="1"/>
                <w:color w:val="auto"/>
                <w:w w:val="88"/>
              </w:rPr>
              <w:t>Derivatives not designated as hedging instruments under SFAS No. 133:</w:t>
            </w:r>
          </w:p>
        </w:tc>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0"/>
        </w:trPr>
        <w:tc>
          <w:tcPr>
            <w:tcW w:w="5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520" w:type="dxa"/>
            <w:vAlign w:val="bottom"/>
          </w:tcPr>
          <w:p>
            <w:pPr>
              <w:spacing w:after="0"/>
              <w:rPr>
                <w:sz w:val="14"/>
                <w:szCs w:val="14"/>
                <w:color w:val="auto"/>
              </w:rPr>
            </w:pPr>
          </w:p>
        </w:tc>
        <w:tc>
          <w:tcPr>
            <w:tcW w:w="44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2008</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and other current assets :</w:t>
            </w:r>
          </w:p>
        </w:tc>
        <w:tc>
          <w:tcPr>
            <w:tcW w:w="38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4080" w:type="dxa"/>
            <w:vAlign w:val="bottom"/>
            <w:gridSpan w:val="2"/>
          </w:tcPr>
          <w:p>
            <w:pPr>
              <w:ind w:left="3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 and other current liabilities:</w:t>
            </w:r>
          </w:p>
        </w:tc>
        <w:tc>
          <w:tcPr>
            <w:tcW w:w="3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4080" w:type="dxa"/>
            <w:vAlign w:val="bottom"/>
            <w:gridSpan w:val="2"/>
          </w:tcPr>
          <w:p>
            <w:pPr>
              <w:ind w:left="3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356"/>
        </w:trPr>
        <w:tc>
          <w:tcPr>
            <w:tcW w:w="5520" w:type="dxa"/>
            <w:vAlign w:val="bottom"/>
          </w:tcPr>
          <w:p>
            <w:pPr>
              <w:spacing w:after="0"/>
              <w:rPr>
                <w:sz w:val="24"/>
                <w:szCs w:val="24"/>
                <w:color w:val="auto"/>
              </w:rPr>
            </w:pPr>
          </w:p>
        </w:tc>
        <w:tc>
          <w:tcPr>
            <w:tcW w:w="3880" w:type="dxa"/>
            <w:vAlign w:val="bottom"/>
          </w:tcPr>
          <w:p>
            <w:pPr>
              <w:jc w:val="right"/>
              <w:ind w:right="3556"/>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set forth the effect of foreign currency exchange contracts on the consolidated statements of income for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2009 and 2008:</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580"/>
        <w:spacing w:after="0" w:line="230" w:lineRule="auto"/>
        <w:rPr>
          <w:sz w:val="20"/>
          <w:szCs w:val="20"/>
          <w:color w:val="auto"/>
        </w:rPr>
      </w:pPr>
      <w:r>
        <w:rPr>
          <w:rFonts w:ascii="Arial" w:cs="Arial" w:eastAsia="Arial" w:hAnsi="Arial"/>
          <w:sz w:val="14"/>
          <w:szCs w:val="14"/>
          <w:b w:val="1"/>
          <w:bCs w:val="1"/>
          <w:color w:val="auto"/>
        </w:rPr>
        <w:t>Derivatives in SFAS No. 133 Cash Flow Hedging Relationships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Amount of Gain or</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(Loss) Recognized in</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AOCI on Derivative</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5715</wp:posOffset>
            </wp:positionV>
            <wp:extent cx="8407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44"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jc w:val="center"/>
              <w:ind w:left="232"/>
              <w:spacing w:after="0"/>
              <w:rPr>
                <w:sz w:val="20"/>
                <w:szCs w:val="20"/>
                <w:color w:val="auto"/>
              </w:rPr>
            </w:pPr>
            <w:r>
              <w:rPr>
                <w:rFonts w:ascii="Arial" w:cs="Arial" w:eastAsia="Arial" w:hAnsi="Arial"/>
                <w:sz w:val="14"/>
                <w:szCs w:val="14"/>
                <w:b w:val="1"/>
                <w:bCs w:val="1"/>
                <w:color w:val="auto"/>
                <w:w w:val="88"/>
              </w:rPr>
              <w:t>Location of Gain or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3"/>
              </w:rPr>
              <w:t>(Loss) Recognized</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7"/>
              </w:rPr>
              <w:t>in Income on</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 of Gain or</w:t>
            </w:r>
          </w:p>
        </w:tc>
        <w:tc>
          <w:tcPr>
            <w:tcW w:w="144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9"/>
              </w:rPr>
              <w:t>Derivative</w:t>
            </w:r>
          </w:p>
        </w:tc>
        <w:tc>
          <w:tcPr>
            <w:tcW w:w="0" w:type="dxa"/>
            <w:vAlign w:val="bottom"/>
          </w:tcPr>
          <w:p>
            <w:pPr>
              <w:spacing w:after="0"/>
              <w:rPr>
                <w:sz w:val="1"/>
                <w:szCs w:val="1"/>
                <w:color w:val="auto"/>
              </w:rPr>
            </w:pPr>
          </w:p>
        </w:tc>
      </w:tr>
      <w:tr>
        <w:trPr>
          <w:trHeight w:val="95"/>
        </w:trPr>
        <w:tc>
          <w:tcPr>
            <w:tcW w:w="1420" w:type="dxa"/>
            <w:vAlign w:val="bottom"/>
            <w:vMerge w:val="restart"/>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1500" w:type="dxa"/>
            <w:vAlign w:val="bottom"/>
            <w:gridSpan w:val="2"/>
            <w:vMerge w:val="continue"/>
          </w:tcPr>
          <w:p>
            <w:pPr>
              <w:spacing w:after="0"/>
              <w:rPr>
                <w:sz w:val="8"/>
                <w:szCs w:val="8"/>
                <w:color w:val="auto"/>
              </w:rPr>
            </w:pPr>
          </w:p>
        </w:tc>
        <w:tc>
          <w:tcPr>
            <w:tcW w:w="1440" w:type="dxa"/>
            <w:vAlign w:val="bottom"/>
            <w:vMerge w:val="restart"/>
          </w:tcPr>
          <w:p>
            <w:pPr>
              <w:jc w:val="center"/>
              <w:ind w:left="212"/>
              <w:spacing w:after="0" w:line="149" w:lineRule="exact"/>
              <w:rPr>
                <w:sz w:val="20"/>
                <w:szCs w:val="20"/>
                <w:color w:val="auto"/>
              </w:rPr>
            </w:pPr>
            <w:r>
              <w:rPr>
                <w:rFonts w:ascii="Arial" w:cs="Arial" w:eastAsia="Arial" w:hAnsi="Arial"/>
                <w:sz w:val="14"/>
                <w:szCs w:val="14"/>
                <w:b w:val="1"/>
                <w:bCs w:val="1"/>
                <w:color w:val="auto"/>
                <w:w w:val="88"/>
              </w:rPr>
              <w:t>(Ineffective Portion</w:t>
            </w:r>
          </w:p>
        </w:tc>
        <w:tc>
          <w:tcPr>
            <w:tcW w:w="0" w:type="dxa"/>
            <w:vAlign w:val="bottom"/>
          </w:tcPr>
          <w:p>
            <w:pPr>
              <w:spacing w:after="0"/>
              <w:rPr>
                <w:sz w:val="1"/>
                <w:szCs w:val="1"/>
                <w:color w:val="auto"/>
              </w:rPr>
            </w:pPr>
          </w:p>
        </w:tc>
      </w:tr>
      <w:tr>
        <w:trPr>
          <w:trHeight w:val="54"/>
        </w:trPr>
        <w:tc>
          <w:tcPr>
            <w:tcW w:w="1420" w:type="dxa"/>
            <w:vAlign w:val="bottom"/>
            <w:vMerge w:val="continue"/>
          </w:tcPr>
          <w:p>
            <w:pPr>
              <w:spacing w:after="0"/>
              <w:rPr>
                <w:sz w:val="4"/>
                <w:szCs w:val="4"/>
                <w:color w:val="auto"/>
              </w:rPr>
            </w:pPr>
          </w:p>
        </w:tc>
        <w:tc>
          <w:tcPr>
            <w:tcW w:w="150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w w:val="87"/>
              </w:rPr>
              <w:t>(Loss) Reclassified from</w:t>
            </w: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420" w:type="dxa"/>
            <w:vAlign w:val="bottom"/>
            <w:vMerge w:val="restart"/>
          </w:tcPr>
          <w:p>
            <w:pPr>
              <w:jc w:val="center"/>
              <w:ind w:right="272"/>
              <w:spacing w:after="0" w:line="149" w:lineRule="exact"/>
              <w:rPr>
                <w:sz w:val="20"/>
                <w:szCs w:val="20"/>
                <w:color w:val="auto"/>
              </w:rPr>
            </w:pPr>
            <w:r>
              <w:rPr>
                <w:rFonts w:ascii="Arial" w:cs="Arial" w:eastAsia="Arial" w:hAnsi="Arial"/>
                <w:sz w:val="14"/>
                <w:szCs w:val="14"/>
                <w:b w:val="1"/>
                <w:bCs w:val="1"/>
                <w:color w:val="auto"/>
                <w:w w:val="86"/>
              </w:rPr>
              <w:t>or (Loss)</w:t>
            </w:r>
          </w:p>
        </w:tc>
        <w:tc>
          <w:tcPr>
            <w:tcW w:w="1500" w:type="dxa"/>
            <w:vAlign w:val="bottom"/>
            <w:gridSpan w:val="2"/>
            <w:vMerge w:val="continue"/>
          </w:tcPr>
          <w:p>
            <w:pPr>
              <w:spacing w:after="0"/>
              <w:rPr>
                <w:sz w:val="8"/>
                <w:szCs w:val="8"/>
                <w:color w:val="auto"/>
              </w:rPr>
            </w:pPr>
          </w:p>
        </w:tc>
        <w:tc>
          <w:tcPr>
            <w:tcW w:w="1440" w:type="dxa"/>
            <w:vAlign w:val="bottom"/>
            <w:vMerge w:val="restart"/>
          </w:tcPr>
          <w:p>
            <w:pPr>
              <w:jc w:val="center"/>
              <w:ind w:left="212"/>
              <w:spacing w:after="0" w:line="149" w:lineRule="exact"/>
              <w:rPr>
                <w:sz w:val="20"/>
                <w:szCs w:val="20"/>
                <w:color w:val="auto"/>
              </w:rPr>
            </w:pPr>
            <w:r>
              <w:rPr>
                <w:rFonts w:ascii="Arial" w:cs="Arial" w:eastAsia="Arial" w:hAnsi="Arial"/>
                <w:sz w:val="14"/>
                <w:szCs w:val="14"/>
                <w:b w:val="1"/>
                <w:bCs w:val="1"/>
                <w:color w:val="auto"/>
                <w:w w:val="88"/>
              </w:rPr>
              <w:t>and Amount</w:t>
            </w:r>
          </w:p>
        </w:tc>
        <w:tc>
          <w:tcPr>
            <w:tcW w:w="0" w:type="dxa"/>
            <w:vAlign w:val="bottom"/>
          </w:tcPr>
          <w:p>
            <w:pPr>
              <w:spacing w:after="0"/>
              <w:rPr>
                <w:sz w:val="1"/>
                <w:szCs w:val="1"/>
                <w:color w:val="auto"/>
              </w:rPr>
            </w:pPr>
          </w:p>
        </w:tc>
      </w:tr>
      <w:tr>
        <w:trPr>
          <w:trHeight w:val="54"/>
        </w:trPr>
        <w:tc>
          <w:tcPr>
            <w:tcW w:w="1420" w:type="dxa"/>
            <w:vAlign w:val="bottom"/>
            <w:vMerge w:val="continue"/>
          </w:tcPr>
          <w:p>
            <w:pPr>
              <w:spacing w:after="0"/>
              <w:rPr>
                <w:sz w:val="4"/>
                <w:szCs w:val="4"/>
                <w:color w:val="auto"/>
              </w:rPr>
            </w:pPr>
          </w:p>
        </w:tc>
        <w:tc>
          <w:tcPr>
            <w:tcW w:w="1500" w:type="dxa"/>
            <w:vAlign w:val="bottom"/>
            <w:gridSpan w:val="2"/>
            <w:vMerge w:val="restart"/>
          </w:tcPr>
          <w:p>
            <w:pPr>
              <w:ind w:left="220"/>
              <w:spacing w:after="0" w:line="149" w:lineRule="exact"/>
              <w:rPr>
                <w:sz w:val="20"/>
                <w:szCs w:val="20"/>
                <w:color w:val="auto"/>
              </w:rPr>
            </w:pPr>
            <w:r>
              <w:rPr>
                <w:rFonts w:ascii="Arial" w:cs="Arial" w:eastAsia="Arial" w:hAnsi="Arial"/>
                <w:sz w:val="14"/>
                <w:szCs w:val="14"/>
                <w:b w:val="1"/>
                <w:bCs w:val="1"/>
                <w:color w:val="auto"/>
              </w:rPr>
              <w:t>AOCI into Income</w:t>
            </w: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420" w:type="dxa"/>
            <w:vAlign w:val="bottom"/>
            <w:vMerge w:val="restart"/>
          </w:tcPr>
          <w:p>
            <w:pPr>
              <w:jc w:val="center"/>
              <w:ind w:right="272"/>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1500" w:type="dxa"/>
            <w:vAlign w:val="bottom"/>
            <w:gridSpan w:val="2"/>
            <w:vMerge w:val="continue"/>
          </w:tcPr>
          <w:p>
            <w:pPr>
              <w:spacing w:after="0"/>
              <w:rPr>
                <w:sz w:val="8"/>
                <w:szCs w:val="8"/>
                <w:color w:val="auto"/>
              </w:rPr>
            </w:pPr>
          </w:p>
        </w:tc>
        <w:tc>
          <w:tcPr>
            <w:tcW w:w="1440" w:type="dxa"/>
            <w:vAlign w:val="bottom"/>
            <w:vMerge w:val="restart"/>
          </w:tcPr>
          <w:p>
            <w:pPr>
              <w:jc w:val="center"/>
              <w:ind w:left="232"/>
              <w:spacing w:after="0" w:line="149" w:lineRule="exact"/>
              <w:rPr>
                <w:sz w:val="20"/>
                <w:szCs w:val="20"/>
                <w:color w:val="auto"/>
              </w:rPr>
            </w:pPr>
            <w:r>
              <w:rPr>
                <w:rFonts w:ascii="Arial" w:cs="Arial" w:eastAsia="Arial" w:hAnsi="Arial"/>
                <w:sz w:val="14"/>
                <w:szCs w:val="14"/>
                <w:b w:val="1"/>
                <w:bCs w:val="1"/>
                <w:color w:val="auto"/>
                <w:w w:val="88"/>
              </w:rPr>
              <w:t>Excluded from</w:t>
            </w:r>
          </w:p>
        </w:tc>
        <w:tc>
          <w:tcPr>
            <w:tcW w:w="0" w:type="dxa"/>
            <w:vAlign w:val="bottom"/>
          </w:tcPr>
          <w:p>
            <w:pPr>
              <w:spacing w:after="0"/>
              <w:rPr>
                <w:sz w:val="1"/>
                <w:szCs w:val="1"/>
                <w:color w:val="auto"/>
              </w:rPr>
            </w:pPr>
          </w:p>
        </w:tc>
      </w:tr>
      <w:tr>
        <w:trPr>
          <w:trHeight w:val="54"/>
        </w:trPr>
        <w:tc>
          <w:tcPr>
            <w:tcW w:w="1420" w:type="dxa"/>
            <w:vAlign w:val="bottom"/>
            <w:vMerge w:val="continue"/>
          </w:tcPr>
          <w:p>
            <w:pPr>
              <w:spacing w:after="0"/>
              <w:rPr>
                <w:sz w:val="4"/>
                <w:szCs w:val="4"/>
                <w:color w:val="auto"/>
              </w:rPr>
            </w:pPr>
          </w:p>
        </w:tc>
        <w:tc>
          <w:tcPr>
            <w:tcW w:w="15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(Effective Portion)</w:t>
            </w: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1420" w:type="dxa"/>
            <w:vAlign w:val="bottom"/>
            <w:vMerge w:val="restart"/>
          </w:tcPr>
          <w:p>
            <w:pPr>
              <w:jc w:val="center"/>
              <w:ind w:right="272"/>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500" w:type="dxa"/>
            <w:vAlign w:val="bottom"/>
            <w:tcBorders>
              <w:bottom w:val="single" w:sz="8" w:color="auto"/>
            </w:tcBorders>
            <w:gridSpan w:val="2"/>
            <w:vMerge w:val="continue"/>
          </w:tcPr>
          <w:p>
            <w:pPr>
              <w:spacing w:after="0"/>
              <w:rPr>
                <w:sz w:val="9"/>
                <w:szCs w:val="9"/>
                <w:color w:val="auto"/>
              </w:rPr>
            </w:pPr>
          </w:p>
        </w:tc>
        <w:tc>
          <w:tcPr>
            <w:tcW w:w="1440" w:type="dxa"/>
            <w:vAlign w:val="bottom"/>
            <w:vMerge w:val="restart"/>
          </w:tcPr>
          <w:p>
            <w:pPr>
              <w:jc w:val="center"/>
              <w:ind w:left="212"/>
              <w:spacing w:after="0" w:line="149" w:lineRule="exact"/>
              <w:rPr>
                <w:sz w:val="20"/>
                <w:szCs w:val="20"/>
                <w:color w:val="auto"/>
              </w:rPr>
            </w:pPr>
            <w:r>
              <w:rPr>
                <w:rFonts w:ascii="Arial" w:cs="Arial" w:eastAsia="Arial" w:hAnsi="Arial"/>
                <w:sz w:val="14"/>
                <w:szCs w:val="14"/>
                <w:b w:val="1"/>
                <w:bCs w:val="1"/>
                <w:color w:val="auto"/>
                <w:w w:val="84"/>
              </w:rPr>
              <w:t>Effectiveness</w:t>
            </w:r>
          </w:p>
        </w:tc>
        <w:tc>
          <w:tcPr>
            <w:tcW w:w="0" w:type="dxa"/>
            <w:vAlign w:val="bottom"/>
          </w:tcPr>
          <w:p>
            <w:pPr>
              <w:spacing w:after="0"/>
              <w:rPr>
                <w:sz w:val="1"/>
                <w:szCs w:val="1"/>
                <w:color w:val="auto"/>
              </w:rPr>
            </w:pPr>
          </w:p>
        </w:tc>
      </w:tr>
      <w:tr>
        <w:trPr>
          <w:trHeight w:val="21"/>
        </w:trPr>
        <w:tc>
          <w:tcPr>
            <w:tcW w:w="142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20" w:type="dxa"/>
            <w:vAlign w:val="bottom"/>
          </w:tcPr>
          <w:p>
            <w:pPr>
              <w:jc w:val="center"/>
              <w:ind w:right="292"/>
              <w:spacing w:after="0"/>
              <w:rPr>
                <w:sz w:val="20"/>
                <w:szCs w:val="20"/>
                <w:color w:val="auto"/>
              </w:rPr>
            </w:pPr>
            <w:r>
              <w:rPr>
                <w:rFonts w:ascii="Arial" w:cs="Arial" w:eastAsia="Arial" w:hAnsi="Arial"/>
                <w:sz w:val="14"/>
                <w:szCs w:val="14"/>
                <w:b w:val="1"/>
                <w:bCs w:val="1"/>
                <w:color w:val="auto"/>
                <w:w w:val="87"/>
              </w:rPr>
              <w:t>(Effective Portion)</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2009</w:t>
            </w: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440" w:type="dxa"/>
            <w:vAlign w:val="bottom"/>
          </w:tcPr>
          <w:p>
            <w:pPr>
              <w:jc w:val="center"/>
              <w:ind w:left="232"/>
              <w:spacing w:after="0"/>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center"/>
        <w:ind w:right="120"/>
        <w:spacing w:after="0" w:line="271" w:lineRule="auto"/>
        <w:rPr>
          <w:sz w:val="20"/>
          <w:szCs w:val="20"/>
          <w:color w:val="auto"/>
        </w:rPr>
      </w:pPr>
      <w:r>
        <w:rPr>
          <w:rFonts w:ascii="Arial" w:cs="Arial" w:eastAsia="Arial" w:hAnsi="Arial"/>
          <w:sz w:val="12"/>
          <w:szCs w:val="12"/>
          <w:b w:val="1"/>
          <w:bCs w:val="1"/>
          <w:color w:val="auto"/>
        </w:rPr>
        <w:t>Amount of Gain or (Loss) Recognized in Income on Derivative (Ineffective Portion and Amount Excluded from Effectiveness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-19050</wp:posOffset>
            </wp:positionV>
            <wp:extent cx="934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p>
    <w:p>
      <w:pPr>
        <w:spacing w:after="0" w:line="1" w:lineRule="exact"/>
        <w:rPr>
          <w:sz w:val="20"/>
          <w:szCs w:val="20"/>
          <w:color w:val="auto"/>
        </w:rPr>
      </w:pPr>
    </w:p>
    <w:p>
      <w:pPr>
        <w:sectPr>
          <w:pgSz w:w="11900" w:h="16838" w:orient="portrait"/>
          <w:cols w:equalWidth="0" w:num="4">
            <w:col w:w="2860" w:space="720"/>
            <w:col w:w="1180" w:space="480"/>
            <w:col w:w="4360" w:space="340"/>
            <w:col w:w="14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Foreign exchange</w:t>
            </w: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tcBorders>
              <w:top w:val="single" w:sz="8" w:color="auto"/>
              <w:right w:val="single" w:sz="8" w:color="CCEEFF"/>
            </w:tcBorders>
            <w:gridSpan w:val="4"/>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Foreign exchange</w:t>
            </w:r>
          </w:p>
        </w:tc>
        <w:tc>
          <w:tcPr>
            <w:tcW w:w="100" w:type="dxa"/>
            <w:vAlign w:val="bottom"/>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$(3,926)</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$(2,107)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gain/(loss)</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(1,415)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1,828</w:t>
            </w:r>
          </w:p>
        </w:tc>
        <w:tc>
          <w:tcPr>
            <w:tcW w:w="8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89"/>
              </w:rPr>
              <w:t>gain/(loss)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   (42)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6"/>
              </w:rPr>
              <w:t>Amount of Gain or (Loss) Recognized</w:t>
            </w:r>
          </w:p>
        </w:tc>
        <w:tc>
          <w:tcPr>
            <w:tcW w:w="0" w:type="dxa"/>
            <w:vAlign w:val="bottom"/>
          </w:tcPr>
          <w:p>
            <w:pPr>
              <w:spacing w:after="0"/>
              <w:rPr>
                <w:sz w:val="1"/>
                <w:szCs w:val="1"/>
                <w:color w:val="auto"/>
              </w:rPr>
            </w:pPr>
          </w:p>
        </w:tc>
      </w:tr>
      <w:tr>
        <w:trPr>
          <w:trHeight w:val="161"/>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w w:val="92"/>
              </w:rPr>
              <w:t>Derivatives not Designated as Hedging</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6"/>
              </w:rPr>
              <w:t>Location of Gain or (Loss) Recognized in</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87"/>
              </w:rPr>
              <w:t>in Income on Derivatives</w:t>
            </w:r>
          </w:p>
        </w:tc>
        <w:tc>
          <w:tcPr>
            <w:tcW w:w="0" w:type="dxa"/>
            <w:vAlign w:val="bottom"/>
          </w:tcPr>
          <w:p>
            <w:pPr>
              <w:spacing w:after="0"/>
              <w:rPr>
                <w:sz w:val="1"/>
                <w:szCs w:val="1"/>
                <w:color w:val="auto"/>
              </w:rPr>
            </w:pPr>
          </w:p>
        </w:tc>
      </w:tr>
      <w:tr>
        <w:trPr>
          <w:trHeight w:val="129"/>
        </w:trPr>
        <w:tc>
          <w:tcPr>
            <w:tcW w:w="2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Instrument under SFAS No. 133</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4"/>
          </w:tcPr>
          <w:p>
            <w:pPr>
              <w:jc w:val="center"/>
              <w:ind w:left="300"/>
              <w:spacing w:after="0" w:line="129" w:lineRule="exact"/>
              <w:rPr>
                <w:sz w:val="20"/>
                <w:szCs w:val="20"/>
                <w:color w:val="auto"/>
              </w:rPr>
            </w:pPr>
            <w:r>
              <w:rPr>
                <w:rFonts w:ascii="Arial" w:cs="Arial" w:eastAsia="Arial" w:hAnsi="Arial"/>
                <w:sz w:val="14"/>
                <w:szCs w:val="14"/>
                <w:b w:val="1"/>
                <w:bCs w:val="1"/>
                <w:color w:val="auto"/>
                <w:w w:val="86"/>
              </w:rPr>
              <w:t>Income on Derivatives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247"/>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239"/>
              <w:spacing w:after="0" w:line="129" w:lineRule="exact"/>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jc w:val="center"/>
              <w:ind w:left="300"/>
              <w:spacing w:after="0"/>
              <w:rPr>
                <w:sz w:val="20"/>
                <w:szCs w:val="20"/>
                <w:color w:val="auto"/>
              </w:rPr>
            </w:pPr>
            <w:r>
              <w:rPr>
                <w:rFonts w:ascii="Arial" w:cs="Arial" w:eastAsia="Arial" w:hAnsi="Arial"/>
                <w:sz w:val="18"/>
                <w:szCs w:val="18"/>
                <w:color w:val="auto"/>
                <w:w w:val="87"/>
              </w:rPr>
              <w:t>Foreign exchange gain/(loss)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comprehensive income/(loss) for the three months ended March 31, 2009 and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5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$ 2,883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comprehensive income/(loss):</w:t>
            </w:r>
          </w:p>
        </w:tc>
        <w:tc>
          <w:tcPr>
            <w:tcW w:w="4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gain/(loss) on effective cash flow hedges</w:t>
            </w:r>
          </w:p>
        </w:tc>
        <w:tc>
          <w:tcPr>
            <w:tcW w:w="5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5700" w:type="dxa"/>
            <w:vAlign w:val="bottom"/>
            <w:gridSpan w:val="3"/>
          </w:tcPr>
          <w:p>
            <w:pPr>
              <w:jc w:val="right"/>
              <w:ind w:right="340"/>
              <w:spacing w:after="0"/>
              <w:rPr>
                <w:sz w:val="20"/>
                <w:szCs w:val="20"/>
                <w:color w:val="auto"/>
              </w:rPr>
            </w:pPr>
            <w:r>
              <w:rPr>
                <w:rFonts w:ascii="Arial" w:cs="Arial" w:eastAsia="Arial" w:hAnsi="Arial"/>
                <w:sz w:val="18"/>
                <w:szCs w:val="18"/>
                <w:color w:val="auto"/>
              </w:rPr>
              <w:t>(2,058)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Retirement benefits</w:t>
            </w:r>
          </w:p>
        </w:tc>
        <w:tc>
          <w:tcPr>
            <w:tcW w:w="4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420"/>
              <w:spacing w:after="0"/>
              <w:rPr>
                <w:sz w:val="20"/>
                <w:szCs w:val="20"/>
                <w:color w:val="auto"/>
              </w:rPr>
            </w:pPr>
            <w:r>
              <w:rPr>
                <w:rFonts w:ascii="Arial" w:cs="Arial" w:eastAsia="Arial" w:hAnsi="Arial"/>
                <w:sz w:val="18"/>
                <w:szCs w:val="18"/>
                <w:color w:val="auto"/>
              </w:rPr>
              <w:t>Total other comprehensive income/(loss)</w:t>
            </w:r>
          </w:p>
        </w:tc>
        <w:tc>
          <w:tcPr>
            <w:tcW w:w="4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47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(4,543)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income/(loss)</w:t>
            </w:r>
          </w:p>
        </w:tc>
        <w:tc>
          <w:tcPr>
            <w:tcW w:w="5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740" w:type="dxa"/>
            <w:vAlign w:val="bottom"/>
            <w:vMerge w:val="restart"/>
          </w:tcPr>
          <w:p>
            <w:pPr>
              <w:jc w:val="right"/>
              <w:ind w:right="3952"/>
              <w:spacing w:after="0"/>
              <w:rPr>
                <w:sz w:val="20"/>
                <w:szCs w:val="20"/>
                <w:color w:val="auto"/>
              </w:rPr>
            </w:pPr>
            <w:r>
              <w:rPr>
                <w:rFonts w:ascii="Arial" w:cs="Arial" w:eastAsia="Arial" w:hAnsi="Arial"/>
                <w:sz w:val="18"/>
                <w:szCs w:val="18"/>
                <w:color w:val="auto"/>
              </w:rPr>
              <w:t>10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171"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During the three months ended March 31, 2009, the Company acquired 1,315 shares of common stock from employees in connection with withholding tax payments related to the vesting of restricted stock for a total consideration of $11. The purchase price of $8.31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three months ended March 31, 2009, the Company purchased 5,621 shares of its common stock for an aggregate purchase price of approximately $34, excluding commissions, representing an average purchase price per share of $6.11 as part of the share repurchase program that authorized the purchase of up to $10,000 of the Company’s outstanding common stock on or prior to November 2009. Repurchased shares have been recorded as treasury shares and will be held until the Company’s board of directors designates that these shares be retired or used for other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Company’s Gratuity Plan applicable to India-based employees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9900" w:type="dxa"/>
            <w:vAlign w:val="bottom"/>
          </w:tcPr>
          <w:p>
            <w:pPr>
              <w:spacing w:after="0"/>
              <w:rPr>
                <w:sz w:val="20"/>
                <w:szCs w:val="20"/>
                <w:color w:val="auto"/>
              </w:rPr>
            </w:pPr>
            <w:r>
              <w:rPr>
                <w:rFonts w:ascii="Arial" w:cs="Arial" w:eastAsia="Arial" w:hAnsi="Arial"/>
                <w:sz w:val="18"/>
                <w:szCs w:val="18"/>
                <w:color w:val="auto"/>
              </w:rPr>
              <w:t>Net gratuity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contributes to various defined contribution plans on behalf of its employees in India and the Philippines. The assets held by the plans are not reported on the Company’s balance sheet. The contributions made to the plans for each period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2009</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Three months ended March 31, 2008</w:t>
            </w:r>
          </w:p>
        </w:tc>
        <w:tc>
          <w:tcPr>
            <w:tcW w:w="730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356"/>
        </w:trPr>
        <w:tc>
          <w:tcPr>
            <w:tcW w:w="4120" w:type="dxa"/>
            <w:vAlign w:val="bottom"/>
          </w:tcPr>
          <w:p>
            <w:pPr>
              <w:spacing w:after="0"/>
              <w:rPr>
                <w:sz w:val="24"/>
                <w:szCs w:val="24"/>
                <w:color w:val="auto"/>
              </w:rPr>
            </w:pPr>
          </w:p>
        </w:tc>
        <w:tc>
          <w:tcPr>
            <w:tcW w:w="7300" w:type="dxa"/>
            <w:vAlign w:val="bottom"/>
          </w:tcPr>
          <w:p>
            <w:pPr>
              <w:jc w:val="right"/>
              <w:ind w:right="5532"/>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leases motor vehicles for some of its employees. Such leases are recorded as capital leases with interest rates ranging from 10.5% to 13.5%.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these capital leases at March 31, 2009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4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1040" w:type="dxa"/>
            <w:vAlign w:val="bottom"/>
          </w:tcPr>
          <w:p>
            <w:pPr>
              <w:spacing w:after="0"/>
              <w:rPr>
                <w:sz w:val="20"/>
                <w:szCs w:val="20"/>
                <w:color w:val="auto"/>
              </w:rPr>
            </w:pPr>
            <w:r>
              <w:rPr>
                <w:rFonts w:ascii="Arial" w:cs="Arial" w:eastAsia="Arial" w:hAnsi="Arial"/>
                <w:sz w:val="18"/>
                <w:szCs w:val="18"/>
                <w:color w:val="auto"/>
              </w:rPr>
              <w:t>2010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$140</w:t>
            </w:r>
          </w:p>
        </w:tc>
      </w:tr>
      <w:tr>
        <w:trPr>
          <w:trHeight w:val="232"/>
        </w:trPr>
        <w:tc>
          <w:tcPr>
            <w:tcW w:w="20" w:type="dxa"/>
            <w:vAlign w:val="bottom"/>
          </w:tcPr>
          <w:p>
            <w:pPr>
              <w:spacing w:after="0"/>
              <w:rPr>
                <w:sz w:val="20"/>
                <w:szCs w:val="20"/>
                <w:color w:val="auto"/>
              </w:rPr>
            </w:pPr>
          </w:p>
        </w:tc>
        <w:tc>
          <w:tcPr>
            <w:tcW w:w="110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1040" w:type="dxa"/>
            <w:vAlign w:val="bottom"/>
          </w:tcPr>
          <w:p>
            <w:pPr>
              <w:spacing w:after="0"/>
              <w:rPr>
                <w:sz w:val="20"/>
                <w:szCs w:val="20"/>
                <w:color w:val="auto"/>
              </w:rPr>
            </w:pPr>
            <w:r>
              <w:rPr>
                <w:rFonts w:ascii="Arial" w:cs="Arial" w:eastAsia="Arial" w:hAnsi="Arial"/>
                <w:sz w:val="18"/>
                <w:szCs w:val="18"/>
                <w:color w:val="auto"/>
              </w:rPr>
              <w:t>2012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0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10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0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1040" w:type="dxa"/>
            <w:vAlign w:val="bottom"/>
          </w:tcPr>
          <w:p>
            <w:pPr>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04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through February 2014. Future minimum lease payments under non-cancelable operating lease agreements expiring after more than twelve months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4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2010</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$2,079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2012</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2014</w:t>
            </w:r>
          </w:p>
        </w:tc>
        <w:tc>
          <w:tcPr>
            <w:tcW w:w="4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7,058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operating leases are subject to renewal periodically and have scheduled rent increases. We account for scheduled rent on a straight line basis over the lease period. Rent expense under both cancelable and non-cancelable operating leases was $1,257 and $1,504 for the three months ended March 31, 2009 and 2008,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income tax expense/(benefit) of $263 and ($31) for the three months ended March 31, 2009 and 2008, respectively.</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effective rate of taxes attributable to continuing operations has increased from a tax benefit of 0.7% for the three months ended March 31, 2008 to a tax provision of 8.0% for the three months ended March 31, 2009. Changes in our effective rate of taxes are primarily due to the changes in the geographic distribution of our income. Certain of our Indian subsidiaries benefit from a tax holiday until March 2010.</w:t>
      </w:r>
    </w:p>
    <w:p>
      <w:pPr>
        <w:spacing w:after="0" w:line="140"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The fiscal year under the Indian Income Tax Act ends on March 31 of each year. A portion of the Company’s Indian operations qualifies for exemption from taxable income because its profits are attributable to work performed in Export Processing Zones. This exemption is available for a period of ten consecutive years beginning from the year in which the entity commenced commercial operations. Accordingly, Exl India and Inductis India benefit from this deduction. This exemption terminates if the Company ceases to operate in Export Processing Zones or by March 2010 when the tax exemption period expires. ESSPL is not eligible for this deduction. The export revenue of Exl India and Inductis India qualifies for a deduction from taxable income because its profits are attributable to work performed in Export Processing Zones, and a portion of the temporary differences will not have any tax consequences as they will reverse within the tax holiday period.</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Pursuant to changes in the Indian Income Tax Act from April 1, 2007, the Company has calculated its tax liability after considering the Minimum Alternate Tax (“MAT”). Amounts paid towards MAT can be carried forward and set off against future tax liabilities. In accordance with SFAS No. 109,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 deferred tax asset of $1,390 and $2,109 has been recognized as of March 31, 2009 and December 31, 2008, respectively, with respect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March 31, 2009, the Company performed an analysis of the deferred tax asset valuation allowance for its Indian subsidiaries. Based on this analysis, the Company has concluded that a valuation allowance offsetting certain deferred tax assets should continue to be recorded at March 31, 2009 based on the conclusion that it is more likely than not that there will not be sufficient future taxable income to realize the deferred tax assets. The valuation allowance as of March 31, 2009 and December 31, 2008 was approximately $4,278 and $4,010,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costs related to the Company’s stock-based compensation plan are included in the consolidated statement of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tcPr>
          <w:p>
            <w:pPr>
              <w:spacing w:after="0"/>
              <w:rPr>
                <w:sz w:val="14"/>
                <w:szCs w:val="14"/>
                <w:color w:val="auto"/>
              </w:rPr>
            </w:pPr>
          </w:p>
        </w:tc>
        <w:tc>
          <w:tcPr>
            <w:tcW w:w="13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0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r>
      <w:tr>
        <w:trPr>
          <w:trHeight w:val="210"/>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r>
      <w:tr>
        <w:trPr>
          <w:trHeight w:val="222"/>
        </w:trPr>
        <w:tc>
          <w:tcPr>
            <w:tcW w:w="101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1,539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r>
      <w:tr>
        <w:trPr>
          <w:trHeight w:val="20"/>
        </w:trPr>
        <w:tc>
          <w:tcPr>
            <w:tcW w:w="10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Finance Act of India, 2007 has imposed a Fringe Benefit Tax (“FBT”) on equity compensation effective April 1, 2007. The FBT is calculated on the difference between the fair market value as of the vesting date and the exercise price of the equity compensation awards granted to India-based employees. For the three months ended March 31, 2009 and 2008, the Company recorded FBT expense of approximately $0 and $13, respectively. The Company recovers FBT from its India-based employees. In accordance with GAAP, the recovery of FBT is treated as additional exercise price and is recorded as an addition to additional paid-in capital in the unaudited consolidated balance sheet.</w:t>
      </w:r>
    </w:p>
    <w:p>
      <w:pPr>
        <w:spacing w:after="0" w:line="1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fair value of each stock option granted to employees, not subject to the FBT is estimated on the date of grant using the Black-Scholes option-pricing model and the fair value of each stock option granted to employees subject to the FBT is estimated at the date of grant using the Monte Carlo simulation model with the following weighted average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7"/>
              </w:rPr>
              <w:t>Three months ended</w:t>
            </w:r>
          </w:p>
        </w:tc>
      </w:tr>
      <w:tr>
        <w:trPr>
          <w:trHeight w:val="161"/>
        </w:trPr>
        <w:tc>
          <w:tcPr>
            <w:tcW w:w="97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97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r>
      <w:tr>
        <w:trPr>
          <w:trHeight w:val="210"/>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0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4.50</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Dividend yield</w:t>
            </w: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2"/>
        </w:trPr>
        <w:tc>
          <w:tcPr>
            <w:tcW w:w="9720" w:type="dxa"/>
            <w:vAlign w:val="bottom"/>
          </w:tcPr>
          <w:p>
            <w:pPr>
              <w:spacing w:after="0"/>
              <w:rPr>
                <w:sz w:val="20"/>
                <w:szCs w:val="20"/>
                <w:color w:val="auto"/>
              </w:rPr>
            </w:pPr>
            <w:r>
              <w:rPr>
                <w:rFonts w:ascii="Arial" w:cs="Arial" w:eastAsia="Arial" w:hAnsi="Arial"/>
                <w:sz w:val="18"/>
                <w:szCs w:val="18"/>
                <w:color w:val="auto"/>
              </w:rPr>
              <w:t>Volatility</w:t>
            </w: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rPr>
              <w:t>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w:t>
            </w:r>
          </w:p>
        </w:tc>
      </w:tr>
    </w:tbl>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stocks of comparative companies. The risk-free interest rate that the Company uses in the option valuation model is based on U.S. treasury zero-coupon bonds with a remaining term similar to the expected term of the options. 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of Shares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40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Intrinsic Value</w:t>
            </w:r>
          </w:p>
        </w:tc>
        <w:tc>
          <w:tcPr>
            <w:tcW w:w="4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1,788,751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3140" w:type="dxa"/>
            <w:vAlign w:val="bottom"/>
            <w:gridSpan w:val="3"/>
          </w:tcPr>
          <w:p>
            <w:pPr>
              <w:jc w:val="right"/>
              <w:ind w:right="260"/>
              <w:spacing w:after="0"/>
              <w:rPr>
                <w:sz w:val="20"/>
                <w:szCs w:val="20"/>
                <w:color w:val="auto"/>
              </w:rPr>
            </w:pPr>
            <w:r>
              <w:rPr>
                <w:rFonts w:ascii="Arial" w:cs="Arial" w:eastAsia="Arial" w:hAnsi="Arial"/>
                <w:sz w:val="18"/>
                <w:szCs w:val="18"/>
                <w:color w:val="auto"/>
              </w:rPr>
              <w:t>1,509,189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2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(10,600)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2009</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3,287,340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2009</w:t>
            </w:r>
          </w:p>
        </w:tc>
        <w:tc>
          <w:tcPr>
            <w:tcW w:w="2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648,241</w:t>
            </w: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12.60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359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March 31, 2009</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4,176,849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unrecognized compensation cost for unvested options as of March 31, 2009 is $10,331 which is expected to be expensed over a weighted average period of 2.89 years. The weighted-average fair value of options granted during the three months ended March 31, 2009 and 2008 was $3.42 and $4.87, respectively. The total fair value of shares vested during the three months ended March 31, 2009 is $913.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4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Restricted Stock</w:t>
            </w:r>
          </w:p>
        </w:tc>
        <w:tc>
          <w:tcPr>
            <w:tcW w:w="220" w:type="dxa"/>
            <w:vAlign w:val="bottom"/>
          </w:tcPr>
          <w:p>
            <w:pPr>
              <w:spacing w:after="0"/>
              <w:rPr>
                <w:sz w:val="14"/>
                <w:szCs w:val="14"/>
                <w:color w:val="auto"/>
              </w:rPr>
            </w:pPr>
          </w:p>
        </w:tc>
        <w:tc>
          <w:tcPr>
            <w:tcW w:w="1460" w:type="dxa"/>
            <w:vAlign w:val="bottom"/>
            <w:gridSpan w:val="5"/>
          </w:tcPr>
          <w:p>
            <w:pPr>
              <w:ind w:left="80"/>
              <w:spacing w:after="0"/>
              <w:rPr>
                <w:sz w:val="20"/>
                <w:szCs w:val="20"/>
                <w:color w:val="auto"/>
              </w:rPr>
            </w:pPr>
            <w:r>
              <w:rPr>
                <w:rFonts w:ascii="Arial" w:cs="Arial" w:eastAsia="Arial" w:hAnsi="Arial"/>
                <w:sz w:val="14"/>
                <w:szCs w:val="14"/>
                <w:b w:val="1"/>
                <w:bCs w:val="1"/>
                <w:color w:val="auto"/>
                <w:w w:val="91"/>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Intrinsic</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578,246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center"/>
              <w:ind w:left="120"/>
              <w:spacing w:after="0"/>
              <w:rPr>
                <w:sz w:val="20"/>
                <w:szCs w:val="20"/>
                <w:color w:val="auto"/>
              </w:rPr>
            </w:pPr>
            <w:r>
              <w:rPr>
                <w:rFonts w:ascii="Arial" w:cs="Arial" w:eastAsia="Arial" w:hAnsi="Arial"/>
                <w:sz w:val="18"/>
                <w:szCs w:val="18"/>
                <w:color w:val="auto"/>
                <w:w w:val="88"/>
              </w:rPr>
              <w:t>10.26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cente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(40,900)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(11,328)</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cente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2009</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526,018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center"/>
              <w:ind w:left="120"/>
              <w:spacing w:after="0"/>
              <w:rPr>
                <w:sz w:val="20"/>
                <w:szCs w:val="20"/>
                <w:color w:val="auto"/>
              </w:rPr>
            </w:pPr>
            <w:r>
              <w:rPr>
                <w:rFonts w:ascii="Arial" w:cs="Arial" w:eastAsia="Arial" w:hAnsi="Arial"/>
                <w:sz w:val="18"/>
                <w:szCs w:val="18"/>
                <w:color w:val="auto"/>
                <w:w w:val="88"/>
              </w:rPr>
              <w:t>10.26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2009, unrecognized compensation cost of $8,013 is expected to be expensed over a weighted average period of 2.6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three months ended March 31, 2009 and 2008, the Company recorded compensation expense of $11 and ($16), respectively related to stock options granted to advisory board. The fair value and related compensation expense will be calculated for the unvested portion of these options at the end of each reporting period until such options are fully vested.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the execution of a five-year services agreement, the Company issued options to purchase 230,200 shares of common stock at an exercise price of $6.25 per share in July 2004 to one of its clients. The options are fully exercisable and expire ten years from the date of grant. The value of the options on the date of issuance, using the Black-Scholes valuation model, was approximately $1,792. Such amount is being amortized as a reduction in revenue over the five-year term of the services agreement. Amortization for the three months ended March 31, 2009 and 2008 was $60 and $90,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On January 15, 2008, the Company purchased net assets for a consideration of $1,508 from a company controlled by entities related to the Oak Hill Partnerships, one of the Company’s significant stockholders. The Company recorded expenses of $0 and $394 for the three months ended March 31, 2009 and 2008, respectively, for transition services performed by the seller prior to the acquisition. As of March 31, 2009 and December 31, 2008, the Company had no amounts payable related to these transactions.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provides transformation services to Duane Reade Holdings, Inc., a New York City drugstore chain. Duane Reade Holdings, Inc. is indirectly owned by entities related to the Oak Hill Partnerships, one of the Company’s significant stockholders. The Company recognized revenue of approximately $57 and $100 during the three months ended March 31, 2009 and 2008, respectively, for fees and expense reimbursements from Duane Reade Holdings, Inc. At March 31, 2009 and December 31, 2008, the Company had an account receivable of $33 and $89, respectively, related to these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4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1002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0020" w:type="dxa"/>
            <w:vAlign w:val="bottom"/>
          </w:tcPr>
          <w:p>
            <w:pPr>
              <w:spacing w:after="0"/>
              <w:rPr>
                <w:sz w:val="12"/>
                <w:szCs w:val="12"/>
                <w:color w:val="auto"/>
              </w:rPr>
            </w:pPr>
          </w:p>
        </w:tc>
        <w:tc>
          <w:tcPr>
            <w:tcW w:w="58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$26,898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$ 23,684</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20,627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Rest of world (excluding India)</w:t>
            </w: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10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40,986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$ 44,431</w:t>
            </w:r>
          </w:p>
        </w:tc>
      </w:tr>
      <w:tr>
        <w:trPr>
          <w:trHeight w:val="20"/>
        </w:trPr>
        <w:tc>
          <w:tcPr>
            <w:tcW w:w="10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During the three months ended March 31, 2009 and 2008, the Company’s total revenues from the three largest clients were $18,753 and $20,082, respectively, accounting for 45.8% and 45.2% of the total revenues, respectively, during these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9700" w:type="dxa"/>
            <w:vAlign w:val="bottom"/>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r>
      <w:tr>
        <w:trPr>
          <w:trHeight w:val="210"/>
        </w:trPr>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India</w:t>
            </w: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$ 19,209</w:t>
            </w:r>
          </w:p>
        </w:tc>
        <w:tc>
          <w:tcPr>
            <w:tcW w:w="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19,235</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jc w:val="right"/>
              <w:spacing w:after="0"/>
              <w:rPr>
                <w:sz w:val="20"/>
                <w:szCs w:val="20"/>
                <w:color w:val="auto"/>
              </w:rPr>
            </w:pPr>
            <w:r>
              <w:rPr>
                <w:rFonts w:ascii="Arial" w:cs="Arial" w:eastAsia="Arial" w:hAnsi="Arial"/>
                <w:sz w:val="18"/>
                <w:szCs w:val="18"/>
                <w:color w:val="auto"/>
              </w:rPr>
              <w:t>1,122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1,182</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2"/>
        </w:trPr>
        <w:tc>
          <w:tcPr>
            <w:tcW w:w="97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$ 24,023</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24,518</w:t>
            </w:r>
          </w:p>
        </w:tc>
      </w:tr>
      <w:tr>
        <w:trPr>
          <w:trHeight w:val="20"/>
        </w:trPr>
        <w:tc>
          <w:tcPr>
            <w:tcW w:w="9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417" w:lineRule="auto"/>
        <w:tabs>
          <w:tab w:leader="none" w:pos="263"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March 31, 2009, the Company had committed to spend approximately $1,705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delivery centers in India have been established as 100% Export-Oriented units under the “Export Import Policy” (the “Policy”) or Software Technology Parks of India units (“STPI”) under the STPI guidelines issued by the Government of India that has provided the Company with certain incentives on imported and indigenous capital goods. Under this policy, these units must achieve certain export ratios and realize revenues attributable to exports over a specified period. In the event that these units are unable to meet the requirements over the specified period, the Company may be required to refund these incentives along with penalties and fines. However, management believes that these units will achieve the export levels within the required timeframe as they have consistently generated the required levels of export revenues.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Exl Philippines is registered as an Ecozone IT Enterprise with the Philippines Economic Zone Authority. Exl Philippines has an export obligation of $13,100 during the three year period ending March 31, 2011. The registration has also provided the Company with certain incentives on the import of capital goods. Management believes that Exl Philippines will achieve these export levels within the required timeframe.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six assessment orders from the Indian tax authorities with respect to their audit of certain of the Company’s subsidiaries. The Indian tax authorities are examining income tax returns for other tax years. The details of the assessment orders as of March 31, 2009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Tax Year</w:t>
            </w:r>
          </w:p>
        </w:tc>
        <w:tc>
          <w:tcPr>
            <w:tcW w:w="200" w:type="dxa"/>
            <w:vAlign w:val="bottom"/>
          </w:tcPr>
          <w:p>
            <w:pPr>
              <w:spacing w:after="0"/>
              <w:rPr>
                <w:sz w:val="14"/>
                <w:szCs w:val="14"/>
                <w:color w:val="auto"/>
              </w:rPr>
            </w:pPr>
          </w:p>
        </w:tc>
        <w:tc>
          <w:tcPr>
            <w:tcW w:w="7780" w:type="dxa"/>
            <w:vAlign w:val="bottom"/>
            <w:vMerge w:val="restart"/>
          </w:tcPr>
          <w:p>
            <w:pPr>
              <w:ind w:left="3740"/>
              <w:spacing w:after="0"/>
              <w:rPr>
                <w:sz w:val="20"/>
                <w:szCs w:val="20"/>
                <w:color w:val="auto"/>
              </w:rPr>
            </w:pPr>
            <w:r>
              <w:rPr>
                <w:rFonts w:ascii="Arial" w:cs="Arial" w:eastAsia="Arial" w:hAnsi="Arial"/>
                <w:sz w:val="14"/>
                <w:szCs w:val="14"/>
                <w:b w:val="1"/>
                <w:bCs w:val="1"/>
                <w:color w:val="auto"/>
              </w:rPr>
              <w:t>Issue</w:t>
            </w:r>
          </w:p>
        </w:tc>
        <w:tc>
          <w:tcPr>
            <w:tcW w:w="20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77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Demanded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Deposited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1000" w:type="dxa"/>
            <w:vAlign w:val="bottom"/>
            <w:gridSpan w:val="2"/>
            <w:shd w:val="clear" w:color="auto" w:fill="CCEEFF"/>
          </w:tcPr>
          <w:p>
            <w:pPr>
              <w:jc w:val="center"/>
              <w:ind w:left="92"/>
              <w:spacing w:after="0" w:line="201" w:lineRule="exact"/>
              <w:rPr>
                <w:sz w:val="20"/>
                <w:szCs w:val="20"/>
                <w:color w:val="auto"/>
              </w:rPr>
            </w:pPr>
            <w:r>
              <w:rPr>
                <w:rFonts w:ascii="Arial" w:cs="Arial" w:eastAsia="Arial" w:hAnsi="Arial"/>
                <w:sz w:val="18"/>
                <w:szCs w:val="18"/>
                <w:color w:val="auto"/>
                <w:w w:val="87"/>
              </w:rPr>
              <w:t>2003-04</w:t>
            </w:r>
          </w:p>
        </w:tc>
        <w:tc>
          <w:tcPr>
            <w:tcW w:w="79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The assessment order alleges that the transfer price the Company applied to transactions between Exl India</w:t>
            </w:r>
          </w:p>
        </w:tc>
        <w:tc>
          <w:tcPr>
            <w:tcW w:w="3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7"/>
              </w:rPr>
              <w:t>1,900</w:t>
            </w:r>
          </w:p>
        </w:tc>
        <w:tc>
          <w:tcPr>
            <w:tcW w:w="2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1,900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and Exl Inc. in the 2003-04 tax year was not appropriate and disallows certain expenses claimed as tax</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deductible by Exl India.</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0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2004-05</w:t>
            </w: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w w:val="90"/>
              </w:rPr>
              <w:t>The assessment order alleges that the transfer price the Company applied to transactions between Exl India</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1,900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w w:val="93"/>
              </w:rPr>
              <w:t>and Exl Inc. for the 2004-05 tax year was not appropriate and disallows certain expenses claimed as tax</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rPr>
              <w:t>deductible by Exl India.</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10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2005-06</w:t>
            </w:r>
          </w:p>
        </w:tc>
        <w:tc>
          <w:tcPr>
            <w:tcW w:w="7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The assessment order alleges that the transfer price the Company applied to transactions between Exl India</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4,800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and Exl Inc. for the 2005-06 tax year was not appropriate and disallows certain expenses claimed as tax</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deductible by Exl India.</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80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2003-04</w:t>
            </w: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2,900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10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2004-05</w:t>
            </w:r>
          </w:p>
        </w:tc>
        <w:tc>
          <w:tcPr>
            <w:tcW w:w="7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2005-06</w:t>
            </w: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for the 2003-04 and 2004-05 tax years and partial amounts with respect to the assessment orders received by Exl Inc. During the three months ended March 31, 2009, the Company reached agreement with the Indian tax authorities for a deposit of approximately $1,600 with respect to the assessment order received by Exl India for the 2005-06 tax year. There is a likelihood that the Company might receive similar orders for other years until the above disputes are resolved. Amounts paid as deposits in respect of the assessments described above, totaling $7,200 and $5,800 as of March 31, 2009 and December 31, 2008, respectively, are included in “Other assets” in the Company’s consolidated balance sheet.</w:t>
      </w:r>
    </w:p>
    <w:p>
      <w:pPr>
        <w:spacing w:after="0" w:line="12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order to resolve the outstanding transfer pricing and permanent establishment tax disputes with the Indian tax authorities, the Company has filed requests with the U.S. competent authorities to invoke a Mutual Agreement Procedure, or MAP, under the United States – India Income Tax Treaty. As a result of commencing the MAP, the U.S. competent authorities will work with the Indian competent authorities to propose a resolution to the outstanding tax disputes. The proposed resolution is not binding on the Company. As required by the MAP, the Company obtained bank guarantees of approximately $2,600 subsequent to March 31, 2009, and will need to obtain additional bank guarantees of approximately $3,500 during the third quarter of 2009, in favor of the government of India to stop the collection of the outstanding tax demands and interest for tax years 2003-04, 2004-05 and 2005-06. If additional assessment orders are received for other years, the Company may invoke the MAP for such orders.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Discontinued Operations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On August 11, 2008, the Company completed the sale of all of its shares of NCOP to Aviva Global Services Singapore Pte Ltd. The Company received consideration totaling approximately $3,430 ($1,982 in the three months ended September 30, 2008 and $1,448 in the three months ended March 31, 2009). Income/(loss) from discontinued operations, net of income taxes, was ($139), or $0.00 per share, for the three months ended March 31, 2009, compared to $2,085, or $0.07 per share, for the three months ended March 31, 2008.</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shows the major categories for discontinued operations in the consolidated statements of income for the three months ended March 31,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4"/>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5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Revenues</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w:t>
            </w:r>
          </w:p>
        </w:tc>
        <w:tc>
          <w:tcPr>
            <w:tcW w:w="5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Disposal:</w:t>
            </w:r>
          </w:p>
        </w:tc>
        <w:tc>
          <w:tcPr>
            <w:tcW w:w="5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800" w:type="dxa"/>
            <w:vAlign w:val="bottom"/>
            <w:gridSpan w:val="2"/>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(139)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260" w:type="dxa"/>
            <w:vAlign w:val="bottom"/>
            <w:vMerge w:val="restart"/>
          </w:tcPr>
          <w:p>
            <w:pPr>
              <w:jc w:val="right"/>
              <w:ind w:right="4172"/>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2008. Some of the statements in the following discussion are forward looking statements. See “Forward Looking Statements.” Dollar amounts within Item 2 are presented as actual dollar amounts.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by outsourcing and transforming their business processes. Our outsourcing services provide integrated front-, middle- and back-office process outsourcing services for our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 offerings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utilities, financial services and transportation sectors.</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market our services directly through our sales and marketing and strategic account management teams, which operate out of New York and London, and our business development team, which operates out of Noida, India. We currently operate nine operations centers in India and one operations center in the Philippines.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August 11, 2008, the Company completed the sale of all of its shares of Noida Customer Operations Private Limited (“NCOP’) to Aviva Global Services Singapore Pte Ltd. For all the periods presented, NCOP is reported as a discontinued operation and any discussion throughout this Management’s Discussion and Analysis of Financial Condition and Results of Operations and consolidated financial statements relates to continuing operations unless otherwise indicated.</w:t>
      </w:r>
    </w:p>
    <w:p>
      <w:pPr>
        <w:spacing w:after="0" w:line="14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We generate revenues principally from contracts to provide outsourcing and transformation services. For the three months ended March 31, 2009, we had total revenues of $41.0 million compared to total revenues of $44.4 million for the three months ended March 31, 2008, a decrease of 7.8%, primarily due to the appreciation of the U.S. dollar against the U.K. pound sterling and lower revenues in our transformation services segment as a result of lower client discretionary spending due to broad based weakness in the economy. Revenues from transformation services, excluding the impact of the appreciation of the U.S. dollar against the U.K. pound sterling, grew by $2.7 million during the three months ended March 31, 2009 due to ongoing growth in our existing client relationships.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both organically and through acquisitions. We provide our clients with a range of outsourcing services, including insurance services, banking and financial services, utilities, finance and accounting services,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from three to five years.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transformation services can be, and in the three months ended March 31, 2009, were, significantly affected by variations in business cycles. In addition, our transformation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65.6% and 34.1%, respectively, of our total revenues for the three months ended March 31, 2009, and approximately 53.3% and 46.4%, respectively, of our total revenues for the three months ended March 31, 2008.</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both the United States and the United Kingdom, there has been recent negative publicity and proposed legislation with regard to outsourcing. If these trends continue and result in the enactment of additional legislation for which we are unable to contractually protect ourselves, our revenues could be materially affected. With the recent global economic downturn and resulting increases in unemployment in both of these countries, we expect these publicity and legislative trends to continue and possibly intensify. Our management actively monitors legislative activities in the United States and United Kingdom, both directly and through industry organizations. However, if legislation were enacted in the United Kingdom or the United States that has the effect of severely curtailing our activities in such countries, it is unlikely that we would be able to quickly replace such lost revenues.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three months ended March 31, 2009 and 2008, our total revenues from our three largest clients were $18.8 million and $20.1 million, respectively, accounting for 45.8% and 45.2% of our total revenues, respectively, during these periods.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provide services to Centrica, which represented $8.7 million, or 21.2%, of our total revenues, for the three months ended March 31, 2009, and $12.0 million, or 26.9% of our total revenues, for the three months ended March 31, 2008, under an agreement that is scheduled to expire in April 2012.</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derived revenues from two and nine new clients during the three months ended March 31, 2009 and 2008, respectively. Although we are increasing and diversifying our customer base, we expect in the near future that a significant portion of our revenues will continue to be contributed by a limited number of large clients.</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fixed price, contingent fee or unit-price basis. Revenue is recognized on cost-plus contracts on the basis of contractually agreed direct and indirect cost elements incurred on a client contract plus an agreed upon profit mark-up. Revenues are recognized on time-and-material contracts primarily on the basis of full time equivalent employees, including direct and indirect costs, incurred on a client contract. Revenues are recognized on fixed-price contracts using the proportional performance method. Revenues are recognized on contingent fee based contracts is recognized when the related contingency has been met to the client’s satisfaction. Revenues are recognized on unit-price based contracts based on the number of specified units of work (such as the number of e-mail responses) delivered to a client.</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March 31, 2009 and 2008, $1.5 million, or 3.7%, and $2.9 million, or 6.6%, respectively, of our revenues represent reimbursement of such expenses.</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management has observed in recent periods a shift in industry pricing models toward transaction-based pricing. We believe this trend will continue and we have begun to use transaction-based pricing models with some of our current clients and are seeking to move certain other clients from a billing rate model to a transaction-based pricing model. Transaction-based pricing requires that we maintain peak efficiency in our service delivery in order to maintain our operating margins.</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In addition, we have also observed that prospective larger clients are entering into multi-vendor relationships with regard to their outsourcing needs. Although we have recently had certain clients consolidate their operations within a single service provider, this was done after a period in which the client maintained relationships with multiple vendors and we believe the trend toward multi-vendor relationships will continue. A multi-vendor relationship allows a client to obtain optimal pricing and other contract terms from each vendor, which can result in significantly reduced operating margins from the provision of services to such client. To the extent our large clients expand their use of multi-vendor relationships, our operating margins may be reduced with regard to such clients.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our Annual Report on Form 10-K for the year ended December 31,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8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1"/>
              </w:rPr>
              <w:t>Three months 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7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2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2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r>
      <w:tr>
        <w:trPr>
          <w:trHeight w:val="221"/>
        </w:trPr>
        <w:tc>
          <w:tcPr>
            <w:tcW w:w="73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expenses(3)</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expenses(3)</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amortization(4)</w:t>
            </w:r>
          </w:p>
        </w:tc>
        <w:tc>
          <w:tcPr>
            <w:tcW w:w="2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30"/>
        </w:trPr>
        <w:tc>
          <w:tcPr>
            <w:tcW w:w="730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 net</w:t>
            </w:r>
          </w:p>
        </w:tc>
        <w:tc>
          <w:tcPr>
            <w:tcW w:w="2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Income tax provision/(benefit)</w:t>
            </w:r>
          </w:p>
        </w:tc>
        <w:tc>
          <w:tcPr>
            <w:tcW w:w="2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27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jc w:val="both"/>
        <w:ind w:left="460" w:right="340" w:hanging="452"/>
        <w:spacing w:after="0" w:line="35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accordance with GAAP, we include the amount of telecommunications and travel-related costs that are billed to and reimbursed by our clients in our revenues. Revenues include reimbursable expenses of $1.5 million and $2.9 million for the three months ended March 31, 2009 and 2008, respectively.</w:t>
      </w:r>
    </w:p>
    <w:p>
      <w:pPr>
        <w:jc w:val="both"/>
        <w:ind w:left="460" w:right="320" w:hanging="452"/>
        <w:spacing w:after="0" w:line="335"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Cost of revenues includes $0.3 million and $0.1 million for the three months ended March 31, 2009 and 2008, respectively, as non-cash amortization of stock compensation expense relating to the issuance of equity awards to employees directly involved in providing services to our clients as described in Note 12 to our unaudited consolidated financial statements. Cost of revenues excludes depreciation and amortization related to fixed assets.</w:t>
      </w:r>
    </w:p>
    <w:p>
      <w:pPr>
        <w:spacing w:after="0" w:line="7" w:lineRule="exact"/>
        <w:rPr>
          <w:rFonts w:ascii="Arial" w:cs="Arial" w:eastAsia="Arial" w:hAnsi="Arial"/>
          <w:sz w:val="15"/>
          <w:szCs w:val="15"/>
          <w:color w:val="auto"/>
        </w:rPr>
      </w:pPr>
    </w:p>
    <w:p>
      <w:pPr>
        <w:ind w:left="460" w:right="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includes $1.2 million and $0.9 million for the three months ended March 31, 2009 and 2008 respectively, as non-cash amortization of stock compensation expense relating to the issuance of equity awards to our non-operations staff as described in Note 12 to our unaudited consolidated financial statements.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 includes amortization of intangibles of $0.2 million for the three months ended March 31,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2009 Compared to Three Months Ended March 31, 2008</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color w:val="auto"/>
        </w:rPr>
        <w:t>. Revenues decreased 7.8% from $44.4 million for the three months ended March 31, 2008 to $41.0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Revenues from outsourcing services decreased by $1.5 million, resulting from a $4.2 million reduction due to the appreciation of the U.S. dollar against the U.K. pound sterling partially offset by volume increases within existing processes and the addition of 15 new processes totaling $2.7 million during the three months ended March 31, 2009. Revenues from new clients for outsourcing services were $0 million and $0.1 million during the three months ended March 31, 2009 and 2008, respectively.</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Revenues from transformation services decreased by $1.9 million, resulting from a $0.8 million reduction due to the appreciation of the U.S. dollar against the U.K. pound sterling and lower revenues due to reduced client spending on discretionary projects during the three months ended March 31, 2009. Revenues from new clients for transformation services were $0.1 million and $0.5 million during the three months ended March 31, 2009 and 2008, respectively.</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decreased 14.9% from $28.6 million for the three months ended March 31, 2008 to $24.4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2009. Salaries and personnel expenses decreased from $20.0 million for the three months ended March 31, 2008 to $17.5 million for the three months ended March 31, 2009, primarily due to the depreciation of the Indian rupee against the U.S. dollar, resulting in a decrease in costs of $3.7 million, partially offset by an increase in headcount and salary levels. Other operating costs decreased from $8.6 million for the three months ended March 31, 2008 to $6.9 million for the three months ended March 31, 2009, primarily due to a decrease in reimbursable expenses by $1.0 million and depreciation of the Indian rupee against the U.S. dollar, resulting in a decrease in costs of $1.0 million. As a percentage of revenues, cost of revenues decreased from 64.4% for the three months ended March 31, 2008 to 59.4% for the three months ended March 31, 2009.</w:t>
      </w:r>
    </w:p>
    <w:p>
      <w:pPr>
        <w:spacing w:after="0" w:line="11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5.3% from $15.8 million for the three months ended March 31, 2008 to $16.6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2009. The increase in gross profit was primarily the result of a decrease in cost of revenues of $4.3 million, offset by a decrease in revenues of $3.4 million. Gross profit as a percentage of revenues increased from 35.6% for the three months ended March 31, 2008 to 40.6% for the three months ended March 31, 2009.</w:t>
      </w:r>
    </w:p>
    <w:p>
      <w:pPr>
        <w:spacing w:after="0" w:line="14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b w:val="1"/>
          <w:bCs w:val="1"/>
          <w:i w:val="1"/>
          <w:iCs w:val="1"/>
          <w:color w:val="auto"/>
        </w:rPr>
        <w:t xml:space="preserve">SG&amp;A Expenses. </w:t>
      </w:r>
      <w:r>
        <w:rPr>
          <w:rFonts w:ascii="Arial" w:cs="Arial" w:eastAsia="Arial" w:hAnsi="Arial"/>
          <w:sz w:val="15"/>
          <w:szCs w:val="15"/>
          <w:color w:val="auto"/>
        </w:rPr>
        <w:t>SG&amp;A expenses decreased 7.7% from $10.8 million for the three months ended March 31, 2008 to $9.9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March 31, 2009. The decrease in SG&amp;A expense is primarily due to the depreciation of the Indian rupee against the U.S. dollar resulting in a decrease in costs of $0.8 million, a decrease in other operating expenses of $0.9 million, partially offset by an increase in salary and personnel expenses of $0.8 million due to the addition of sales and marketing staff. As a percentage of revenues, SG&amp;A expenses were 24.2% for each of the three months ended March 31, 2008 and 2009.</w:t>
      </w:r>
    </w:p>
    <w:p>
      <w:pPr>
        <w:spacing w:after="0" w:line="9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decreased 3.4% from $2.5 million for the three months ended March 31, 2008 to $2.4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March 31, 2009. As we add more operations centers, we expect that depreciation expense will increase to reflect the additional investment in equipment and operations centers necessary to meet service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69.0% from $2.5 million for the three months ended March 31, 2008 to $4.3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2009. As a percentage of revenues, income from operations increased from 5.7% for the three months ended March 31, 2008 to 10.4% for the three months ended March 31, 2009. The increase in income from operations was primarily the result of an increase in gross profit of $0.8 million and a decrease in operating expenses of $0.9 million, primarily due to the depreciation of the Indian rupee against the U.S. dollar.</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Other Income/(expense). </w:t>
      </w:r>
      <w:r>
        <w:rPr>
          <w:rFonts w:ascii="Arial" w:cs="Arial" w:eastAsia="Arial" w:hAnsi="Arial"/>
          <w:sz w:val="18"/>
          <w:szCs w:val="18"/>
          <w:color w:val="auto"/>
        </w:rPr>
        <w:t>Other income is comprised of foreign exchange gains and losses, interest income, interest expense and other. Other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from income of $2.2 million for the three months ended March 31, 2008 to an expense of $1.0 million for the three months ended March 31, 2009 as a result of a significant increase in net foreign exchange losses attributable to movement of the Indian rupee against the U.S. dollar and the U.K. pound sterling relative to our hedged position.</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$0 million for the three months ended March 31, 2008 to $0.3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2009. The effective rate of taxes has increased from a benefit of 0.7% for the three months ended March 31, 2008 to a provision of 8.0% for the three months ended March 31, 2009. This is primarily due to changes in the geographic distribution of our income.</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Income from continuing operations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from continuing operations decreased from $4.7 million for the three months ended March 31, 2008 to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March 31, 2009, due to a significant increase in foreign exchange losses attributable to the movement of the Indian rupee against the U.S. dollar and the U.K. pound sterling relative to our hedged position, partially offset by higher income from operations. As a percentage of revenues, income from continuing operations decreased from 10.6% for the three months ended March 31, 2008 to 7.4% for the three months ended March 31,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2009, we had $106.6 million in cash and cash equivalents on hand.</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Cash flows used for operating activities decreased from $9.8 million in the three months ended March 31, 2008 to $1.2 million in the three months ended March 31, 2009. Generally, factors that affect our earnings—for example, pricing, volume of services, costs and productivity—affect our cash flows provided by or used for operations in a similar manner. However, while management of working capital, including timing of collections and payments, affects operating results only indirectly, the impact on working capital and cash flows provided by operating activities can be significant. The decrease in cash flows used for operations is predominantly due to changes in working capital by $10.2 million, partially offset by the decrease in net income adjusted for non-cash items by $1.6 million. Changes in working capital are primarily due to a reduction in accounts receivable of $2.5 million for the three months ended March 31, 2009 as compared to an increase of $7.6 million for the three months ended March 31, 2008.</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Cash flows used for investing activities decreased from $8.5 million in the three months ended March 31, 2008 to $3.6 million in the three months ended March 31, 2009. The decrease is primarily the result of lower capital expenditures of $1.8 million in the three months ended March 31, 2009, payment of $1.7 million as purchase consideration for an acquisition made during the three months ended March 31, 2008 and proceeds from the sale of our discontinued operations of $1.4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flows used for financing activities were insignificant during the quarters ended March 31, 2009 and 2008.</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the purchase of capital expenditures made by us represent primarily leasehold improvements to build out facilities, telecommunications equipment and computer hardware and software in connection with managing client operations. We incurred approximately $5.0 million of capital expenditures in the three months ended March 31, 2009. We expect to incur capital expenditures of approximately $10 million to $15 million in the remainder of fiscal year 2009 primarily to meet the growth requirements of our clients, including additions to our facilities as well as to improve our internal technology. The timing and volume of such capital expenditures in the future will be affected by new contracts we may enter into or the expansion of our existing contracts. In addition, we expect to repurchase shares of our common stock from time to time until November 2009. Through March 31, 2009, we had repurchased an aggregate of approximately $0.4 million under our previously announced program to repurchase up to $10.0 million of our common stock.</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in connection with the tax assessment orders issued against Exl India and Exl Inc. we may be required to deposit additional amounts with respect to the assessment orders received by us and for similar orders for subsequent years that may be received by us. As required by the MAP, the Company obtained bank guarantees of approximately $2.6 million subsequent to March 31, 2009, and will need to obtain additional bank guarantees of approximately $3.5 million during the third quarter of 2009, in favor of the government of India to stop the collection of the outstanding tax demands and interest for tax years 2003-04, 2004-05 and 2005-06.</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anticipate that we will continue to rely upon cash from operating activities to finance our capital expenditures and working capital needs. Based on economic conditions as of March 31, 2009, we believe that cash flow from operations will be sufficient to meet our ongoing capital expenditure, working capital and other cash needs in the near term. If we have significant growth through acquisitions or require additional operating facilities to service customer contracts, we may need to obtain additional financing.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2009 and December 31, 2008, we had no off-balance sheet arrangements or obligations.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March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600" w:type="dxa"/>
            <w:vAlign w:val="bottom"/>
            <w:tcBorders>
              <w:bottom w:val="single" w:sz="8" w:color="auto"/>
            </w:tcBorders>
            <w:gridSpan w:val="9"/>
          </w:tcPr>
          <w:p>
            <w:pPr>
              <w:jc w:val="center"/>
              <w:ind w:left="220"/>
              <w:spacing w:after="0"/>
              <w:rPr>
                <w:sz w:val="20"/>
                <w:szCs w:val="20"/>
                <w:color w:val="auto"/>
              </w:rPr>
            </w:pPr>
            <w:r>
              <w:rPr>
                <w:rFonts w:ascii="Arial" w:cs="Arial" w:eastAsia="Arial" w:hAnsi="Arial"/>
                <w:sz w:val="14"/>
                <w:szCs w:val="14"/>
                <w:b w:val="1"/>
                <w:bCs w:val="1"/>
                <w:color w:val="auto"/>
                <w:w w:val="86"/>
              </w:rPr>
              <w:t>Payments Due by Period (in millions)</w:t>
            </w: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1-3</w:t>
            </w:r>
          </w:p>
        </w:tc>
        <w:tc>
          <w:tcPr>
            <w:tcW w:w="540" w:type="dxa"/>
            <w:vAlign w:val="bottom"/>
            <w:gridSpan w:val="2"/>
          </w:tcPr>
          <w:p>
            <w:pPr>
              <w:jc w:val="center"/>
              <w:ind w:left="119"/>
              <w:spacing w:after="0" w:line="129" w:lineRule="exact"/>
              <w:rPr>
                <w:sz w:val="20"/>
                <w:szCs w:val="20"/>
                <w:color w:val="auto"/>
              </w:rPr>
            </w:pPr>
            <w:r>
              <w:rPr>
                <w:rFonts w:ascii="Arial" w:cs="Arial" w:eastAsia="Arial" w:hAnsi="Arial"/>
                <w:sz w:val="14"/>
                <w:szCs w:val="14"/>
                <w:b w:val="1"/>
                <w:bCs w:val="1"/>
                <w:color w:val="auto"/>
                <w:w w:val="88"/>
              </w:rPr>
              <w:t>4-5</w:t>
            </w:r>
          </w:p>
        </w:tc>
        <w:tc>
          <w:tcPr>
            <w:tcW w:w="20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years</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5 Years</w:t>
            </w:r>
          </w:p>
        </w:tc>
        <w:tc>
          <w:tcPr>
            <w:tcW w:w="2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Other obligations(a)</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Represents estimated payments under the Company’s Gratuity Plan.</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delivery centers in India have been established as 100% Export-Oriented units under the “Export Import Policy” (the “Policy”) or Software Technology Parks of India units (“STPI”) under the STPI guidelines issued by the Government of India that has provided us with certain incentives on imported and indigenous capital goods. Under this policy, these units must achieve certain export ratios and realize revenues attributable to exports over a specified period. In the event that these units are unable to meet the requirements over the specified period, we may be required to refund these incentives along with penalties and fines. However, management believes that these units will achieve the export levels within the required timeframe as they have consistently generated the required levels of export revenues.</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Exl Philippines is registered as an Ecozone IT Enterprise with the Philippines Economic Zone Authority. Exl Philippines has an export obligation of $13.1 million during the three year period ending March 31, 2011. The registration has also provided us with certain incentives on the import of capital goods. Management believes that Exl Philippines will achieve these export levels within the required timeframe.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2007, the Financial Accounting Standards Board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 141 (revised 2007)”). SFAS No. 141 (revised 2007)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SFAS No. 141 (revised 2007) is effective for fiscal years beginning after December 15, 2008, with early adoption prohibited. The impact of SFAS No. 141 (revised 2007) on our consolidated financial statements will depend on the size and nature of any acquisitions on or after January 1, 2009.</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February 2008, the FASB issued Financial Staff Positions (“FSP”) SFAS 157-2, Effective Date of FASB Statement No. 157 (“FSP 157-2”), which delays the effective date of SFAS No. 157, Fair Value Measurement (“SFAS No. 157”), for all nonfinancial assets and nonfinancial liabilities, except those that are recognized or disclosed at fair value in the financial statements on a recurring basis (at least annually). FSP 157-2 partially defers the effective date of SFAS No. 157 to fiscal years beginning after November 15, 2008, and interim periods within those fiscal years for items within the scope of FSP 157-2. The implementation of FSP 157-2 for non financial assets and financial liabilities, effective January 1, 2009, did not have a material impact on our consolidated financial position, results of operations or cash flows.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March 2008, the FASB issued SFAS No. 161, “</w:t>
      </w:r>
      <w:r>
        <w:rPr>
          <w:rFonts w:ascii="Arial" w:cs="Arial" w:eastAsia="Arial" w:hAnsi="Arial"/>
          <w:sz w:val="16"/>
          <w:szCs w:val="16"/>
          <w:i w:val="1"/>
          <w:iCs w:val="1"/>
          <w:color w:val="auto"/>
        </w:rPr>
        <w:t>Disclosures about Derivative Instruments and Hedging Activities—an amendment of FASB Statement No.</w:t>
      </w:r>
      <w:r>
        <w:rPr>
          <w:rFonts w:ascii="Arial" w:cs="Arial" w:eastAsia="Arial" w:hAnsi="Arial"/>
          <w:sz w:val="16"/>
          <w:szCs w:val="16"/>
          <w:color w:val="auto"/>
        </w:rPr>
        <w:t xml:space="preserve"> </w:t>
      </w:r>
      <w:r>
        <w:rPr>
          <w:rFonts w:ascii="Arial" w:cs="Arial" w:eastAsia="Arial" w:hAnsi="Arial"/>
          <w:sz w:val="16"/>
          <w:szCs w:val="16"/>
          <w:i w:val="1"/>
          <w:iCs w:val="1"/>
          <w:color w:val="auto"/>
        </w:rPr>
        <w:t>133</w:t>
      </w:r>
      <w:r>
        <w:rPr>
          <w:rFonts w:ascii="Arial" w:cs="Arial" w:eastAsia="Arial" w:hAnsi="Arial"/>
          <w:sz w:val="16"/>
          <w:szCs w:val="16"/>
          <w:color w:val="auto"/>
        </w:rPr>
        <w:t>” (“SFAS No. 161”). SFAS No. 161 amends and expands the disclosures required by SFAS No. 133 so that they provide an enhanced understanding of how</w:t>
      </w:r>
      <w:r>
        <w:rPr>
          <w:rFonts w:ascii="Arial" w:cs="Arial" w:eastAsia="Arial" w:hAnsi="Arial"/>
          <w:sz w:val="16"/>
          <w:szCs w:val="16"/>
          <w:i w:val="1"/>
          <w:iCs w:val="1"/>
          <w:color w:val="auto"/>
        </w:rPr>
        <w:t xml:space="preserve"> </w:t>
      </w:r>
      <w:r>
        <w:rPr>
          <w:rFonts w:ascii="Arial" w:cs="Arial" w:eastAsia="Arial" w:hAnsi="Arial"/>
          <w:sz w:val="16"/>
          <w:szCs w:val="16"/>
          <w:color w:val="auto"/>
        </w:rPr>
        <w:t>and why an entity uses derivative instruments, how derivative instruments and related hedged items are accounted for under SFAS No. 133 and its related interpretations and how derivative instruments affect an entity’s financial position, financial performance and cash flows. SFAS No. 161 encourages, but does not require, comparative disclosures for earlier periods at initial adoption. SFAS No. 161 is effective for financial statements issued for fiscal years and interim periods beginning after November 15, 2008, with early application encouraged. The adoption of SFAS No. 161, effective January 1, 2009, did not have a material impact on our consolidated financial position, results of operations or cash flows.</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April 2009, the FASB issued three Staff Positions that are intended to provide additional application guidance and enhance disclosures about fair value measurements and impairments of securities. FSP FAS 157-4 clarifies the objective and method of fair value measurement when there has been a significant decrease in market activity for the asset being measured. FSP FAS 115-2 and FAS 124-2 establishes a new model for measuring other-than-temporary impairments for debt securities, including establishing criteria for when to recognize a write-down through earnings versus other comprehensive income. FSP FAS 107-1 and APB 28-1 expands the fair value disclosures required for all financial instruments within the scope of SFAS No. 107, “</w:t>
      </w:r>
      <w:r>
        <w:rPr>
          <w:rFonts w:ascii="Arial" w:cs="Arial" w:eastAsia="Arial" w:hAnsi="Arial"/>
          <w:sz w:val="16"/>
          <w:szCs w:val="16"/>
          <w:i w:val="1"/>
          <w:iCs w:val="1"/>
          <w:color w:val="auto"/>
        </w:rPr>
        <w:t>Disclosures about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of Financial Instruments</w:t>
      </w:r>
      <w:r>
        <w:rPr>
          <w:rFonts w:ascii="Arial" w:cs="Arial" w:eastAsia="Arial" w:hAnsi="Arial"/>
          <w:sz w:val="16"/>
          <w:szCs w:val="16"/>
          <w:color w:val="auto"/>
        </w:rPr>
        <w:t>”, to interim periods. These FSPs are effective for periods ending after June 15, 2009. We are currently evaluating the impact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these standards will have on our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of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these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three months ended March 31, 2009,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2008.</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March 31, 2009. Based upon that evaluation, the CEO and CFO have concluded that, as of March 31, 2009, our disclosure controls and procedures were effective to provide reasonable assurance that the information required to be disclosed by us in reports filed under the Exchange Act were (i) recorded, processed, summarized and reported within the time periods specified in the SEC’s rules and forms and (ii) accumulated and communicated to our management, to allow timely decisions regarding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three months ended March 31, 2009,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disclosed under the heading “Legal Proceedings” in our Annual Report on Form 10-K for the fiscal year ended December 31, 2008 certain proceedings which may materially affect our business, financial condition or results of operations. You should carefully consider the disclosures set forth in our Annual Report on Form 10-K for the fiscal year ended December 31, 2008 and the other information set forth elsewhere in this Quarterly Report on Form 10-Q. There are no material changes to the legal proceedings as described in our Annual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2008 the risk factors which materially affect our business, financial condition or results of operations. You should carefully consider the “Risk Factors” set forth in our Annual Report on Form 10-K for the year ended December 31, 2008 and the other information set forth elsewhere in this Quarterly Report on Form 10-Q. You should be aware that these risk factors and other information may not describe every risk facing our Company. Additional risks and uncertainties not currently known to us also may materially adversely affect our business, financial condition and/or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During the three months ended March 31, 2009, the Company acquired 1,315 shares of common stock from employees in connection with withholding tax payments related to the vesting of restricted stock for a total consideration of $10,921. The purchase price of $8.31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the three months ended March 31, 2009, the Company purchased 5,621 shares of its common stock for an aggregate purchase price of approximately $34,332 excluding commissions, representing an average purchase price per share of $6.11 as part of the share repurchase program that authorized the purchase of up to $10,000,000 of the Company’s outstanding common stock on or prior to November 2009. Repurchased shares have been recorded as treasury shares and will be held until the Company’s board of directors designates that these shares be retired or used for other purposes.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6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6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6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b w:val="1"/>
                <w:bCs w:val="1"/>
                <w:color w:val="auto"/>
                <w:w w:val="96"/>
              </w:rPr>
              <w:t>Average Price</w:t>
            </w:r>
          </w:p>
        </w:tc>
        <w:tc>
          <w:tcPr>
            <w:tcW w:w="6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6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Shares Purchased</w:t>
            </w:r>
          </w:p>
        </w:tc>
        <w:tc>
          <w:tcPr>
            <w:tcW w:w="3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6"/>
              </w:rPr>
              <w:t>Paid per Share(1)</w:t>
            </w:r>
          </w:p>
        </w:tc>
        <w:tc>
          <w:tcPr>
            <w:tcW w:w="6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 2009</w:t>
            </w:r>
          </w:p>
        </w:tc>
        <w:tc>
          <w:tcPr>
            <w:tcW w:w="1340" w:type="dxa"/>
            <w:vAlign w:val="bottom"/>
            <w:gridSpan w:val="2"/>
            <w:shd w:val="clear" w:color="auto" w:fill="CCEEFF"/>
          </w:tcPr>
          <w:p>
            <w:pPr>
              <w:jc w:val="center"/>
              <w:ind w:left="3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9,660,492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February 1 - February 28, 2009</w:t>
            </w:r>
          </w:p>
        </w:tc>
        <w:tc>
          <w:tcPr>
            <w:tcW w:w="1340" w:type="dxa"/>
            <w:vAlign w:val="bottom"/>
            <w:gridSpan w:val="2"/>
          </w:tcPr>
          <w:p>
            <w:pPr>
              <w:jc w:val="center"/>
              <w:ind w:left="3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9,660,492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 2009</w:t>
            </w:r>
          </w:p>
        </w:tc>
        <w:tc>
          <w:tcPr>
            <w:tcW w:w="1340" w:type="dxa"/>
            <w:vAlign w:val="bottom"/>
            <w:gridSpan w:val="2"/>
            <w:shd w:val="clear" w:color="auto" w:fill="CCEEFF"/>
          </w:tcPr>
          <w:p>
            <w:pPr>
              <w:jc w:val="center"/>
              <w:ind w:left="260"/>
              <w:spacing w:after="0"/>
              <w:rPr>
                <w:sz w:val="20"/>
                <w:szCs w:val="20"/>
                <w:color w:val="auto"/>
              </w:rPr>
            </w:pPr>
            <w:r>
              <w:rPr>
                <w:rFonts w:ascii="Arial" w:cs="Arial" w:eastAsia="Arial" w:hAnsi="Arial"/>
                <w:sz w:val="18"/>
                <w:szCs w:val="18"/>
                <w:color w:val="auto"/>
                <w:w w:val="88"/>
              </w:rPr>
              <w:t>5,621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commissions paid by the Company in connection with the repurchases.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May 5, 2009, the Company and Exl India each entered into an employment letter agreement with Vishal Chhibbar. Mr. Chhibbar will serve as Vice President and Chief Financial Officer of the Company and Exl India effective June 1, 2009 (the “Effective Date”).</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Mr. Chhibbar, age 41, has 20 years of professional experience and has been with GE Capital since 1998 where he has served in various senior leadership roles in finance. Since 2005, Mr. Chhibbar has served as the Regional Head, Group Financial Planning for Strategy and Treasury for GE Capital, Australia and New Zealand. In 2004 and 2005, Mr. Chhibbar was Chief Financial Officer for GE Capital, South Korea. From 1998 to 2004, Mr. Chhibbar was the Chief Financial Officer for GE Capital, Indonesia and Malaysia. Mr. Chhibbar is a Chartered Accountant and holds a Bachelor of Commerce from DAV College, Dehradun. Mr. Chhibbar will be based in EXL’s corporate offices in Noida, India.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Chhibbar will receive an annual basic salary of 6,187,500 Rupees (currently equivalent to $125,520 using a conversion rate of 49.2950 Rupees =</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 and will be eligible to receive a target cash bonus equal to 50% of his total annual fixed compensation, which is currently 13,750,000 Rupees (equivalent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$278,933 using such conversion rate), 60% of which will be subject to the achievement by the Company of corporate revenue and EBIT targets set for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calendar year and 40% of which will be subject to the achievement by Mr. Chhibbar of personal targets set for each calendar year. The personal targets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remainder of 2009 are to be mutually agreed upon by Mr. Chhibbar and the Company’s President and Chief Executive Officer. The bonus amount may exceed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 of Mr. Chhibbar’s total annual fixed compensation if and to the extent the targets are exceeded, but the bonus amount cannot exceed 100% of Mr. Chhibbar’s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total annual fixed compensation. Any bonus for 2009 will be pro-rated to reflect Mr. Chhibbar’s June 1 commencement of employment.</w:t>
      </w:r>
    </w:p>
    <w:p>
      <w:pPr>
        <w:spacing w:after="0" w:line="16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Mr. Chhibbar is also entitled to receive a one-time signing bonus of 1,250,000 Rupees (equivalent to $25,358 using such conversion rate) within 60 days following the Effective Date; provided that if Mr. Chhibbar’s employment with the Company is terminated by Mr. Chhibbar without “Good Reason” (as defined</w:t>
      </w:r>
    </w:p>
    <w:p>
      <w:pPr>
        <w:sectPr>
          <w:pgSz w:w="11900" w:h="16838" w:orient="portrait"/>
          <w:cols w:equalWidth="0" w:num="1">
            <w:col w:w="11420"/>
          </w:cols>
          <w:pgMar w:left="240" w:top="459" w:right="239" w:bottom="0" w:gutter="0" w:footer="0" w:header="0"/>
        </w:sectPr>
      </w:pPr>
    </w:p>
    <w:bookmarkStart w:id="29" w:name="page30"/>
    <w:bookmarkEnd w:id="29"/>
    <w:p>
      <w:pPr>
        <w:spacing w:after="0" w:line="306" w:lineRule="auto"/>
        <w:rPr>
          <w:sz w:val="20"/>
          <w:szCs w:val="20"/>
          <w:color w:val="auto"/>
        </w:rPr>
      </w:pPr>
      <w:r>
        <w:rPr>
          <w:rFonts w:ascii="Arial" w:cs="Arial" w:eastAsia="Arial" w:hAnsi="Arial"/>
          <w:sz w:val="16"/>
          <w:szCs w:val="16"/>
          <w:color w:val="auto"/>
        </w:rPr>
        <w:t>in Mr. Chhibbar’s letter agreement with the Company (the “Letter Agreement”) or by the Company for “Cause” (as defined in the Letter Agreement) before December 1, 2010, Mr. Chhibbar must refund the signing bonus to the Company within 30 days following his termination of employment. Mr. Chhibbar will be eligible to participate in the Company’s pension benefit, health and welfare and fringe benefit plans otherwise available to executive employees stationed in India.</w:t>
      </w:r>
    </w:p>
    <w:p>
      <w:pPr>
        <w:spacing w:after="0" w:line="10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 will provide Mr. Chhibbar with various relocation benefits, including reimbursements for certain moving expenses, a temporary monthly housing reimbursement through December 31, 2009, four round trip and four one way business class airfare tickets for travel between Melbourne, Australia and New Delhi, India for Mr. Chhibbar and his immediate family, and certain reimbursements for tax returns and tax advisory services he uses before June 1, 2010.</w:t>
      </w:r>
    </w:p>
    <w:p>
      <w:pPr>
        <w:spacing w:after="0" w:line="8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connection with his employment, Mr. Chhibbar will be eligible to participate in the Company’s 2006 Omnibus Award Plan (the “2006 Plan”) and will receive a stock option grant on the Effective Date to purchase 100,000 shares of common stock of the Company. The exercise price of the options to be granted will be equal to the average of the high and low sale prices of the Company’s common stock on the Nasdaq Global Select market on the date prior to the date of the grant. The stock options will vest and become exercisable as to 10%, 20%, 30% and 40% of the option shares on of the first, second, third and fourth respective anniversaries of the date of grant of the stock option.</w:t>
      </w:r>
    </w:p>
    <w:p>
      <w:pPr>
        <w:spacing w:after="0" w:line="1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If Mr. Chhibbar’s employment with the Company is terminated by the Company without “Cause” or by Mr. Chhibbar for “Good Reason” (each as defined in the Letter Agreement), Mr. Chhibbar will be entitled to severance equal to one times to his annual total fixed compensation then in effect. In addition, if</w:t>
      </w:r>
    </w:p>
    <w:p>
      <w:pPr>
        <w:ind w:right="140" w:firstLine="8"/>
        <w:spacing w:after="0" w:line="302" w:lineRule="auto"/>
        <w:tabs>
          <w:tab w:leader="none" w:pos="2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Chhibbar’s employment is terminated without Cause at any time after a Change of Control (as defined in the 2006 Plan) or in specific contemplation of a Change of Control or (ii) Mr. Chhibbar resigns with “Good Reason” (as defined in Mr. Chhibbar’s stock option agreement) at any time following a Change of Control, Mr. Chhibbar will also be entitled to immediate vesting of any unvested options to purchase common stock.</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12" w:lineRule="exact"/>
        <w:rPr>
          <w:sz w:val="20"/>
          <w:szCs w:val="20"/>
          <w:color w:val="auto"/>
        </w:rPr>
      </w:pPr>
    </w:p>
    <w:p>
      <w:pPr>
        <w:ind w:left="700" w:right="180" w:hanging="688"/>
        <w:spacing w:after="0" w:line="268"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3 to ExlService Holdings, Inc. 2006 Omnibus Award Plan (incorporated by reference to Exhibit 4.6 to our Registration Statement on Form S-8 (No. 333-157076)).</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Separation Agreement, dated as of October 10, 2008, by and between the Company and Matthew Appel.</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Letter Agreement, dated March 10, 2009, between the Company and Matthew Appel.</w:t>
      </w:r>
    </w:p>
    <w:p>
      <w:pPr>
        <w:spacing w:after="0" w:line="117" w:lineRule="exact"/>
        <w:rPr>
          <w:sz w:val="20"/>
          <w:szCs w:val="20"/>
          <w:color w:val="auto"/>
        </w:rPr>
      </w:pPr>
    </w:p>
    <w:p>
      <w:pPr>
        <w:ind w:left="700" w:right="20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Executive Chairman of ExlService Holdings, pursuant to Rule 13a-14 of the Exchange Act, as adopted pursuant to Section 302 of the Sarbanes-Oxley Act of 2002.</w:t>
      </w:r>
    </w:p>
    <w:p>
      <w:pPr>
        <w:spacing w:after="0" w:line="78" w:lineRule="exact"/>
        <w:rPr>
          <w:sz w:val="20"/>
          <w:szCs w:val="20"/>
          <w:color w:val="auto"/>
        </w:rPr>
      </w:pPr>
    </w:p>
    <w:p>
      <w:pPr>
        <w:ind w:left="700" w:right="2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President and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the Executive Chairman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11" w:lineRule="exact"/>
        <w:rPr>
          <w:sz w:val="20"/>
          <w:szCs w:val="20"/>
          <w:color w:val="auto"/>
        </w:rPr>
      </w:pPr>
    </w:p>
    <w:p>
      <w:pPr>
        <w:ind w:left="700" w:right="380" w:hanging="688"/>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President and Chief Executive Officer pursuant to Rule 13a-14(b) of the Exchange Act and 18 U.S.C. Section 1350, as adopted pursuant to Section 906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5"/>
          <w:szCs w:val="15"/>
          <w:color w:val="auto"/>
        </w:rPr>
        <w:t>Certification of the Chief Financial Officer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560" w:val="left"/>
          <w:tab w:leader="none" w:pos="7920" w:val="left"/>
        </w:tabs>
        <w:rPr>
          <w:sz w:val="20"/>
          <w:szCs w:val="20"/>
          <w:color w:val="auto"/>
        </w:rPr>
      </w:pPr>
      <w:r>
        <w:rPr>
          <w:rFonts w:ascii="Arial" w:cs="Arial" w:eastAsia="Arial" w:hAnsi="Arial"/>
          <w:sz w:val="18"/>
          <w:szCs w:val="18"/>
          <w:color w:val="auto"/>
        </w:rPr>
        <w:t>Date: May 11,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M</w:t>
      </w:r>
      <w:r>
        <w:rPr>
          <w:rFonts w:ascii="Arial" w:cs="Arial" w:eastAsia="Arial" w:hAnsi="Arial"/>
          <w:sz w:val="13"/>
          <w:szCs w:val="13"/>
          <w:color w:val="auto"/>
        </w:rPr>
        <w:t>ATTHEW</w:t>
      </w:r>
      <w:r>
        <w:rPr>
          <w:rFonts w:ascii="Arial" w:cs="Arial" w:eastAsia="Arial" w:hAnsi="Arial"/>
          <w:sz w:val="16"/>
          <w:szCs w:val="16"/>
          <w:color w:val="auto"/>
        </w:rPr>
        <w:t xml:space="preserve"> A</w:t>
      </w:r>
      <w:r>
        <w:rPr>
          <w:rFonts w:ascii="Arial" w:cs="Arial" w:eastAsia="Arial" w:hAnsi="Arial"/>
          <w:sz w:val="13"/>
          <w:szCs w:val="13"/>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Matthew Appel</w:t>
      </w:r>
    </w:p>
    <w:p>
      <w:pPr>
        <w:jc w:val="center"/>
        <w:ind w:left="59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596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00"/>
          </w:cols>
          <w:pgMar w:left="240" w:top="459" w:right="8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10.2</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w:t>
      </w:r>
    </w:p>
    <w:p>
      <w:pPr>
        <w:spacing w:after="0" w:line="16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This Separation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ExlService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Matthew Appel (the “</w:t>
      </w:r>
      <w:r>
        <w:rPr>
          <w:rFonts w:ascii="Arial" w:cs="Arial" w:eastAsia="Arial" w:hAnsi="Arial"/>
          <w:sz w:val="18"/>
          <w:szCs w:val="18"/>
          <w:u w:val="single" w:color="auto"/>
          <w:color w:val="auto"/>
        </w:rPr>
        <w:t>Executive</w:t>
      </w:r>
      <w:r>
        <w:rPr>
          <w:rFonts w:ascii="Arial" w:cs="Arial" w:eastAsia="Arial" w:hAnsi="Arial"/>
          <w:sz w:val="18"/>
          <w:szCs w:val="18"/>
          <w:color w:val="auto"/>
        </w:rPr>
        <w:t>”) and dated as of October 10, 2008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promises set forth in this Agreement, the Executive and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hereby agree as follows:</w:t>
      </w:r>
    </w:p>
    <w:p>
      <w:pPr>
        <w:spacing w:after="0" w:line="252"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Executive and the Company hereby agree that Executive’s employment and any and all appointments he holds with the Company and any of its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affiliates or subsidiaries (collectively, the “</w:t>
      </w:r>
      <w:r>
        <w:rPr>
          <w:rFonts w:ascii="Arial" w:cs="Arial" w:eastAsia="Arial" w:hAnsi="Arial"/>
          <w:sz w:val="16"/>
          <w:szCs w:val="16"/>
          <w:u w:val="single" w:color="auto"/>
          <w:color w:val="auto"/>
        </w:rPr>
        <w:t>Company Group</w:t>
      </w:r>
      <w:r>
        <w:rPr>
          <w:rFonts w:ascii="Arial" w:cs="Arial" w:eastAsia="Arial" w:hAnsi="Arial"/>
          <w:sz w:val="16"/>
          <w:szCs w:val="16"/>
          <w:color w:val="auto"/>
        </w:rPr>
        <w:t>”), whether as officer, director, employee, consultant, agent or otherwise, shall cease as of March 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provided, however, that if the Company’s Annual Report on Form 10-K for the fiscal year ended December 31, 2008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Annual Report</w:t>
      </w:r>
      <w:r>
        <w:rPr>
          <w:rFonts w:ascii="Arial" w:cs="Arial" w:eastAsia="Arial" w:hAnsi="Arial"/>
          <w:sz w:val="16"/>
          <w:szCs w:val="16"/>
          <w:color w:val="auto"/>
        </w:rPr>
        <w:t>”) is not filed with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on or prior to March 16, 2009, (a) the parties may extend the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Date by mutual agreement or (b) if so required pursuant to Section 2B hereof, the Company shall extend the Termination Date to the earlier of the date the Annual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Report is filed with the SEC and April 15, 2009. Effective as of the Termination Date, the Executive shall have no authority to act on behalf of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other member of the Company Group, and shall not hold himself out as having such authority or otherwise act in an executive or other decision-making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agrees that prior to the Termination Date the Executive’s employment with the Company Group shall not be terminated by the Company for any reason other than for “Cause”, as defined in the Employee Offer Letter dated February 22, 2007 from the Company to the Executive (the “</w:t>
      </w:r>
      <w:r>
        <w:rPr>
          <w:rFonts w:ascii="Arial" w:cs="Arial" w:eastAsia="Arial" w:hAnsi="Arial"/>
          <w:sz w:val="16"/>
          <w:szCs w:val="16"/>
          <w:u w:val="single" w:color="auto"/>
          <w:color w:val="auto"/>
        </w:rPr>
        <w:t>Offer Letter</w:t>
      </w:r>
      <w:r>
        <w:rPr>
          <w:rFonts w:ascii="Arial" w:cs="Arial" w:eastAsia="Arial" w:hAnsi="Arial"/>
          <w:sz w:val="16"/>
          <w:szCs w:val="16"/>
          <w:color w:val="auto"/>
        </w:rPr>
        <w:t>”). The Executive agrees not to voluntarily terminate his employment with the Company Group prior to the Termination Date. Both the Company and the Executive agree that the Executive’s termination under this Agreement is not to be regarded as a termination of the Executive’s employment by the Company without Cause or a termination of the Executive’s employment by the Executive for “Good Reason”, as defined in the Offer Letter.</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Executive acknowledges that from the Effective Date through the Termination Date the Executive will continue (without regard to the existence of this Agreement or the Executive’s departure from the Company as contemplated hereby) to devote his entire business time and best efforts to the performance of his duties hereunder as the Chief Financial Officer of the Company including, without limitation, timely filing the Annual Report with the SEC, and will continue to follow the lawful instructions of the Board.</w:t>
      </w:r>
    </w:p>
    <w:p>
      <w:pPr>
        <w:spacing w:after="0" w:line="224"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Entitlements.</w:t>
      </w:r>
    </w:p>
    <w:p>
      <w:pPr>
        <w:spacing w:after="0" w:line="90" w:lineRule="exact"/>
        <w:rPr>
          <w:rFonts w:ascii="Arial" w:cs="Arial" w:eastAsia="Arial" w:hAnsi="Arial"/>
          <w:sz w:val="18"/>
          <w:szCs w:val="18"/>
          <w:color w:val="auto"/>
        </w:rPr>
      </w:pPr>
    </w:p>
    <w:p>
      <w:pPr>
        <w:ind w:right="160" w:firstLine="913"/>
        <w:spacing w:after="0" w:line="332" w:lineRule="auto"/>
        <w:rPr>
          <w:rFonts w:ascii="Arial" w:cs="Arial" w:eastAsia="Arial" w:hAnsi="Arial"/>
          <w:sz w:val="18"/>
          <w:szCs w:val="18"/>
          <w:color w:val="auto"/>
        </w:rPr>
      </w:pPr>
      <w:r>
        <w:rPr>
          <w:rFonts w:ascii="Arial" w:cs="Arial" w:eastAsia="Arial" w:hAnsi="Arial"/>
          <w:sz w:val="16"/>
          <w:szCs w:val="16"/>
          <w:color w:val="auto"/>
        </w:rPr>
        <w:t>A. As of and after the Termination Date, the Executive shall no longer participate in, accrue service credit or have contributions made on his behalf under any employee benefit plan sponsored by any member of the Company Group in respect of periods commencing on and</w:t>
      </w:r>
    </w:p>
    <w:p>
      <w:pPr>
        <w:sectPr>
          <w:pgSz w:w="11900" w:h="16838" w:orient="portrait"/>
          <w:cols w:equalWidth="0" w:num="1">
            <w:col w:w="11420"/>
          </w:cols>
          <w:pgMar w:left="240" w:top="125" w:right="239" w:bottom="1440" w:gutter="0" w:footer="0" w:header="0"/>
        </w:sectPr>
      </w:pPr>
    </w:p>
    <w:bookmarkStart w:id="33" w:name="page34"/>
    <w:bookmarkEnd w:id="33"/>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the Termination Date, including, without limitation, any plan which is intended to qualify under Section 401(a) of the Internal Revenue Code of 1986, as amended. The Executive shall be entitled to all benefits accrued up to the Termination Date, under all employee benefit plans of any member of the Company Group, in accordance with the terms of such plans. The Executive may maintain his employee medical benefits under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at his own expense.</w:t>
      </w:r>
    </w:p>
    <w:p>
      <w:pPr>
        <w:spacing w:after="0" w:line="143"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B. In consideration for the Executive’s entering into this Agreement, subject to (i) Executive’s achievement of a performance rating of at least 3 on the 5 point scale of the Company’s appraisal process (provided that for this purpose such performance shall be measured against performance goals to be mutually agreed between the Company and the Executive for the remaining period of employment through the Termination Date) and (ii) Section 6 below, the Company will provide the Executive with a lump sum cash payment of $150,000 (the “</w:t>
      </w:r>
      <w:r>
        <w:rPr>
          <w:rFonts w:ascii="Arial" w:cs="Arial" w:eastAsia="Arial" w:hAnsi="Arial"/>
          <w:sz w:val="15"/>
          <w:szCs w:val="15"/>
          <w:u w:val="single" w:color="auto"/>
          <w:color w:val="auto"/>
        </w:rPr>
        <w:t>Payment</w:t>
      </w:r>
      <w:r>
        <w:rPr>
          <w:rFonts w:ascii="Arial" w:cs="Arial" w:eastAsia="Arial" w:hAnsi="Arial"/>
          <w:sz w:val="15"/>
          <w:szCs w:val="15"/>
          <w:color w:val="auto"/>
        </w:rPr>
        <w:t xml:space="preserve">”), payable on the business day after the day on which the Company has filed the Annual Report with the SEC;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Annual Report is filed on or before March 16, 2009;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(1) if the Company is unable to file its Annual Report with the SEC on or before March 16, 2009 due to events or matters which are both (x) not within the scope of Executive’s duties as Chief Financial Officer of the Company (which duties, for the avoidance of doubt, include, without limitation, the management of the financial and accounting functions and personnel within the Company and its subsidiaries) and (y) otherwise beyond the reasonable control of the Executive, the Company shall extend the Termination Date to a date on or before April 15, 2009, and the Executive shall be entitled to receive the Payment if the Company files the Annual Report with the SEC prior to the Termination Date (as so extended) and (2) if the parties agree to extend the Termination Date as contemplated by Section 1 hereof, then the Executive shall still be entitled to receive the Payment if the Company files the Annual Report with the SEC prior to the Termination Date (as so extended). In addition, subject to Section 6 below, the Company will provide the Executive with an additional lump sum cash payment of $25,000 in the event (I) the Executive certifies the Annual Report for purposes of Sections 302 and 906 of the Sarbanes-Oxley Act, and (II) the Executive assists in the production of an internal control report pursuant to Section 404 of the Sarbanes-Oxley Act which affirms the responsibility of the Company’s management for establishing and maintaining an adequate internal control structure and procedures for financial reporting and which contains an assessment, as of December 31, 2008, of the effectiveness of, and the absence of a material weakness in, the internal control structure and procedures of the Company for financial reporting, and</w:t>
      </w:r>
    </w:p>
    <w:p>
      <w:pPr>
        <w:spacing w:after="0" w:line="176" w:lineRule="exact"/>
        <w:rPr>
          <w:sz w:val="20"/>
          <w:szCs w:val="20"/>
          <w:color w:val="auto"/>
        </w:rPr>
      </w:pPr>
    </w:p>
    <w:p>
      <w:pPr>
        <w:ind w:right="160" w:firstLine="8"/>
        <w:spacing w:after="0" w:line="261" w:lineRule="auto"/>
        <w:tabs>
          <w:tab w:leader="none" w:pos="3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auditors confirm in their opinion (as part of the Annual Report) that the Company maintained, in all material respects, internal control over financial reporting as of December 31, 2008.</w:t>
      </w:r>
    </w:p>
    <w:p>
      <w:pPr>
        <w:spacing w:after="0" w:line="137" w:lineRule="exact"/>
        <w:rPr>
          <w:rFonts w:ascii="Arial" w:cs="Arial" w:eastAsia="Arial" w:hAnsi="Arial"/>
          <w:sz w:val="18"/>
          <w:szCs w:val="18"/>
          <w:color w:val="auto"/>
        </w:rPr>
      </w:pPr>
    </w:p>
    <w:p>
      <w:pPr>
        <w:jc w:val="both"/>
        <w:ind w:right="140" w:firstLine="464"/>
        <w:spacing w:after="0" w:line="306" w:lineRule="auto"/>
        <w:tabs>
          <w:tab w:leader="none" w:pos="66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Except as otherwise provided in Section 2H below, the Executive agrees that other than the payments enumerated in Section 2B above, the Executive shall not be entitled to receive any other severance payments from the Company Group, whether under the terms of the Offer Letter or any other separation pay plan maintained by the Company Group. The Executive shall also not receive a bonus in respect of the Company’s 2008 fiscal year.</w:t>
      </w:r>
    </w:p>
    <w:p>
      <w:pPr>
        <w:spacing w:after="0" w:line="106" w:lineRule="exact"/>
        <w:rPr>
          <w:rFonts w:ascii="Arial" w:cs="Arial" w:eastAsia="Arial" w:hAnsi="Arial"/>
          <w:sz w:val="16"/>
          <w:szCs w:val="16"/>
          <w:color w:val="auto"/>
        </w:rPr>
      </w:pPr>
    </w:p>
    <w:p>
      <w:pPr>
        <w:ind w:right="20" w:firstLine="464"/>
        <w:spacing w:after="0" w:line="268" w:lineRule="auto"/>
        <w:tabs>
          <w:tab w:leader="none" w:pos="6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 nothing in this Agreement shall affect the ability of the Company under the Offer Letter to terminate the Executive’s employment for “Cause” (as defined in the Offer Letter) and the Company reserves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34" w:name="page35"/>
    <w:bookmarkEnd w:id="3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rights under the Offer Letter and applicable law to take appropriate action if it determines (whether before, on or after the Termination Date) that it has (or had) grounds to terminate the Executive’s employment for Cause; and (ii) if the Executive’s employment is terminated for Cause, the Executive shall have no entitlement to any of the payments or benefits provided under this Agreement.</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E. Except as otherwise provided in Section 2H below, any equity compensation award held by the Executive on the Termination Date shall be treated in accordance with its terms. For the avoidance of doubt, upon the Executive’s termination of employment on the Termination Date, the Executive shall not be required to repay any amounts pursuant to the last sentence of the last paragraph of the “Relocation” section of the Offer Letter.</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 All restrictions and obligations set forth in the Offer Letter (including, without limitation, those governing noncompetition, nonsolicitation, nondisparagement (including the Company’s obligations under the Offer Letter in respect thereof) and confidentiality) shall continue in full force and effect in accordance with their terms and shall survive the termination of the Executive’s employment to the extent necessary to preserve the intended rights and benefits thereunder.</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G. The Company shall not object to any application for Unemployment Insurance Benefits made by or on the behalf of the Executive and shall cooperate with any application, inquiry or investigation necessary to establish benefits.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H. Nothing in this Agreement shall affect the change in control provisions of any equity compensation awards granted to the Executive or the change in control provisions of the Offer Letter.</w:t>
      </w:r>
    </w:p>
    <w:p>
      <w:pPr>
        <w:spacing w:after="0" w:line="213"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Return of Company Property.</w:t>
      </w:r>
    </w:p>
    <w:p>
      <w:pPr>
        <w:spacing w:after="0" w:line="171" w:lineRule="exact"/>
        <w:rPr>
          <w:rFonts w:ascii="Arial" w:cs="Arial" w:eastAsia="Arial" w:hAnsi="Arial"/>
          <w:sz w:val="18"/>
          <w:szCs w:val="18"/>
          <w:color w:val="auto"/>
        </w:rPr>
      </w:pPr>
    </w:p>
    <w:p>
      <w:pPr>
        <w:ind w:right="100" w:firstLine="464"/>
        <w:spacing w:after="0" w:line="291" w:lineRule="auto"/>
        <w:tabs>
          <w:tab w:leader="none" w:pos="671"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 later than the Termination Date, the Executive shall return to the Company all originals and copies of papers, notes and documents (in any medium, including computer disks), prepared, received or obtained by the Executive or his counsel during the course of, and in connection with, his employment with the Company or any member of the Company Group, and all equipment and property of any member of the Company Group which may be in the Executive’s possession or under his control, whether at the Company’s offices, the Executive’s home or elsewhere, including all such papers, work papers, notes, documents and equipment in the possession of the Executive and his counsel. The Executive agrees that he and his family and counsel shall not retain copies of any such papers, work papers, notes and documents.</w:t>
      </w:r>
    </w:p>
    <w:p>
      <w:pPr>
        <w:spacing w:after="0" w:line="120" w:lineRule="exact"/>
        <w:rPr>
          <w:rFonts w:ascii="Arial" w:cs="Arial" w:eastAsia="Arial" w:hAnsi="Arial"/>
          <w:sz w:val="16"/>
          <w:szCs w:val="16"/>
          <w:color w:val="auto"/>
        </w:rPr>
      </w:pPr>
    </w:p>
    <w:p>
      <w:pPr>
        <w:jc w:val="both"/>
        <w:ind w:right="80" w:firstLine="464"/>
        <w:spacing w:after="0" w:line="259" w:lineRule="auto"/>
        <w:tabs>
          <w:tab w:leader="none" w:pos="6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Notwithstanding the foregoing, the Executive may retain copies of any agreements between the Executive and the Company relating to the Executive’s employment and compensation for services, this Agreement and any employee benefit plan materials distributed generally to participants in any such plan by the Company.</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Reconciliation.</w:t>
      </w:r>
    </w:p>
    <w:p>
      <w:pPr>
        <w:spacing w:after="0" w:line="90" w:lineRule="exact"/>
        <w:rPr>
          <w:rFonts w:ascii="Arial" w:cs="Arial" w:eastAsia="Arial" w:hAnsi="Arial"/>
          <w:sz w:val="18"/>
          <w:szCs w:val="18"/>
          <w:color w:val="auto"/>
        </w:rPr>
      </w:pPr>
    </w:p>
    <w:p>
      <w:pPr>
        <w:ind w:firstLine="464"/>
        <w:spacing w:after="0" w:line="268" w:lineRule="auto"/>
        <w:tabs>
          <w:tab w:leader="none" w:pos="6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 the Termination Date, all telephone, credit card and other accounts being paid by any member of the Company Group on the Executive’s behalf shall be terminated and 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5" w:name="page36"/>
    <w:bookmarkEnd w:id="35"/>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related telephone cards, credit cards and other similar instruments shall be returned to the Company and canceled. To the extent any charges are made by the Executive using such company accounts, telephone cards, credit cards and other similar instruments after the Termination Date, such charges will be solely the Executive’s responsibility.</w:t>
      </w:r>
    </w:p>
    <w:p>
      <w:pPr>
        <w:spacing w:after="0" w:line="14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B. The Executive shall have 30 days following the Termination Date to submit to the Company all receipts, invoices, statements or other documents supporting his entitlement to reimbursement for any properly incurred business expenses, consistent with the terms of the Executive’s employment and the policies of the Company Group. Where such receipts, invoices, statements or other documents are not yet available, for example, including but not limited to, credit card statements for a billing cycle that has not yet closed, the Executive shall have no more than 90 days from the Termination Date to submit such documentation in support of a request for reimbursement.</w:t>
      </w:r>
    </w:p>
    <w:p>
      <w:pPr>
        <w:spacing w:after="0" w:line="224"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Communications and Cooperation.</w:t>
      </w:r>
    </w:p>
    <w:p>
      <w:pPr>
        <w:spacing w:after="0" w:line="171" w:lineRule="exact"/>
        <w:rPr>
          <w:rFonts w:ascii="Arial" w:cs="Arial" w:eastAsia="Arial" w:hAnsi="Arial"/>
          <w:sz w:val="18"/>
          <w:szCs w:val="18"/>
          <w:color w:val="auto"/>
        </w:rPr>
      </w:pPr>
    </w:p>
    <w:p>
      <w:pPr>
        <w:jc w:val="both"/>
        <w:ind w:right="80" w:firstLine="464"/>
        <w:spacing w:after="0" w:line="335" w:lineRule="auto"/>
        <w:tabs>
          <w:tab w:leader="none" w:pos="671"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Company shall have discretion (after consultation with the Executive) regarding the timing, content and any and all aspects of its internal, external and media communication concerning the termination of the Executive’s employment by the Company, so long as such communications accord with the terms of this Agreement. The Executive shall not participate in any such communication without the advance consent of the Company’s General Counsel or his designee.</w:t>
      </w:r>
    </w:p>
    <w:p>
      <w:pPr>
        <w:spacing w:after="0" w:line="88" w:lineRule="exact"/>
        <w:rPr>
          <w:rFonts w:ascii="Arial" w:cs="Arial" w:eastAsia="Arial" w:hAnsi="Arial"/>
          <w:sz w:val="15"/>
          <w:szCs w:val="15"/>
          <w:color w:val="auto"/>
        </w:rPr>
      </w:pPr>
    </w:p>
    <w:p>
      <w:pPr>
        <w:ind w:firstLine="464"/>
        <w:spacing w:after="0" w:line="287" w:lineRule="auto"/>
        <w:tabs>
          <w:tab w:leader="none" w:pos="661"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Executive shall cooperate in the orderly transition of Executive’s responsibilities and duties to Executive’s successor who shall be appointed by the Company Group. In addition, the Executive shall continue to make himself available at reasonable times, so as not to unreasonably interfere with his ongoing business activities, to answer questions relating to the historic operation and administration of the Company Group. In addition, the Executive agrees to cooperate fully with the Company Group in connection with litigation, arbitration and similar proceedings (collectively “</w:t>
      </w:r>
      <w:r>
        <w:rPr>
          <w:rFonts w:ascii="Arial" w:cs="Arial" w:eastAsia="Arial" w:hAnsi="Arial"/>
          <w:sz w:val="16"/>
          <w:szCs w:val="16"/>
          <w:u w:val="single" w:color="auto"/>
          <w:color w:val="auto"/>
        </w:rPr>
        <w:t>Dispute Proceedings</w:t>
      </w:r>
      <w:r>
        <w:rPr>
          <w:rFonts w:ascii="Arial" w:cs="Arial" w:eastAsia="Arial" w:hAnsi="Arial"/>
          <w:sz w:val="16"/>
          <w:szCs w:val="16"/>
          <w:color w:val="auto"/>
        </w:rPr>
        <w:t xml:space="preserve">”) and to provide truthful testimony with respect to the Executive’s knowledge in any such Dispute Proceedings involving the Company and or any member of the Company Group, without additional compensation or consideration from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Executive is requested by the Company or the Company Group to cooperate as provided in this Section after the one year anniversary of the Termination Date, then the Executive shall be compensated on an hourly basis at the rate of $250 per hour, subject to a daily maximum of $2,000, for such cooperation. In the event that the Executive is requested by the Company or the Company Group to cooperate as required in this Section, the Company shall reimburse the Executive for all his reasonable and documented out-of-pocket travel and lodging expenses.</w:t>
      </w:r>
    </w:p>
    <w:p>
      <w:pPr>
        <w:spacing w:after="0" w:line="203" w:lineRule="exact"/>
        <w:rPr>
          <w:rFonts w:ascii="Arial" w:cs="Arial" w:eastAsia="Arial" w:hAnsi="Arial"/>
          <w:sz w:val="16"/>
          <w:szCs w:val="16"/>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Requirement of Release.</w:t>
      </w:r>
    </w:p>
    <w:p>
      <w:pPr>
        <w:spacing w:after="0" w:line="171" w:lineRule="exact"/>
        <w:rPr>
          <w:sz w:val="20"/>
          <w:szCs w:val="20"/>
          <w:color w:val="auto"/>
        </w:rPr>
      </w:pPr>
    </w:p>
    <w:p>
      <w:pPr>
        <w:ind w:right="160" w:firstLine="913"/>
        <w:spacing w:after="0" w:line="335" w:lineRule="auto"/>
        <w:rPr>
          <w:sz w:val="20"/>
          <w:szCs w:val="20"/>
          <w:color w:val="auto"/>
        </w:rPr>
      </w:pPr>
      <w:r>
        <w:rPr>
          <w:rFonts w:ascii="Arial" w:cs="Arial" w:eastAsia="Arial" w:hAnsi="Arial"/>
          <w:sz w:val="15"/>
          <w:szCs w:val="15"/>
          <w:color w:val="auto"/>
        </w:rPr>
        <w:t>As a condition precedent to the payment to the Executive of any amounts set forth in Section 2 B, the Executive shall execute and deliver a general release of claims (“</w:t>
      </w:r>
      <w:r>
        <w:rPr>
          <w:rFonts w:ascii="Arial" w:cs="Arial" w:eastAsia="Arial" w:hAnsi="Arial"/>
          <w:sz w:val="15"/>
          <w:szCs w:val="15"/>
          <w:u w:val="single" w:color="auto"/>
          <w:color w:val="auto"/>
        </w:rPr>
        <w:t>Release</w:t>
      </w:r>
      <w:r>
        <w:rPr>
          <w:rFonts w:ascii="Arial" w:cs="Arial" w:eastAsia="Arial" w:hAnsi="Arial"/>
          <w:sz w:val="15"/>
          <w:szCs w:val="15"/>
          <w:color w:val="auto"/>
        </w:rPr>
        <w:t>”) in favor of each member of the Company Group and their respective assigns, affiliates, subsidiaries, parents, predecessors and successors, and the past and present shareholders, employees, officers, directors, partners, members, managers, trustees, agents (in their official and individual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6" w:name="page37"/>
    <w:bookmarkEnd w:id="36"/>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capacities), employee benefit plans and their administrators and fiduciaries (in their official and individual capacities), representatives and agents or any of them, and each of their affiliates, successors and assigns, substantially in the form attached hereto as </w:t>
      </w:r>
      <w:r>
        <w:rPr>
          <w:rFonts w:ascii="Arial" w:cs="Arial" w:eastAsia="Arial" w:hAnsi="Arial"/>
          <w:sz w:val="18"/>
          <w:szCs w:val="18"/>
          <w:b w:val="1"/>
          <w:bCs w:val="1"/>
          <w:color w:val="auto"/>
        </w:rPr>
        <w:t>Attachment A</w:t>
      </w:r>
      <w:r>
        <w:rPr>
          <w:rFonts w:ascii="Arial" w:cs="Arial" w:eastAsia="Arial" w:hAnsi="Arial"/>
          <w:sz w:val="18"/>
          <w:szCs w:val="18"/>
          <w:color w:val="auto"/>
        </w:rPr>
        <w:t>, which shall also be executed by the Company, and such Release shall have become effective in accordance with its terms.</w:t>
      </w:r>
    </w:p>
    <w:p>
      <w:pPr>
        <w:spacing w:after="0" w:line="22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further consideration of the Executive’s execution of this Agreement, and notwithstanding anything contained herein to the contrary, the Company shall indemnify and hold the Executive harmless to the fullest extent permitted by the Company’s certificate of incorporation and by-laws in respect of matters arising in connection with the Executive’s employment and service as an officer of the Company and any member of the Company Group. The Company further acknowledges and agrees that nothing contained in this Agreement is intended to extinguish or in any way diminish the Executive’s right to indemnification provided by the first sentence of this Section 7.</w:t>
      </w:r>
    </w:p>
    <w:p>
      <w:pPr>
        <w:spacing w:after="0" w:line="224"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Availability of Relief.</w:t>
      </w:r>
    </w:p>
    <w:p>
      <w:pPr>
        <w:spacing w:after="0" w:line="90" w:lineRule="exact"/>
        <w:rPr>
          <w:rFonts w:ascii="Arial" w:cs="Arial" w:eastAsia="Arial" w:hAnsi="Arial"/>
          <w:sz w:val="18"/>
          <w:szCs w:val="18"/>
          <w:color w:val="auto"/>
        </w:rPr>
      </w:pPr>
    </w:p>
    <w:p>
      <w:pPr>
        <w:ind w:right="260" w:firstLine="464"/>
        <w:spacing w:after="0" w:line="332" w:lineRule="auto"/>
        <w:tabs>
          <w:tab w:leader="none" w:pos="6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the event that the Executive fails to abide by any of the terms of this Agreement, the Company may, in addition to any other remedies it may have, terminate any benefits or payments that are subsequently due under this Agreement, without waiving the release granted by Executive herein.</w:t>
      </w:r>
    </w:p>
    <w:p>
      <w:pPr>
        <w:spacing w:after="0" w:line="85" w:lineRule="exact"/>
        <w:rPr>
          <w:rFonts w:ascii="Arial" w:cs="Arial" w:eastAsia="Arial" w:hAnsi="Arial"/>
          <w:sz w:val="16"/>
          <w:szCs w:val="16"/>
          <w:color w:val="auto"/>
        </w:rPr>
      </w:pPr>
    </w:p>
    <w:p>
      <w:pPr>
        <w:ind w:firstLine="464"/>
        <w:spacing w:after="0" w:line="291" w:lineRule="auto"/>
        <w:tabs>
          <w:tab w:leader="none" w:pos="661"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Executive acknowledges and agrees that the remedy at law available to the Company for breach of any of his post-termination obligations under this Agreement, including but not limited to his obligations under Section 5 of this Agreement, or any of his post-termination-obligations under the Offer Letter, would be inadequate and that damages flowing from such a breach may not readily be susceptible to being measured in monetary terms. Accordingly, the Executive acknowledges, consents and agrees that, in addition to any other rights or remedies which the Company may have at law, in equity or under this Agreement, the Company shall be entitled to immediate injunctive relief and may obtain a temporary order restraining any threatened or further breach of this Agreement or the Offer Letter, without the necessity of proof of actual damage and without the requirement of posting a bond.</w:t>
      </w:r>
    </w:p>
    <w:p>
      <w:pPr>
        <w:spacing w:after="0" w:line="201" w:lineRule="exact"/>
        <w:rPr>
          <w:rFonts w:ascii="Arial" w:cs="Arial" w:eastAsia="Arial" w:hAnsi="Arial"/>
          <w:sz w:val="16"/>
          <w:szCs w:val="16"/>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right="100" w:firstLine="464"/>
        <w:spacing w:after="0" w:line="259" w:lineRule="auto"/>
        <w:tabs>
          <w:tab w:leader="none" w:pos="671"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given pursuant to this Agreement (including any revocation of the Release contemplated by Section 6 hereof) to any Party hereto shall be deemed to have been duly given when mailed by registered or certified mail, return receipt requested, or by overnight courier, or when hand delivered as follows:</w:t>
      </w:r>
    </w:p>
    <w:p>
      <w:pPr>
        <w:spacing w:after="0" w:line="5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If to the Company:</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ExlService Holdings, Inc.</w:t>
      </w:r>
    </w:p>
    <w:p>
      <w:pPr>
        <w:spacing w:after="0" w:line="3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350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New York NY 10022</w:t>
      </w:r>
    </w:p>
    <w:p>
      <w:pPr>
        <w:spacing w:after="0" w:line="7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Attention: Amit Shashank, Esq.</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7" w:name="page38"/>
    <w:bookmarkEnd w:id="37"/>
    <w:p>
      <w:pPr>
        <w:ind w:left="2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Executive:</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Matthew Appel</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5055 Shoreline Drive</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Frisco, Texas 75034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or at such other address as either Party shall from time to time designate by written notice, in the manner provided herein, to the other Party hereto.</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be binding upon and inure to the benefit of the Parties, their respective heirs, successors and assigns.</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Taxes</w:t>
      </w:r>
      <w:r>
        <w:rPr>
          <w:rFonts w:ascii="Arial" w:cs="Arial" w:eastAsia="Arial" w:hAnsi="Arial"/>
          <w:sz w:val="16"/>
          <w:szCs w:val="16"/>
          <w:color w:val="auto"/>
        </w:rPr>
        <w:t>. The Executive shall be responsible for the payment of any and all required federal, state, local and foreign taxes incurred, or to be incurred, in connection with any amounts payable to the Executive under this Agreement. Notwithstanding any other provision of this Agreement, the Company may withhold from amounts payable under this Agreement all federal, state, local and foreign taxes that are required to be withheld by applicable laws and regulations.</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of this Agreement is determined to be invalid or unenforceable, the remaining terms and conditions of this Agreement shall be unaffected and shall remain in full force and effect. In addition, if any provision is determined to be invalid or unenforceable due to its duration and/or scope, the duration and/or scope of such provision, as the case may be, shall be reduced, such reduction shall be to the smallest extent necessary to comply with applicable law, and such provision shall be enforceable, in its reduced form, to the fullest extent permitted by applicable law.</w:t>
      </w:r>
    </w:p>
    <w:p>
      <w:pPr>
        <w:spacing w:after="0" w:line="11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Non-Admission</w:t>
      </w:r>
      <w:r>
        <w:rPr>
          <w:rFonts w:ascii="Arial" w:cs="Arial" w:eastAsia="Arial" w:hAnsi="Arial"/>
          <w:sz w:val="18"/>
          <w:szCs w:val="18"/>
          <w:color w:val="auto"/>
        </w:rPr>
        <w:t>. Nothing contained in this Agreement shall be deemed or construed as an admission of wrongdoing or liability on the part of the Executive or on the part of the Company.</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No Mitigation</w:t>
      </w:r>
      <w:r>
        <w:rPr>
          <w:rFonts w:ascii="Arial" w:cs="Arial" w:eastAsia="Arial" w:hAnsi="Arial"/>
          <w:sz w:val="18"/>
          <w:szCs w:val="18"/>
          <w:color w:val="auto"/>
        </w:rPr>
        <w:t>. The Executive shall not be required to mitigate the amount of any payment provided for pursuant to this Agreement by seeking other employment and, to the extent that the Executive obtains or undertakes other employment, the payment will not be reduced by the earnings of the Executive from the other employment.</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Governing Law/Venue</w:t>
      </w:r>
      <w:r>
        <w:rPr>
          <w:rFonts w:ascii="Arial" w:cs="Arial" w:eastAsia="Arial" w:hAnsi="Arial"/>
          <w:sz w:val="16"/>
          <w:szCs w:val="16"/>
          <w:color w:val="auto"/>
        </w:rPr>
        <w:t>. The laws of the State of New York shall govern this Agreement, the construction of its terms, and the interpretation of the rights and duties of the parties hereto, without regard to any contrary choice of law rule or doctrine applicable in New York or elsewhere. The parties agree that unless otherwise mutually agreed at the time the claim arises, New York, New York, shall be the exclusive place of proper venue for any legal proceeding involving a claim arising from this Agreement, and the Executive consents to the personal jurisdiction of the courts in such location over him. Any action or other legal proceeding arising under or relating to any provision of this Agreement shall be commenced only in state court, or if appropriate a federal court, located in the County and State of New York, and the Company and the Executive consent to the jurisdiction of such a court. EACH PARTY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38" w:name="page39"/>
    <w:bookmarkEnd w:id="3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HERETO HEREBY WAIVES, TO THE FULLEST EXTENT PERMITTED BY APPLICABLE LAW, ANY RIGHT IT MAY HAVE TO A TRIAL BY JURY IN RESPECT OF ANY SUIT, ACTION OR PROCEEDING ARISING OUT OF OR RELATING TO THIS AGREEMENT. EACH PARTY HERETO</w:t>
      </w:r>
    </w:p>
    <w:p>
      <w:pPr>
        <w:ind w:right="80" w:firstLine="8"/>
        <w:spacing w:after="0" w:line="254" w:lineRule="auto"/>
        <w:tabs>
          <w:tab w:leader="none" w:pos="2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PARTY HAS REPRESENTED, EXPRESSLY OR OTHERWISE, THAT SUCH PARTY WOULD NOT, IN THE EVENT OF ANY ACTION, SUIT OR PROCEEDING, SEEK TO ENFORCE THE FOREGOING WAIVER AND (II) ACKNOWLEDGES THAT IT AND THE OTHER PARTY HERETO HAS BEEN INDUCED TO ENTER INTO THIS AGREEMENT BY, AMONG OTHER THINGS, THE MUTUAL WAIVER AND CERTIFICATIONS IN THIS SECTION 9G.</w:t>
      </w:r>
    </w:p>
    <w:p>
      <w:pPr>
        <w:spacing w:after="0" w:line="143" w:lineRule="exact"/>
        <w:rPr>
          <w:rFonts w:ascii="Arial" w:cs="Arial" w:eastAsia="Arial" w:hAnsi="Arial"/>
          <w:sz w:val="18"/>
          <w:szCs w:val="18"/>
          <w:color w:val="auto"/>
        </w:rPr>
      </w:pPr>
    </w:p>
    <w:p>
      <w:pPr>
        <w:jc w:val="both"/>
        <w:ind w:right="200" w:firstLine="464"/>
        <w:spacing w:after="0" w:line="259" w:lineRule="auto"/>
        <w:tabs>
          <w:tab w:leader="none" w:pos="671"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hereto on any number of separate counterparts and all such counterparts shall be deemed to be one and the same instrument. Each Party hereto confirms that any facsimile copy of such Party’s executed counterpart of this Agreement (or its signature page hereof) shall be deemed to be an executed original thereof.</w:t>
      </w:r>
    </w:p>
    <w:p>
      <w:pPr>
        <w:spacing w:after="0" w:line="140" w:lineRule="exact"/>
        <w:rPr>
          <w:rFonts w:ascii="Arial" w:cs="Arial" w:eastAsia="Arial" w:hAnsi="Arial"/>
          <w:sz w:val="18"/>
          <w:szCs w:val="18"/>
          <w:color w:val="auto"/>
        </w:rPr>
      </w:pPr>
    </w:p>
    <w:p>
      <w:pPr>
        <w:ind w:firstLine="464"/>
        <w:spacing w:after="0" w:line="290" w:lineRule="auto"/>
        <w:tabs>
          <w:tab w:leader="none" w:pos="603"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is the entire agreement between the Parties with respect to the subject matter hereof and contains all agreements, whether written, oral, express or implied, between the Parties relating thereto and supersedes and extinguishes any other agreement relating thereto, whether written, oral, express or implied, between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rights or obligations established under any such superseded agreement and specifically preserved by this Agreement are extinguished;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nothing in this Agreement shall supersede or extinguish the Executive’s obligations under the Offer Letter. Other than this Agreement and as otherwise explicitly stated herein, there are no agreements of any nature whatsoever between the Executive and the Company that survive this Agreement. This Agreement may not be modified or amended, nor may any rights under it be waived, except in a writing signed and agreed to by the Parties.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have executed this Agreement on the date first written above.</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5940"/>
        <w:spacing w:after="0"/>
        <w:tabs>
          <w:tab w:leader="none" w:pos="6500" w:val="left"/>
          <w:tab w:leader="none" w:pos="6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10795</wp:posOffset>
            </wp:positionV>
            <wp:extent cx="2521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Rohit Kapoor</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6"/>
          <w:szCs w:val="16"/>
          <w:color w:val="auto"/>
        </w:rPr>
        <w:t>Title:</w:t>
        <w:tab/>
        <w:t>President and Chief Executive Officer</w:t>
      </w:r>
    </w:p>
    <w:p>
      <w:pPr>
        <w:spacing w:after="0" w:line="24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5940"/>
        <w:spacing w:after="0"/>
        <w:tabs>
          <w:tab w:leader="none" w:pos="62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Matthew Appel</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299"/>
          </w:cols>
          <w:pgMar w:left="1160" w:top="280" w:right="1440"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Release of Claims)</w:t>
      </w:r>
    </w:p>
    <w:p>
      <w:pPr>
        <w:spacing w:after="0" w:line="16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 In partial consideration of the payments and benefits described in Section 2B of the Separation Agreement entered into by and between ExlService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undersigned (the “</w:t>
      </w:r>
      <w:r>
        <w:rPr>
          <w:rFonts w:ascii="Arial" w:cs="Arial" w:eastAsia="Arial" w:hAnsi="Arial"/>
          <w:sz w:val="16"/>
          <w:szCs w:val="16"/>
          <w:u w:val="single" w:color="auto"/>
          <w:color w:val="auto"/>
        </w:rPr>
        <w:t>Executive</w:t>
      </w:r>
      <w:r>
        <w:rPr>
          <w:rFonts w:ascii="Arial" w:cs="Arial" w:eastAsia="Arial" w:hAnsi="Arial"/>
          <w:sz w:val="16"/>
          <w:szCs w:val="16"/>
          <w:color w:val="auto"/>
        </w:rPr>
        <w:t>”), dated as of October 10, 2008 (the “</w:t>
      </w:r>
      <w:r>
        <w:rPr>
          <w:rFonts w:ascii="Arial" w:cs="Arial" w:eastAsia="Arial" w:hAnsi="Arial"/>
          <w:sz w:val="16"/>
          <w:szCs w:val="16"/>
          <w:u w:val="single" w:color="auto"/>
          <w:color w:val="auto"/>
        </w:rPr>
        <w:t>Separation Agreement</w:t>
      </w:r>
      <w:r>
        <w:rPr>
          <w:rFonts w:ascii="Arial" w:cs="Arial" w:eastAsia="Arial" w:hAnsi="Arial"/>
          <w:sz w:val="16"/>
          <w:szCs w:val="16"/>
          <w:color w:val="auto"/>
        </w:rPr>
        <w:t>”), to which payments and benefits the Executive agrees he is not entitled unless and until he executes and delivers to the Company this General Release of Claims (this “</w:t>
      </w:r>
      <w:r>
        <w:rPr>
          <w:rFonts w:ascii="Arial" w:cs="Arial" w:eastAsia="Arial" w:hAnsi="Arial"/>
          <w:sz w:val="16"/>
          <w:szCs w:val="16"/>
          <w:u w:val="single" w:color="auto"/>
          <w:color w:val="auto"/>
        </w:rPr>
        <w:t>Release</w:t>
      </w:r>
      <w:r>
        <w:rPr>
          <w:rFonts w:ascii="Arial" w:cs="Arial" w:eastAsia="Arial" w:hAnsi="Arial"/>
          <w:sz w:val="16"/>
          <w:szCs w:val="16"/>
          <w:color w:val="auto"/>
        </w:rPr>
        <w:t>” or “</w:t>
      </w:r>
      <w:r>
        <w:rPr>
          <w:rFonts w:ascii="Arial" w:cs="Arial" w:eastAsia="Arial" w:hAnsi="Arial"/>
          <w:sz w:val="16"/>
          <w:szCs w:val="16"/>
          <w:u w:val="single" w:color="auto"/>
          <w:color w:val="auto"/>
        </w:rPr>
        <w:t>Agreement</w:t>
      </w:r>
      <w:r>
        <w:rPr>
          <w:rFonts w:ascii="Arial" w:cs="Arial" w:eastAsia="Arial" w:hAnsi="Arial"/>
          <w:sz w:val="16"/>
          <w:szCs w:val="16"/>
          <w:color w:val="auto"/>
        </w:rPr>
        <w:t>”) and this Release becomes effective in accordance with Paragraph E below, the Executive, on the Executive’s own behalf and on behalf of the Executive’s descendants, dependents, heirs, executors and administrators and permitted assigns, past and present, does hereby covenant not to sue or pursue any litigation (or file any charge or otherwise correspond with any Federal, state or local administrative agency), arbitration or other proceeding against, and waive, release, acquit and forever discharge, to the fullest extent permitted by law, each member of the Company Group (each capitalized but undefined term in this Release shall have the meaning given such term in the Separation Agreement) and their respective assigns, affiliates, subsidiaries, parents, predecessors and successors, and the past and present shareholders, employees, officers, directors, partners, members, managers, trustees, agents (in their official and individual capacities), employee benefit plans and their administrators and fiduciaries (in their official and individual capacities), representatives and agents or any of them, and each of their affiliates, successors and assigns (collectively, the “</w:t>
      </w:r>
      <w:r>
        <w:rPr>
          <w:rFonts w:ascii="Arial" w:cs="Arial" w:eastAsia="Arial" w:hAnsi="Arial"/>
          <w:sz w:val="16"/>
          <w:szCs w:val="16"/>
          <w:u w:val="single" w:color="auto"/>
          <w:color w:val="auto"/>
        </w:rPr>
        <w:t>Releasees</w:t>
      </w:r>
      <w:r>
        <w:rPr>
          <w:rFonts w:ascii="Arial" w:cs="Arial" w:eastAsia="Arial" w:hAnsi="Arial"/>
          <w:sz w:val="16"/>
          <w:szCs w:val="16"/>
          <w:color w:val="auto"/>
        </w:rPr>
        <w:t>”), of, from and against any and all claims, demands, damages, rights, judgments, debts, dues, defenses, actions, suits, charges or causes of action whatsoever, of any and every kind, nature and description, whether known or unknown, accrued or not accrued, in law or in equity, that the Executive ever had, now has or shall or may have or assert as of the date of this Agreement relating to or arising out of events or circumstances occurring on or before the date hereof against any of the Releasees, including, without limiting the generality of the foregoing, any claims, demands, damages, rights, judgments, debts, dues, defenses, actions, suits, charges or causes of action arising out of or related to the Executive’s employment or termination of employment, or any term or condition of that employment, or that arise out of or relate in any way to any Federal, state or local statutory and common laws, including but not limited to the Age Discrimination in Employment Act of 1967 (“</w:t>
      </w:r>
      <w:r>
        <w:rPr>
          <w:rFonts w:ascii="Arial" w:cs="Arial" w:eastAsia="Arial" w:hAnsi="Arial"/>
          <w:sz w:val="16"/>
          <w:szCs w:val="16"/>
          <w:u w:val="single" w:color="auto"/>
          <w:color w:val="auto"/>
        </w:rPr>
        <w:t>ADEA</w:t>
      </w:r>
      <w:r>
        <w:rPr>
          <w:rFonts w:ascii="Arial" w:cs="Arial" w:eastAsia="Arial" w:hAnsi="Arial"/>
          <w:sz w:val="16"/>
          <w:szCs w:val="16"/>
          <w:color w:val="auto"/>
        </w:rPr>
        <w:t xml:space="preserve">,” a law that prohibits discrimination on the basis of age), the Older Workers Benefit Protection Act, the National Labor Relations Act, the Civil Rights Act of 1991, the Americans With Disabilities Act of 1990, Title VII of the Civil Rights Act of 1964, the Employee Retirement Income Security Act of 1974, the Family and Medical Leave Act, the Sarbanes-Oxley Act of 2002, all as amended, and any other Federal, state and local laws relating to discrimination on the basis of age, sex or other protected class, all claims under Federal, state or local laws for express or implied breach of contract, wrongful discharge, defamation, intentional infliction of emotional distress, and any related claims for attorneys’ fees and costs. The Executive further agrees that this Agreement may be pleaded as a full defense to any action, suit, arbitration or other proceeding covered by the terms hereof which is or may be initiated, prosecuted or maintained by the Executive, the Executive’s descendants, dependents, heirs. executors, administrators or permitted assigns. By signing this Release, Executive acknowledges that he intends to waive and release any rights known or unknown that he may have against the Releasees under these and any other laws; </w:t>
      </w:r>
      <w:r>
        <w:rPr>
          <w:rFonts w:ascii="Arial" w:cs="Arial" w:eastAsia="Arial" w:hAnsi="Arial"/>
          <w:sz w:val="16"/>
          <w:szCs w:val="16"/>
          <w:u w:val="single" w:color="auto"/>
          <w:color w:val="auto"/>
        </w:rPr>
        <w:t>provided</w:t>
      </w:r>
      <w:r>
        <w:rPr>
          <w:rFonts w:ascii="Arial" w:cs="Arial" w:eastAsia="Arial" w:hAnsi="Arial"/>
          <w:sz w:val="16"/>
          <w:szCs w:val="16"/>
          <w:color w:val="auto"/>
        </w:rPr>
        <w:t>, that Executive does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41" w:name="page42"/>
    <w:bookmarkEnd w:id="41"/>
    <w:p>
      <w:pPr>
        <w:ind w:right="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waive or release claims with respect to (i) the right to enforce this Agreement or (ii) vested benefits under employee benefit plans of the Company and its subsidiaries and affiliates (collectively, the “</w:t>
      </w:r>
      <w:r>
        <w:rPr>
          <w:rFonts w:ascii="Arial" w:cs="Arial" w:eastAsia="Arial" w:hAnsi="Arial"/>
          <w:sz w:val="16"/>
          <w:szCs w:val="16"/>
          <w:u w:val="single" w:color="auto"/>
          <w:color w:val="auto"/>
        </w:rPr>
        <w:t>Unreleased Claims</w:t>
      </w:r>
      <w:r>
        <w:rPr>
          <w:rFonts w:ascii="Arial" w:cs="Arial" w:eastAsia="Arial" w:hAnsi="Arial"/>
          <w:sz w:val="16"/>
          <w:szCs w:val="16"/>
          <w:color w:val="auto"/>
        </w:rPr>
        <w:t>”). Notwithstanding the foregoing, Executive does not release, discharge or waive any rights to indemnification (including under this Release of this Agreement) that he may have under the certificate of incorporation, the by-laws or equivalent governing documents of the Company or its subsidiaries or affiliates, the laws of the State of Delaware or any other state of which such subsidiary or affiliate is a domiciliary, or any indemnification agreement between Executive and the Company, or any rights to insurance coverage under any directors’ and officers’ personal liability insurance or fiduciary insurance policy.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 The Executive acknowledges that he has not filed any complaint, charge, claim or proceeding, except with respect to an Unreleased Claim, if any,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against any of the Releasees before any local, state or federal agency, court or other body relating to his employment or the termination thereof (each individually</w:t>
      </w:r>
    </w:p>
    <w:p>
      <w:pPr>
        <w:spacing w:after="0" w:line="44"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right="40" w:firstLine="464"/>
        <w:spacing w:after="0" w:line="289" w:lineRule="auto"/>
        <w:tabs>
          <w:tab w:leader="none" w:pos="661"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Executive (i) acknowledges that he will not initiate or cause to be initiated on his behalf any Proceeding and will not participate in any Proceeding, in each case, except as required by law; and (ii) waives any right he may have to benefit in any manner from any relief (whether monetary or otherwise) arising out of any Proceeding, including any Proceeding conducted by the Equal Employment Opportunity Commission (“</w:t>
      </w:r>
      <w:r>
        <w:rPr>
          <w:rFonts w:ascii="Arial" w:cs="Arial" w:eastAsia="Arial" w:hAnsi="Arial"/>
          <w:sz w:val="16"/>
          <w:szCs w:val="16"/>
          <w:u w:val="single" w:color="auto"/>
          <w:color w:val="auto"/>
        </w:rPr>
        <w:t>EEOC</w:t>
      </w:r>
      <w:r>
        <w:rPr>
          <w:rFonts w:ascii="Arial" w:cs="Arial" w:eastAsia="Arial" w:hAnsi="Arial"/>
          <w:sz w:val="16"/>
          <w:szCs w:val="16"/>
          <w:color w:val="auto"/>
        </w:rPr>
        <w:t>”). Further, the Executive understands that by entering into this Agreement, he will be limiting the availability of certain remedies that he may have against the Company and also limiting his ability to pursue certain claims against the Releasees. Notwithstanding the above, nothing in this Release shall prevent the Executive from (i) initiating or causing to be initiated on his behalf any complaint, charge, claim or proceeding against the Company before any local, state or Federal agency, court or other body challenging the validity of the waiver of his claims under ADEA contained in this Release of this Agreement (but no other portion of such waiver); or (ii) initiating or participating in an investigation or proceeding conducted by the EEOC with respect to ADEA.</w:t>
      </w:r>
    </w:p>
    <w:p>
      <w:pPr>
        <w:spacing w:after="0" w:line="118" w:lineRule="exact"/>
        <w:rPr>
          <w:rFonts w:ascii="Arial" w:cs="Arial" w:eastAsia="Arial" w:hAnsi="Arial"/>
          <w:sz w:val="16"/>
          <w:szCs w:val="16"/>
          <w:color w:val="auto"/>
        </w:rPr>
      </w:pPr>
    </w:p>
    <w:p>
      <w:pPr>
        <w:ind w:right="220" w:firstLine="464"/>
        <w:spacing w:after="0" w:line="286" w:lineRule="auto"/>
        <w:tabs>
          <w:tab w:leader="none" w:pos="671"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The Executive acknowledges that he has been given twenty-one (21) days from the date of receipt of this Agreement to consider all the provisions of this Agreement and he does hereby knowingly and voluntarily waive the balance of said given twenty-one (21) day period. </w:t>
      </w:r>
      <w:r>
        <w:rPr>
          <w:rFonts w:ascii="Arial" w:cs="Arial" w:eastAsia="Arial" w:hAnsi="Arial"/>
          <w:sz w:val="16"/>
          <w:szCs w:val="16"/>
          <w:b w:val="1"/>
          <w:bCs w:val="1"/>
          <w:color w:val="auto"/>
        </w:rPr>
        <w:t>THE EXECUTIVE FURTHER</w:t>
      </w:r>
    </w:p>
    <w:p>
      <w:pPr>
        <w:ind w:right="40"/>
        <w:spacing w:after="0" w:line="253" w:lineRule="auto"/>
        <w:rPr>
          <w:rFonts w:ascii="Arial" w:cs="Arial" w:eastAsia="Arial" w:hAnsi="Arial"/>
          <w:sz w:val="16"/>
          <w:szCs w:val="16"/>
          <w:color w:val="auto"/>
        </w:rPr>
      </w:pPr>
      <w:r>
        <w:rPr>
          <w:rFonts w:ascii="Arial" w:cs="Arial" w:eastAsia="Arial" w:hAnsi="Arial"/>
          <w:sz w:val="18"/>
          <w:szCs w:val="18"/>
          <w:b w:val="1"/>
          <w:bCs w:val="1"/>
          <w:color w:val="auto"/>
        </w:rPr>
        <w:t>ACKNOWLEDGES THAT HE HAS READ THIS AGREEMENT CAREFULLY, HAS BEEN ADVISED BY THE COMPANY TO CONSULT AN ATTORNEY, AND FULLY UNDERSTANDS THAT BY SIGNING BELOW HE IS GIVING UP CERTAIN RIGHTS WHICH HE MAY HAVE TO SUE OR ASSERT A CLAIM AGAINST ANY OF THE RELEASEES, AS DESCRIBED IN THIS RELEASE AND THE OTHER PROVISIONS HEREOF. THE EXECUTIVE ACKNOWLEDGES THAT HE HAS NOT BEEN FORCED OR PRESSURED IN ANY MANNER WHATSOEVER TO SIGN THIS AGREEMENT AND THE EXECUTIVE AGREES TO ALL OF ITS TERMS VOLUNTARILY.</w:t>
      </w:r>
    </w:p>
    <w:p>
      <w:pPr>
        <w:spacing w:after="0" w:line="145" w:lineRule="exact"/>
        <w:rPr>
          <w:rFonts w:ascii="Arial" w:cs="Arial" w:eastAsia="Arial" w:hAnsi="Arial"/>
          <w:sz w:val="16"/>
          <w:szCs w:val="16"/>
          <w:color w:val="auto"/>
        </w:rPr>
      </w:pPr>
    </w:p>
    <w:p>
      <w:pPr>
        <w:ind w:right="20" w:firstLine="464"/>
        <w:spacing w:after="0" w:line="259" w:lineRule="auto"/>
        <w:tabs>
          <w:tab w:leader="none" w:pos="6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Executive shall have seven days from the date of his execution of this Agreement to revoke this Agreement, including the release given under this Release with respect to all claims referred to herein (including, without limitation, any and all claims arising under ADEA). If not revoked within such seven-day period, this Agreement shall become effective 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42" w:name="page43"/>
    <w:bookmarkEnd w:id="42"/>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eighth day following the Executive’s execution of this Agreement. If the Executive revokes this Agreement during such seven-day period, the Executive will be deemed not to have accepted the terms of this Agreement, and the Company shall not have any obligation to provide the Executive with any of the payments or benefits under Section 2B of the Separation Agreement.</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F. In partial consideration of Executive’s agreements and covenants under the Separation Agreement, the Company, on its own behalf and on behalf of each member of the Company Group, does hereby covenant not to sue or pursue any litigation (or file any charge or otherwise correspond with any Federal, state or local administrative agency), arbitration or other proceeding against, and waive, release, acquit and forever discharge, to the fullest extent permitted by law, the Executive, the Executive’s descendants, dependents, heirs, executors and administrators and permitted assigns, past and present (the “</w:t>
      </w:r>
      <w:r>
        <w:rPr>
          <w:rFonts w:ascii="Arial" w:cs="Arial" w:eastAsia="Arial" w:hAnsi="Arial"/>
          <w:sz w:val="15"/>
          <w:szCs w:val="15"/>
          <w:u w:val="single" w:color="auto"/>
          <w:color w:val="auto"/>
        </w:rPr>
        <w:t>Executive Releasees</w:t>
      </w:r>
      <w:r>
        <w:rPr>
          <w:rFonts w:ascii="Arial" w:cs="Arial" w:eastAsia="Arial" w:hAnsi="Arial"/>
          <w:sz w:val="15"/>
          <w:szCs w:val="15"/>
          <w:color w:val="auto"/>
        </w:rPr>
        <w:t xml:space="preserve">”), of, from and against any and all claims, demands, damages, rights, judgments, debts, dues, defenses, actions, suits, charges or causes of action whatsoever, of any and every kind, nature and description (other than for fraud, gross negligence or willful misconduct), whether known or unknown, accrued or not accrued, in law or in equity, that any member of the Company Group ever had, now has or shall or may have or assert as of the date of this Agreement relating to or arising out of events or circumstances occurring on or before the date hereof against any of the Executive Releasees, including, without limiting the generality of the foregoing, any claims, demands, damages, rights, judgments, debts, dues, defenses, actions, suits, charges or causes of action arising out of or related to the Executive’s employment or termination of employment; </w:t>
      </w:r>
      <w:r>
        <w:rPr>
          <w:rFonts w:ascii="Arial" w:cs="Arial" w:eastAsia="Arial" w:hAnsi="Arial"/>
          <w:sz w:val="15"/>
          <w:szCs w:val="15"/>
          <w:u w:val="single" w:color="auto"/>
          <w:color w:val="auto"/>
        </w:rPr>
        <w:t>provided</w:t>
      </w:r>
      <w:r>
        <w:rPr>
          <w:rFonts w:ascii="Arial" w:cs="Arial" w:eastAsia="Arial" w:hAnsi="Arial"/>
          <w:sz w:val="15"/>
          <w:szCs w:val="15"/>
          <w:color w:val="auto"/>
        </w:rPr>
        <w:t>, that the foregoing does not waive or release claims with respect to the right to enforce this Agreement, the Separation Agreement or the Offer Letter, or the terms of any compensation arrangements or any indemnification arrangements for the benefit of or involving the Executive to which any member of the Company Group is a party. The Company further agrees that this Agreement may be pleaded as a full defense to any action, suit, arbitration or other proceeding covered by the terms hereof which is or may be initiated, prosecuted or maintained by the Company.</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parties have executed this Release on the date specified below.</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27940</wp:posOffset>
            </wp:positionV>
            <wp:extent cx="25215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234315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Matthew Appel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5055 Shoreline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Frisco, TX 75034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Matt:</w:t>
      </w:r>
    </w:p>
    <w:p>
      <w:pPr>
        <w:spacing w:after="0" w:line="17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This letter agreement amends the Separation Agreement, dated October 10, 2008, by and between ExlService Holdings, Inc. (the “</w:t>
      </w:r>
      <w:r>
        <w:rPr>
          <w:rFonts w:ascii="Arial" w:cs="Arial" w:eastAsia="Arial" w:hAnsi="Arial"/>
          <w:sz w:val="15"/>
          <w:szCs w:val="15"/>
          <w:u w:val="single" w:color="auto"/>
          <w:color w:val="auto"/>
        </w:rPr>
        <w:t>Company</w:t>
      </w:r>
      <w:r>
        <w:rPr>
          <w:rFonts w:ascii="Arial" w:cs="Arial" w:eastAsia="Arial" w:hAnsi="Arial"/>
          <w:sz w:val="15"/>
          <w:szCs w:val="15"/>
          <w:color w:val="auto"/>
        </w:rPr>
        <w:t>”) and you (the “</w:t>
      </w:r>
      <w:r>
        <w:rPr>
          <w:rFonts w:ascii="Arial" w:cs="Arial" w:eastAsia="Arial" w:hAnsi="Arial"/>
          <w:sz w:val="15"/>
          <w:szCs w:val="15"/>
          <w:u w:val="single" w:color="auto"/>
          <w:color w:val="auto"/>
        </w:rPr>
        <w:t>Separation Agreement</w:t>
      </w:r>
      <w:r>
        <w:rPr>
          <w:rFonts w:ascii="Arial" w:cs="Arial" w:eastAsia="Arial" w:hAnsi="Arial"/>
          <w:sz w:val="15"/>
          <w:szCs w:val="15"/>
          <w:color w:val="auto"/>
        </w:rPr>
        <w:t>”). Any defined terms used and not otherwise defined in this letter agreement will have the meaning set forth in the Separation Agreement.</w:t>
      </w:r>
    </w:p>
    <w:p>
      <w:pPr>
        <w:spacing w:after="0" w:line="62" w:lineRule="exact"/>
        <w:rPr>
          <w:sz w:val="20"/>
          <w:szCs w:val="20"/>
          <w:color w:val="auto"/>
        </w:rPr>
      </w:pPr>
    </w:p>
    <w:p>
      <w:pPr>
        <w:ind w:right="320" w:firstLine="464"/>
        <w:spacing w:after="0" w:line="256"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and you hereby agree that, notwithstanding the terms of Section 1 of the Separation Agreement, your employment and any and all appointments you hold with the Company Group will continue beyond March 16, 2009 and will cease as of May 15, 2009. References in this letter, and in the Separation Agreement, to the Termination Date will be deemed to refer to May 15, 2009, except with respect to Sections 1(b) and 2B of the Separation Agreement.</w:t>
      </w:r>
    </w:p>
    <w:p>
      <w:pPr>
        <w:spacing w:after="0" w:line="143" w:lineRule="exact"/>
        <w:rPr>
          <w:rFonts w:ascii="Arial" w:cs="Arial" w:eastAsia="Arial" w:hAnsi="Arial"/>
          <w:sz w:val="18"/>
          <w:szCs w:val="18"/>
          <w:color w:val="auto"/>
        </w:rPr>
      </w:pPr>
    </w:p>
    <w:p>
      <w:pPr>
        <w:ind w:right="400" w:firstLine="464"/>
        <w:spacing w:after="0" w:line="268"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avoidance of doubt, nothing in this letter agreement shall modify your rights to receive payments that you earn pursuant to the provisions of Section 2B of the Separation Agreement, subject to the terms and conditions set forth therein.</w:t>
      </w:r>
    </w:p>
    <w:p>
      <w:pPr>
        <w:spacing w:after="0" w:line="131" w:lineRule="exact"/>
        <w:rPr>
          <w:rFonts w:ascii="Arial" w:cs="Arial" w:eastAsia="Arial" w:hAnsi="Arial"/>
          <w:sz w:val="18"/>
          <w:szCs w:val="18"/>
          <w:color w:val="auto"/>
        </w:rPr>
      </w:pPr>
    </w:p>
    <w:p>
      <w:pPr>
        <w:ind w:right="200" w:firstLine="464"/>
        <w:spacing w:after="0" w:line="332"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While you remain employed by the Company, you will continue to receive your Base Salary as in effect on the date hereof, payable in accordance with the Company’s regular payroll policies, and continue to participate in the Company’s employee benefit plans and programs in accordance with their terms.</w:t>
      </w:r>
    </w:p>
    <w:p>
      <w:pPr>
        <w:spacing w:after="0" w:line="85" w:lineRule="exact"/>
        <w:rPr>
          <w:sz w:val="20"/>
          <w:szCs w:val="20"/>
          <w:color w:val="auto"/>
        </w:rPr>
      </w:pPr>
    </w:p>
    <w:p>
      <w:pPr>
        <w:ind w:firstLine="464"/>
        <w:spacing w:after="0" w:line="288"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Subject to (i) your continued employment through May 15, 2009, (ii) your achievement of a performance rating of at least 3 on the 5 point scale of the Company’s appraisal process (provided that for this purpose such performance shall be measured against performance goals to be mutually agreed between the Company and you for the remaining period of employment through the Termination Date), (iii) the filing of the Company’s Quarterly Report on Form 10-Q for the calendar quarter ended March 31, 2009 and (iv) your execution and delivery (at any time during the 60-day period commencing May 15, 2009) of an effective release of claims that is substantially in the form that was attached to the Separation Agreement (but modified to refer to this letter agreement, and to provide that your right to revoke such release of claims shall apply only with respect to claims under ADEA), the Company will provide you with a lump sum cash payment in an amount equal to $31,000 (“</w:t>
      </w:r>
      <w:r>
        <w:rPr>
          <w:rFonts w:ascii="Arial" w:cs="Arial" w:eastAsia="Arial" w:hAnsi="Arial"/>
          <w:sz w:val="16"/>
          <w:szCs w:val="16"/>
          <w:u w:val="single" w:color="auto"/>
          <w:color w:val="auto"/>
        </w:rPr>
        <w:t>Special Prorata Bonus</w:t>
      </w:r>
      <w:r>
        <w:rPr>
          <w:rFonts w:ascii="Arial" w:cs="Arial" w:eastAsia="Arial" w:hAnsi="Arial"/>
          <w:sz w:val="16"/>
          <w:szCs w:val="16"/>
          <w:color w:val="auto"/>
        </w:rPr>
        <w:t>”). The Special Prorata Bonus will be payable on (x) May 15, 2009, if the release of claims is provided on or prior to such date or (y) otherwise within 7 days following the execution and delivery of the release of claims. For clarity, the Special Prorata Bonus is in addition to any payments that you may become entitled to receive pursuant to Section 2B of the Separation Agreement.</w:t>
      </w:r>
    </w:p>
    <w:p>
      <w:pPr>
        <w:sectPr>
          <w:pgSz w:w="11900" w:h="16838" w:orient="portrait"/>
          <w:cols w:equalWidth="0" w:num="1">
            <w:col w:w="11420"/>
          </w:cols>
          <w:pgMar w:left="240" w:top="125" w:right="239" w:bottom="1440" w:gutter="0" w:footer="0" w:header="0"/>
        </w:sectPr>
      </w:pPr>
    </w:p>
    <w:bookmarkStart w:id="44" w:name="page45"/>
    <w:bookmarkEnd w:id="44"/>
    <w:p>
      <w:pPr>
        <w:ind w:right="80" w:firstLine="464"/>
        <w:spacing w:after="0" w:line="291"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will reimburse you for temporary housing expenses you incur during the period from May 1, 2009 through the Termination Date in the amount of $2,047.50. Moreover, to the extent you are required to cancel, modify, reschedule or postpone any activities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as a result of continuation of your employment beyond the originally scheduled Termination Date (March 16, 2009), the Company will promptly reimburse you for the nonrefundable or incremental expenses or penalties you incur with respect to such activities in the respective amounts set forth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you provide the Company with documentation of such expenses or penalties no later than May 31, 2009. The Company will reimburse you for such expenses and penalties as soon as practicable after you submit such documentation.</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specifically amended by this letter agreement, the Separation Agreement shall remain unaffected and in full force and effect.</w:t>
      </w:r>
    </w:p>
    <w:p>
      <w:pPr>
        <w:spacing w:after="0" w:line="171" w:lineRule="exact"/>
        <w:rPr>
          <w:rFonts w:ascii="Arial" w:cs="Arial" w:eastAsia="Arial" w:hAnsi="Arial"/>
          <w:sz w:val="18"/>
          <w:szCs w:val="18"/>
          <w:color w:val="auto"/>
        </w:rPr>
      </w:pPr>
    </w:p>
    <w:p>
      <w:pPr>
        <w:ind w:firstLine="464"/>
        <w:spacing w:after="0" w:line="290"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This letter agreement is the entire agreement between the parties with respect to the subject matter hereof and contains all agreements, whether written, oral, express or implied, between the parties relating thereto and supersedes and extinguishes any other agreement relating thereto, whether written, oral, express or implied, between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rights or obligations established under any such superseded agreement and specifically preserved by this letter agreement are extinguished;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nothing in this letter agreement shall supersede or extinguish the parties’ obligations under the Employee Offer Letter, dated February 22, 2007, from the Company to you, except as otherwise specifically provided in this letter agreement. This letter agreement shall be governed by, and interpreted in accordance with, the laws of the State of New York, without regard to the conflict of law provisions of any jurisdiction which would cause the application of any law other than that of the State of New York.</w:t>
      </w:r>
    </w:p>
    <w:p>
      <w:pPr>
        <w:spacing w:after="0" w:line="1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0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Appel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Specifically Reimbursable Expenses</w:t>
      </w:r>
    </w:p>
    <w:p>
      <w:pPr>
        <w:spacing w:after="0" w:line="21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Airfare from Dallas to New York on March 23, 2009 in the amount of $129.60.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Modification costs related to air travel commencing on May 15, 2009 related to a personal trip to Scotland in the amount of $250.</w:t>
      </w:r>
    </w:p>
    <w:p>
      <w:pPr>
        <w:sectPr>
          <w:pgSz w:w="11900" w:h="16838" w:orient="portrait"/>
          <w:cols w:equalWidth="0" w:num="1">
            <w:col w:w="11420"/>
          </w:cols>
          <w:pgMar w:left="240" w:top="2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21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2009</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Chairman</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21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2009</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Appel, certify that:</w:t>
      </w:r>
    </w:p>
    <w:p>
      <w:pPr>
        <w:spacing w:after="0" w:line="21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2009</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ATTHEW</w:t>
      </w:r>
      <w:r>
        <w:rPr>
          <w:rFonts w:ascii="Arial" w:cs="Arial" w:eastAsia="Arial" w:hAnsi="Arial"/>
          <w:sz w:val="18"/>
          <w:szCs w:val="18"/>
          <w:color w:val="auto"/>
        </w:rPr>
        <w:t xml:space="preserve"> A</w:t>
      </w:r>
      <w:r>
        <w:rPr>
          <w:rFonts w:ascii="Arial" w:cs="Arial" w:eastAsia="Arial" w:hAnsi="Arial"/>
          <w:sz w:val="14"/>
          <w:szCs w:val="14"/>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Matthew Appel</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2009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Chairman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2009</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2009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2009</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2009 as filed with the Securities and Exchange Commission on the date hereof (the “Report”), I, Matthew Appel,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ATTHEW</w:t>
      </w:r>
      <w:r>
        <w:rPr>
          <w:rFonts w:ascii="Arial" w:cs="Arial" w:eastAsia="Arial" w:hAnsi="Arial"/>
          <w:sz w:val="18"/>
          <w:szCs w:val="18"/>
          <w:color w:val="auto"/>
        </w:rPr>
        <w:t xml:space="preserve"> A</w:t>
      </w:r>
      <w:r>
        <w:rPr>
          <w:rFonts w:ascii="Arial" w:cs="Arial" w:eastAsia="Arial" w:hAnsi="Arial"/>
          <w:sz w:val="14"/>
          <w:szCs w:val="14"/>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Matthew Appel</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5"/>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2"/>
    </w:lvl>
    <w:lvl w:ilvl="1">
      <w:lvlJc w:val="left"/>
      <w:lvlText w:val="%2"/>
      <w:numFmt w:val="upperLetter"/>
      <w:start w:val="1"/>
    </w:lvl>
  </w:abstractNum>
  <w:abstractNum w:abstractNumId="12">
    <w:nsid w:val="628C895D"/>
    <w:multiLevelType w:val="hybridMultilevel"/>
    <w:lvl w:ilvl="0">
      <w:lvlJc w:val="left"/>
      <w:lvlText w:val="(%1)"/>
      <w:numFmt w:val="upperLetter"/>
      <w:start w:val="61"/>
    </w:lvl>
    <w:lvl w:ilvl="1">
      <w:lvlJc w:val="left"/>
      <w:lvlText w:val="%2."/>
      <w:numFmt w:val="upperLetter"/>
      <w:start w:val="3"/>
    </w:lvl>
  </w:abstractNum>
  <w:abstractNum w:abstractNumId="13">
    <w:nsid w:val="333AB105"/>
    <w:multiLevelType w:val="hybridMultilevel"/>
    <w:lvl w:ilvl="0">
      <w:lvlJc w:val="left"/>
      <w:lvlText w:val="%1."/>
      <w:numFmt w:val="decimal"/>
      <w:start w:val="3"/>
    </w:lvl>
    <w:lvl w:ilvl="1">
      <w:lvlJc w:val="left"/>
      <w:lvlText w:val="%2."/>
      <w:numFmt w:val="upperLetter"/>
      <w:start w:val="1"/>
    </w:lvl>
  </w:abstractNum>
  <w:abstractNum w:abstractNumId="14">
    <w:nsid w:val="721DA317"/>
    <w:multiLevelType w:val="hybridMultilevel"/>
    <w:lvl w:ilvl="0">
      <w:lvlJc w:val="left"/>
      <w:lvlText w:val="%1."/>
      <w:numFmt w:val="decimal"/>
      <w:start w:val="5"/>
    </w:lvl>
    <w:lvl w:ilvl="1">
      <w:lvlJc w:val="left"/>
      <w:lvlText w:val="%2."/>
      <w:numFmt w:val="upperLetter"/>
      <w:start w:val="1"/>
    </w:lvl>
  </w:abstractNum>
  <w:abstractNum w:abstractNumId="15">
    <w:nsid w:val="2443A858"/>
    <w:multiLevelType w:val="hybridMultilevel"/>
    <w:lvl w:ilvl="0">
      <w:lvlJc w:val="left"/>
      <w:lvlText w:val="%1."/>
      <w:numFmt w:val="decimal"/>
      <w:start w:val="7"/>
    </w:lvl>
  </w:abstractNum>
  <w:abstractNum w:abstractNumId="16">
    <w:nsid w:val="2D1D5AE9"/>
    <w:multiLevelType w:val="hybridMultilevel"/>
    <w:lvl w:ilvl="0">
      <w:lvlJc w:val="left"/>
      <w:lvlText w:val="%1."/>
      <w:numFmt w:val="decimal"/>
      <w:start w:val="8"/>
    </w:lvl>
    <w:lvl w:ilvl="1">
      <w:lvlJc w:val="left"/>
      <w:lvlText w:val="%2."/>
      <w:numFmt w:val="upperLetter"/>
      <w:start w:val="1"/>
    </w:lvl>
  </w:abstractNum>
  <w:abstractNum w:abstractNumId="17">
    <w:nsid w:val="6763845E"/>
    <w:multiLevelType w:val="hybridMultilevel"/>
    <w:lvl w:ilvl="0">
      <w:lvlJc w:val="left"/>
      <w:lvlText w:val="(%1)"/>
      <w:numFmt w:val="upperLetter"/>
      <w:start w:val="9"/>
    </w:lvl>
    <w:lvl w:ilvl="1">
      <w:lvlJc w:val="left"/>
      <w:lvlText w:val="%2."/>
      <w:numFmt w:val="upperLetter"/>
      <w:start w:val="8"/>
    </w:lvl>
  </w:abstractNum>
  <w:abstractNum w:abstractNumId="18">
    <w:nsid w:val="75A2A8D4"/>
    <w:multiLevelType w:val="hybridMultilevel"/>
    <w:lvl w:ilvl="0">
      <w:lvlJc w:val="left"/>
      <w:lvlText w:val="a"/>
      <w:numFmt w:val="bullet"/>
      <w:start w:val="1"/>
    </w:lvl>
    <w:lvl w:ilvl="1">
      <w:lvlJc w:val="left"/>
      <w:lvlText w:val="%2."/>
      <w:numFmt w:val="upperLetter"/>
      <w:start w:val="3"/>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decimal"/>
      <w:start w:val="4"/>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2019-12-10T23:55:58Z</dcterms:created>
  <dcterms:modified xsi:type="dcterms:W3CDTF">2019-12-10T23:55:58Z</dcterms:modified>
</cp:coreProperties>
</file>