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9408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9408160"/>
                    </a:xfrm>
                    <a:prstGeom prst="rect">
                      <a:avLst/>
                    </a:prstGeom>
                    <a:noFill/>
                  </pic:spPr>
                </pic:pic>
              </a:graphicData>
            </a:graphic>
          </wp:anchor>
        </w:drawing>
      </w:r>
    </w:p>
    <w:p>
      <w:pPr>
        <w:spacing w:after="0" w:line="45" w:lineRule="exact"/>
        <w:rPr>
          <w:sz w:val="24"/>
          <w:szCs w:val="24"/>
          <w:color w:val="auto"/>
        </w:rPr>
      </w:pPr>
    </w:p>
    <w:p>
      <w:pPr>
        <w:sectPr>
          <w:pgSz w:w="11900" w:h="16889" w:orient="portrait"/>
          <w:cols w:equalWidth="0" w:num="2">
            <w:col w:w="2240" w:space="320"/>
            <w:col w:w="852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9"/>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PANDIT VIKRAM S</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10"/>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ExlService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EXLS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7"/>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7"/>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7"/>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9"/>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tcPr>
          <w:p>
            <w:pPr>
              <w:ind w:left="50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100" w:type="dxa"/>
            <w:vAlign w:val="bottom"/>
          </w:tcPr>
          <w:p>
            <w:pPr>
              <w:spacing w:after="0"/>
              <w:rPr>
                <w:sz w:val="18"/>
                <w:szCs w:val="18"/>
                <w:color w:val="auto"/>
              </w:rPr>
            </w:pPr>
          </w:p>
        </w:tc>
        <w:tc>
          <w:tcPr>
            <w:tcW w:w="152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06/21/2022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7"/>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35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52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8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0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46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2"/>
          </w:tcPr>
          <w:p>
            <w:pPr>
              <w:spacing w:after="0" w:line="193" w:lineRule="exact"/>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5"/>
          </w:tcPr>
          <w:p>
            <w:pPr>
              <w:ind w:left="20"/>
              <w:spacing w:after="0" w:line="193" w:lineRule="exact"/>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0"/>
              <w:spacing w:after="0" w:line="193" w:lineRule="exact"/>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22"/>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7"/>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6"/>
          </w:tcPr>
          <w:p>
            <w:pPr>
              <w:ind w:left="78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303"/>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60" w:type="dxa"/>
            <w:vAlign w:val="bottom"/>
            <w:gridSpan w:val="3"/>
            <w:vMerge w:val="restart"/>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820" w:type="dxa"/>
            <w:vAlign w:val="bottom"/>
            <w:gridSpan w:val="2"/>
          </w:tcPr>
          <w:p>
            <w:pPr>
              <w:ind w:left="36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2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gridSpan w:val="3"/>
          </w:tcPr>
          <w:p>
            <w:pPr>
              <w:spacing w:after="0"/>
              <w:rPr>
                <w:sz w:val="7"/>
                <w:szCs w:val="7"/>
                <w:color w:val="auto"/>
              </w:rPr>
            </w:pPr>
          </w:p>
        </w:tc>
        <w:tc>
          <w:tcPr>
            <w:tcW w:w="1820" w:type="dxa"/>
            <w:vAlign w:val="bottom"/>
            <w:tcBorders>
              <w:bottom w:val="single" w:sz="8" w:color="2C2C2C"/>
            </w:tcBorders>
            <w:gridSpan w:val="6"/>
          </w:tcPr>
          <w:p>
            <w:pPr>
              <w:spacing w:after="0"/>
              <w:rPr>
                <w:sz w:val="7"/>
                <w:szCs w:val="7"/>
                <w:color w:val="auto"/>
              </w:rPr>
            </w:pPr>
          </w:p>
        </w:tc>
        <w:tc>
          <w:tcPr>
            <w:tcW w:w="7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0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340" w:type="dxa"/>
            <w:vAlign w:val="bottom"/>
            <w:gridSpan w:val="18"/>
          </w:tcPr>
          <w:p>
            <w:pPr>
              <w:ind w:left="7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Conversion</w:t>
            </w:r>
          </w:p>
        </w:tc>
        <w:tc>
          <w:tcPr>
            <w:tcW w:w="10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Ownership</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or Indirect</w:t>
            </w:r>
          </w:p>
        </w:tc>
        <w:tc>
          <w:tcPr>
            <w:tcW w:w="860" w:type="dxa"/>
            <w:vAlign w:val="bottom"/>
            <w:tcBorders>
              <w:right w:val="single" w:sz="8" w:color="2C2C2C"/>
            </w:tcBorders>
            <w:gridSpan w:val="3"/>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2"/>
              </w:rPr>
              <w:t>Date</w:t>
            </w:r>
          </w:p>
        </w:tc>
        <w:tc>
          <w:tcPr>
            <w:tcW w:w="400" w:type="dxa"/>
            <w:vAlign w:val="bottom"/>
          </w:tcPr>
          <w:p>
            <w:pPr>
              <w:spacing w:after="0"/>
              <w:rPr>
                <w:sz w:val="11"/>
                <w:szCs w:val="11"/>
                <w:color w:val="auto"/>
              </w:rPr>
            </w:pPr>
          </w:p>
        </w:tc>
        <w:tc>
          <w:tcPr>
            <w:tcW w:w="82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20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(A)(D)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1,411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1,411</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vMerge w:val="restart"/>
          </w:tcPr>
          <w:p>
            <w:pP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8,529</w:t>
            </w: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4"/>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60" w:type="dxa"/>
            <w:vAlign w:val="bottom"/>
            <w:tcBorders>
              <w:right w:val="single" w:sz="8" w:color="2C2C2C"/>
            </w:tcBorders>
            <w:gridSpan w:val="3"/>
            <w:vMerge w:val="restart"/>
          </w:tcPr>
          <w:p>
            <w:pPr>
              <w:ind w:left="20"/>
              <w:spacing w:after="0" w:line="158"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tcPr>
          <w:p>
            <w:pPr>
              <w:ind w:left="60"/>
              <w:spacing w:after="0" w:line="77" w:lineRule="exact"/>
              <w:rPr>
                <w:sz w:val="20"/>
                <w:szCs w:val="20"/>
                <w:color w:val="auto"/>
              </w:rPr>
            </w:pPr>
            <w:r>
              <w:rPr>
                <w:rFonts w:ascii="Times New Roman" w:cs="Times New Roman" w:eastAsia="Times New Roman" w:hAnsi="Times New Roman"/>
                <w:sz w:val="7"/>
                <w:szCs w:val="7"/>
                <w:color w:val="0000FF"/>
              </w:rPr>
              <w:t>Units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ind w:left="80"/>
              <w:spacing w:after="0" w:line="77" w:lineRule="exact"/>
              <w:rPr>
                <w:sz w:val="20"/>
                <w:szCs w:val="20"/>
                <w:color w:val="auto"/>
              </w:rPr>
            </w:pPr>
            <w:r>
              <w:rPr>
                <w:rFonts w:ascii="Times New Roman" w:cs="Times New Roman" w:eastAsia="Times New Roman" w:hAnsi="Times New Roman"/>
                <w:sz w:val="7"/>
                <w:szCs w:val="7"/>
                <w:color w:val="0000FF"/>
              </w:rPr>
              <w:t>$0.001</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per share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9"/>
          </w:tcPr>
          <w:p>
            <w:pPr>
              <w:ind w:left="60"/>
              <w:spacing w:after="0" w:line="23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7"/>
          </w:tcPr>
          <w:p>
            <w:pPr>
              <w:spacing w:after="0" w:line="218"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PANDIT VIKRAM S</w:t>
              </w:r>
            </w:hyperlink>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9"/>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7"/>
          </w:tcPr>
          <w:p>
            <w:pPr>
              <w:spacing w:after="0" w:line="21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Orogen Echo LLC</w:t>
              </w:r>
            </w:hyperlink>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9"/>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7"/>
          </w:tcPr>
          <w:p>
            <w:pPr>
              <w:spacing w:after="0" w:line="218"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Orogen Group LLC</w:t>
              </w:r>
            </w:hyperlink>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-6322695</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ROCKEFELLER PLAZA SUITE 2416</w:t>
      </w:r>
    </w:p>
    <w:p>
      <w:pPr>
        <w:sectPr>
          <w:pgSz w:w="11900" w:h="16889" w:orient="portrait"/>
          <w:cols w:equalWidth="0" w:num="1">
            <w:col w:w="11080"/>
          </w:cols>
          <w:pgMar w:left="460" w:top="217" w:right="359" w:bottom="0" w:gutter="0" w:footer="0" w:header="0"/>
          <w:type w:val="continuous"/>
        </w:sectPr>
      </w:pPr>
    </w:p>
    <w:p>
      <w:pPr>
        <w:spacing w:after="0" w:line="33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89" w:orient="portrait"/>
          <w:cols w:equalWidth="0" w:num="1">
            <w:col w:w="11080"/>
          </w:cols>
          <w:pgMar w:left="460" w:top="217"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8"/>
                <w:szCs w:val="18"/>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Orogen Holdings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THE OROGEN GROUP LLC</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ONE ROCKEFELLER PLAZA SUITE 2416</w:t>
            </w: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10020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Atairos-Orogen Holdings, LLC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Atairos Group, Inc.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40 MORRIS AVENUE</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Atairos Partners, L.P.</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Atairos Partners GP, Inc.</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66"/>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C/O ATAIROS MANAGEMENT, L.P.</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7"/>
              </w:rPr>
              <w:t>40 MORRIS ROAD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BRYN MAWR</w:t>
            </w:r>
          </w:p>
        </w:tc>
        <w:tc>
          <w:tcPr>
            <w:tcW w:w="13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19010</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8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8"/>
          </w:tcPr>
          <w:p>
            <w:pPr>
              <w:spacing w:after="0" w:line="218"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Angelakis Michael J</w:t>
              </w:r>
            </w:hyperlink>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7"/>
          </w:tcPr>
          <w:p>
            <w:pPr>
              <w:ind w:left="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3049270</wp:posOffset>
            </wp:positionH>
            <wp:positionV relativeFrom="page">
              <wp:posOffset>88900</wp:posOffset>
            </wp:positionV>
            <wp:extent cx="41910" cy="10527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41910" cy="10527030"/>
                    </a:xfrm>
                    <a:prstGeom prst="rect">
                      <a:avLst/>
                    </a:prstGeom>
                    <a:noFill/>
                  </pic:spPr>
                </pic:pic>
              </a:graphicData>
            </a:graphic>
          </wp:anchor>
        </w:drawing>
        <w:drawing>
          <wp:anchor simplePos="0" relativeHeight="251657728" behindDoc="1" locked="0" layoutInCell="0" allowOverlap="1">
            <wp:simplePos x="0" y="0"/>
            <wp:positionH relativeFrom="page">
              <wp:posOffset>281305</wp:posOffset>
            </wp:positionH>
            <wp:positionV relativeFrom="page">
              <wp:posOffset>88900</wp:posOffset>
            </wp:positionV>
            <wp:extent cx="41910" cy="10527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41910" cy="1052703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-9481185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-9481185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-8805545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-8805545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-8178800</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-8178800</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-7763510</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-7763510</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-7087870</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-7087870</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-6461125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-6461125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-6045835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-6045835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-5370195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-5370195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-4743450</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-4743450</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-4328160</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-4328160</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-3652520</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-3652520</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-3025140</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-3025140</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-2609850</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-2609850</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-1934210</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-1934210</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-1307465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-1307465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-892175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-892175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-216535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-216535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ATAIROS MANAGEMENT, L.P.</w:t>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40 MORRIS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90805</wp:posOffset>
            </wp:positionV>
            <wp:extent cx="26797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2679700" cy="41910"/>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52" w:right="1440" w:bottom="0" w:gutter="0" w:footer="0" w:header="0"/>
        </w:sectPr>
      </w:pPr>
    </w:p>
    <w:p>
      <w:pPr>
        <w:spacing w:after="0" w:line="30"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BRYN MAWR</w:t>
      </w:r>
      <w:r>
        <w:rPr>
          <w:sz w:val="20"/>
          <w:szCs w:val="20"/>
          <w:color w:val="auto"/>
        </w:rPr>
        <w:tab/>
      </w:r>
      <w:r>
        <w:rPr>
          <w:rFonts w:ascii="Times New Roman" w:cs="Times New Roman" w:eastAsia="Times New Roman" w:hAnsi="Times New Roman"/>
          <w:sz w:val="17"/>
          <w:szCs w:val="17"/>
          <w:color w:val="0000FF"/>
        </w:rPr>
        <w:t>PA</w:t>
      </w:r>
      <w:r>
        <w:rPr>
          <w:sz w:val="20"/>
          <w:szCs w:val="20"/>
          <w:color w:val="auto"/>
        </w:rPr>
        <w:tab/>
      </w:r>
      <w:r>
        <w:rPr>
          <w:rFonts w:ascii="Times New Roman" w:cs="Times New Roman" w:eastAsia="Times New Roman" w:hAnsi="Times New Roman"/>
          <w:sz w:val="16"/>
          <w:szCs w:val="16"/>
          <w:color w:val="0000FF"/>
        </w:rPr>
        <w:t>19010</w:t>
      </w:r>
    </w:p>
    <w:p>
      <w:pPr>
        <w:sectPr>
          <w:pgSz w:w="11900" w:h="16838" w:orient="portrait"/>
          <w:cols w:equalWidth="0" w:num="1">
            <w:col w:w="9979"/>
          </w:cols>
          <w:pgMar w:left="480" w:top="152"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2809875" cy="281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2809875" cy="28130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20" w:hanging="119"/>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upon settlement.</w:t>
      </w:r>
    </w:p>
    <w:p>
      <w:pPr>
        <w:spacing w:after="0" w:line="42" w:lineRule="exact"/>
        <w:rPr>
          <w:rFonts w:ascii="Times New Roman" w:cs="Times New Roman" w:eastAsia="Times New Roman" w:hAnsi="Times New Roman"/>
          <w:sz w:val="13"/>
          <w:szCs w:val="13"/>
          <w:color w:val="008000"/>
        </w:rPr>
      </w:pPr>
    </w:p>
    <w:p>
      <w:pPr>
        <w:ind w:right="60" w:firstLine="1"/>
        <w:spacing w:after="0" w:line="23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which were granted in connection with Mr. Pandit's appointment as Chairman of the Board of Directors of the issuer (the "Board"), vest upon the earlier of (i) the first anniversary of the date of grant, (ii) the date on which the reporting person's term as a member of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7" w:lineRule="exact"/>
        <w:rPr>
          <w:rFonts w:ascii="Times New Roman" w:cs="Times New Roman" w:eastAsia="Times New Roman" w:hAnsi="Times New Roman"/>
          <w:sz w:val="13"/>
          <w:szCs w:val="13"/>
          <w:color w:val="008000"/>
        </w:rPr>
      </w:pPr>
    </w:p>
    <w:p>
      <w:pPr>
        <w:ind w:firstLine="1"/>
        <w:spacing w:after="0" w:line="236"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Pandit serves on the Board and is the Chairman and Chief Executive Officer of Orogen Echo LLC ("OE"). Orogen Holdings LLC and Atairos-Orogen Holdings, LLC are the sole members with joint investment control of The Orogen Group LLC, which is the sole member of OE.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27" w:lineRule="exact"/>
        <w:rPr>
          <w:rFonts w:ascii="Times New Roman" w:cs="Times New Roman" w:eastAsia="Times New Roman" w:hAnsi="Times New Roman"/>
          <w:sz w:val="13"/>
          <w:szCs w:val="13"/>
          <w:color w:val="008000"/>
        </w:rPr>
      </w:pPr>
    </w:p>
    <w:p>
      <w:pPr>
        <w:ind w:right="80" w:firstLine="1"/>
        <w:spacing w:after="0" w:line="253"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other than Mr. Pandit, is acting as a director by deputization of the issuer with respect to Mr. Pandit's membership on the Board. Each of the reporting persons may be deemed to have direct or indirect beneficial ownership of the reported securities, as applicable, but disclaims such beneficial ownership except to the extent of its pecuniary interest therein.</w:t>
      </w:r>
    </w:p>
    <w:p>
      <w:pPr>
        <w:sectPr>
          <w:pgSz w:w="11900" w:h="16838" w:orient="portrait"/>
          <w:cols w:equalWidth="0" w:num="1">
            <w:col w:w="10840"/>
          </w:cols>
          <w:pgMar w:left="500" w:top="294" w:right="559" w:bottom="1440" w:gutter="0" w:footer="0" w:header="0"/>
        </w:sectPr>
      </w:pPr>
    </w:p>
    <w:p>
      <w:pPr>
        <w:spacing w:after="0" w:line="4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Vikram S. Pandit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0312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81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90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1906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80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07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823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376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by Vikram S. Pandit,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284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and 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201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966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814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258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84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8460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341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490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1607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948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3081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8286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828675"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40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020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194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092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7023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553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0807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-17145</wp:posOffset>
            </wp:positionV>
            <wp:extent cx="12490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06/22/2022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660" w:space="100"/>
            <w:col w:w="2080"/>
          </w:cols>
          <w:pgMar w:left="500" w:top="294" w:right="559" w:bottom="144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Michael J. Angelakis /s/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06/22/2022</w:t>
            </w:r>
          </w:p>
        </w:tc>
        <w:tc>
          <w:tcPr>
            <w:tcW w:w="0" w:type="dxa"/>
            <w:vAlign w:val="bottom"/>
          </w:tcPr>
          <w:p>
            <w:pPr>
              <w:spacing w:after="0"/>
              <w:rPr>
                <w:sz w:val="1"/>
                <w:szCs w:val="1"/>
                <w:color w:val="auto"/>
              </w:rPr>
            </w:pPr>
          </w:p>
        </w:tc>
      </w:tr>
      <w:tr>
        <w:trPr>
          <w:trHeight w:val="83"/>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Michael J. Angelakis</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40" w:firstLine="1"/>
        <w:spacing w:after="0" w:line="33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29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12" Type="http://schemas.openxmlformats.org/officeDocument/2006/relationships/hyperlink" Target="http://www.sec.gov/cgi-bin/browse-edgar?action=getcompany&amp;CIK=0001183417"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754751" TargetMode="External"/><Relationship Id="rId15" Type="http://schemas.openxmlformats.org/officeDocument/2006/relationships/hyperlink" Target="http://www.sec.gov/cgi-bin/browse-edgar?action=getcompany&amp;CIK=0001705509" TargetMode="External"/><Relationship Id="rId17" Type="http://schemas.openxmlformats.org/officeDocument/2006/relationships/hyperlink" Target="http://www.sec.gov/cgi-bin/browse-edgar?action=getcompany&amp;CIK=0001705500" TargetMode="External"/><Relationship Id="rId18" Type="http://schemas.openxmlformats.org/officeDocument/2006/relationships/hyperlink" Target="http://www.sec.gov/cgi-bin/browse-edgar?action=getcompany&amp;CIK=0001705610" TargetMode="External"/><Relationship Id="rId19" Type="http://schemas.openxmlformats.org/officeDocument/2006/relationships/hyperlink" Target="http://www.sec.gov/cgi-bin/browse-edgar?action=getcompany&amp;CIK=0001671122" TargetMode="External"/><Relationship Id="rId20" Type="http://schemas.openxmlformats.org/officeDocument/2006/relationships/hyperlink" Target="http://www.sec.gov/cgi-bin/browse-edgar?action=getcompany&amp;CIK=0001671185" TargetMode="External"/><Relationship Id="rId21" Type="http://schemas.openxmlformats.org/officeDocument/2006/relationships/hyperlink" Target="http://www.sec.gov/cgi-bin/browse-edgar?action=getcompany&amp;CIK=0001671176" TargetMode="External"/><Relationship Id="rId22"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2022-06-22T18:30:39Z</dcterms:created>
  <dcterms:modified xsi:type="dcterms:W3CDTF">2022-06-22T18:30:39Z</dcterms:modified>
</cp:coreProperties>
</file>