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1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187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Sahney Nitin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29TH FLOOR</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020" w:type="dxa"/>
            <w:vAlign w:val="bottom"/>
            <w:tcBorders>
              <w:top w:val="single" w:sz="8" w:color="0000EE"/>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7,060</w:t>
            </w:r>
          </w:p>
        </w:tc>
        <w:tc>
          <w:tcPr>
            <w:tcW w:w="700" w:type="dxa"/>
            <w:vAlign w:val="bottom"/>
          </w:tcPr>
          <w:p>
            <w:pPr>
              <w:spacing w:after="0"/>
              <w:rPr>
                <w:sz w:val="12"/>
                <w:szCs w:val="12"/>
                <w:color w:val="auto"/>
              </w:rPr>
            </w:pP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81,575</w:t>
            </w:r>
            <w:r>
              <w:rPr>
                <w:rFonts w:ascii="Times New Roman" w:cs="Times New Roman" w:eastAsia="Times New Roman" w:hAnsi="Times New Roman"/>
                <w:sz w:val="21"/>
                <w:szCs w:val="21"/>
                <w:color w:val="008000"/>
                <w:vertAlign w:val="superscript"/>
              </w:rPr>
              <w:t>(3)</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7,060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has been adjusted to reflect the impact of the 5-for-1 forward stock split effective August 1,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2024-06-24T16:21:15Z</dcterms:created>
  <dcterms:modified xsi:type="dcterms:W3CDTF">2024-06-24T16:21:15Z</dcterms:modified>
</cp:coreProperties>
</file>