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331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33146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OSTLER CLYDE W</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11/02/2017</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3" w:lineRule="exact"/>
        <w:rPr>
          <w:sz w:val="24"/>
          <w:szCs w:val="24"/>
          <w:color w:val="auto"/>
        </w:rPr>
      </w:pPr>
    </w:p>
    <w:p>
      <w:pPr>
        <w:jc w:val="right"/>
        <w:ind w:right="46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6"/>
        <w:spacing w:after="0"/>
        <w:tabs>
          <w:tab w:leader="none" w:pos="214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Arial" w:cs="Arial" w:eastAsia="Arial" w:hAnsi="Arial"/>
                <w:sz w:val="17"/>
                <w:szCs w:val="17"/>
                <w:color w:val="0000FF"/>
              </w:rPr>
              <w:t>NEW YORK</w:t>
            </w:r>
          </w:p>
        </w:tc>
        <w:tc>
          <w:tcPr>
            <w:tcW w:w="1000" w:type="dxa"/>
            <w:vAlign w:val="bottom"/>
          </w:tcPr>
          <w:p>
            <w:pPr>
              <w:ind w:left="160"/>
              <w:spacing w:after="0"/>
              <w:rPr>
                <w:sz w:val="20"/>
                <w:szCs w:val="20"/>
                <w:color w:val="auto"/>
              </w:rPr>
            </w:pPr>
            <w:r>
              <w:rPr>
                <w:rFonts w:ascii="Arial" w:cs="Arial" w:eastAsia="Arial" w:hAnsi="Arial"/>
                <w:sz w:val="17"/>
                <w:szCs w:val="17"/>
                <w:color w:val="0000FF"/>
              </w:rPr>
              <w:t>NY</w:t>
            </w:r>
          </w:p>
        </w:tc>
        <w:tc>
          <w:tcPr>
            <w:tcW w:w="1680" w:type="dxa"/>
            <w:vAlign w:val="bottom"/>
          </w:tcPr>
          <w:p>
            <w:pPr>
              <w:ind w:left="440"/>
              <w:spacing w:after="0"/>
              <w:rPr>
                <w:sz w:val="20"/>
                <w:szCs w:val="20"/>
                <w:color w:val="auto"/>
              </w:rPr>
            </w:pPr>
            <w:r>
              <w:rPr>
                <w:rFonts w:ascii="Arial" w:cs="Arial" w:eastAsia="Arial" w:hAnsi="Arial"/>
                <w:sz w:val="17"/>
                <w:szCs w:val="17"/>
                <w:color w:val="0000FF"/>
              </w:rPr>
              <w:t>10017</w:t>
            </w:r>
          </w:p>
        </w:tc>
      </w:tr>
      <w:tr>
        <w:trPr>
          <w:trHeight w:val="156"/>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5"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62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2020" w:type="dxa"/>
            <w:vAlign w:val="bottom"/>
            <w:gridSpan w:val="4"/>
          </w:tcPr>
          <w:p>
            <w:pPr>
              <w:ind w:left="120"/>
              <w:spacing w:after="0" w:line="132"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restart"/>
          </w:tcPr>
          <w:p>
            <w:pPr>
              <w:jc w:val="center"/>
              <w:ind w:right="34"/>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2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11/02/2017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10,020</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23.87</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339"/>
              <w:spacing w:after="0"/>
              <w:rPr>
                <w:sz w:val="20"/>
                <w:szCs w:val="20"/>
                <w:color w:val="auto"/>
              </w:rPr>
            </w:pPr>
            <w:r>
              <w:rPr>
                <w:rFonts w:ascii="Arial" w:cs="Arial" w:eastAsia="Arial" w:hAnsi="Arial"/>
                <w:sz w:val="17"/>
                <w:szCs w:val="17"/>
                <w:color w:val="0000FF"/>
              </w:rPr>
              <w:t>10,020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5"/>
              </w:rPr>
              <w:t>Common Stock, par value $0.001 per share</w:t>
            </w:r>
          </w:p>
        </w:tc>
        <w:tc>
          <w:tcPr>
            <w:tcW w:w="12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0000FF"/>
              </w:rPr>
              <w:t>11/02/2017</w:t>
            </w:r>
          </w:p>
        </w:tc>
        <w:tc>
          <w:tcPr>
            <w:tcW w:w="20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41"/>
              <w:spacing w:after="0"/>
              <w:rPr>
                <w:sz w:val="20"/>
                <w:szCs w:val="20"/>
                <w:color w:val="auto"/>
              </w:rPr>
            </w:pPr>
            <w:r>
              <w:rPr>
                <w:rFonts w:ascii="Arial" w:cs="Arial" w:eastAsia="Arial" w:hAnsi="Arial"/>
                <w:sz w:val="26"/>
                <w:szCs w:val="26"/>
                <w:color w:val="0000FF"/>
                <w:w w:val="87"/>
                <w:vertAlign w:val="subscript"/>
              </w:rPr>
              <w:t>S</w:t>
            </w:r>
            <w:r>
              <w:rPr>
                <w:rFonts w:ascii="Arial" w:cs="Arial" w:eastAsia="Arial" w:hAnsi="Arial"/>
                <w:sz w:val="11"/>
                <w:szCs w:val="11"/>
                <w:color w:val="008000"/>
                <w:w w:val="87"/>
              </w:rPr>
              <w:t>(2)</w:t>
            </w:r>
          </w:p>
        </w:tc>
        <w:tc>
          <w:tcPr>
            <w:tcW w:w="740" w:type="dxa"/>
            <w:vAlign w:val="bottom"/>
            <w:tcBorders>
              <w:bottom w:val="single" w:sz="8" w:color="2C2C2C"/>
            </w:tcBorders>
          </w:tcPr>
          <w:p>
            <w:pPr>
              <w:jc w:val="right"/>
              <w:ind w:right="12"/>
              <w:spacing w:after="0"/>
              <w:rPr>
                <w:sz w:val="20"/>
                <w:szCs w:val="20"/>
                <w:color w:val="auto"/>
              </w:rPr>
            </w:pPr>
            <w:r>
              <w:rPr>
                <w:rFonts w:ascii="Arial" w:cs="Arial" w:eastAsia="Arial" w:hAnsi="Arial"/>
                <w:sz w:val="17"/>
                <w:szCs w:val="17"/>
                <w:color w:val="0000FF"/>
              </w:rPr>
              <w:t>6,936</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61.44</w:t>
            </w:r>
            <w:r>
              <w:rPr>
                <w:rFonts w:ascii="Arial" w:cs="Arial" w:eastAsia="Arial" w:hAnsi="Arial"/>
                <w:sz w:val="22"/>
                <w:szCs w:val="22"/>
                <w:color w:val="008000"/>
                <w:w w:val="91"/>
                <w:vertAlign w:val="superscript"/>
              </w:rPr>
              <w:t>(3)</w:t>
            </w:r>
          </w:p>
        </w:tc>
        <w:tc>
          <w:tcPr>
            <w:tcW w:w="1220" w:type="dxa"/>
            <w:vAlign w:val="bottom"/>
            <w:tcBorders>
              <w:bottom w:val="single" w:sz="8" w:color="2C2C2C"/>
            </w:tcBorders>
            <w:gridSpan w:val="2"/>
          </w:tcPr>
          <w:p>
            <w:pPr>
              <w:jc w:val="right"/>
              <w:ind w:right="379"/>
              <w:spacing w:after="0"/>
              <w:rPr>
                <w:sz w:val="20"/>
                <w:szCs w:val="20"/>
                <w:color w:val="auto"/>
              </w:rPr>
            </w:pPr>
            <w:r>
              <w:rPr>
                <w:rFonts w:ascii="Arial" w:cs="Arial" w:eastAsia="Arial" w:hAnsi="Arial"/>
                <w:sz w:val="17"/>
                <w:szCs w:val="17"/>
                <w:color w:val="0000FF"/>
              </w:rPr>
              <w:t>3,084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100" w:type="dxa"/>
            <w:vAlign w:val="bottom"/>
            <w:gridSpan w:val="10"/>
          </w:tcPr>
          <w:p>
            <w:pPr>
              <w:ind w:left="1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62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Employee</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ind w:left="4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gridSpan w:val="2"/>
            <w:vMerge w:val="restart"/>
          </w:tcPr>
          <w:p>
            <w:pPr>
              <w:ind w:left="300"/>
              <w:spacing w:after="0"/>
              <w:rPr>
                <w:sz w:val="20"/>
                <w:szCs w:val="20"/>
                <w:color w:val="auto"/>
              </w:rPr>
            </w:pPr>
            <w:r>
              <w:rPr>
                <w:rFonts w:ascii="Arial" w:cs="Arial" w:eastAsia="Arial" w:hAnsi="Arial"/>
                <w:sz w:val="11"/>
                <w:szCs w:val="11"/>
                <w:color w:val="008000"/>
              </w:rPr>
              <w:t>(4)</w:t>
            </w:r>
          </w:p>
        </w:tc>
        <w:tc>
          <w:tcPr>
            <w:tcW w:w="740" w:type="dxa"/>
            <w:vAlign w:val="bottom"/>
          </w:tcPr>
          <w:p>
            <w:pPr>
              <w:spacing w:after="0"/>
              <w:rPr>
                <w:sz w:val="12"/>
                <w:szCs w:val="12"/>
                <w:color w:val="auto"/>
              </w:rPr>
            </w:pPr>
          </w:p>
        </w:tc>
        <w:tc>
          <w:tcPr>
            <w:tcW w:w="680" w:type="dxa"/>
            <w:vAlign w:val="bottom"/>
          </w:tcPr>
          <w:p>
            <w:pPr>
              <w:jc w:val="center"/>
              <w:ind w:right="34"/>
              <w:spacing w:after="0" w:line="148" w:lineRule="exact"/>
              <w:rPr>
                <w:sz w:val="20"/>
                <w:szCs w:val="20"/>
                <w:color w:val="auto"/>
              </w:rPr>
            </w:pPr>
            <w:r>
              <w:rPr>
                <w:rFonts w:ascii="Arial" w:cs="Arial" w:eastAsia="Arial" w:hAnsi="Arial"/>
                <w:sz w:val="13"/>
                <w:szCs w:val="13"/>
                <w:color w:val="0000FF"/>
                <w:w w:val="93"/>
              </w:rPr>
              <w:t>Stock,</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10,020</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Options</w:t>
            </w:r>
          </w:p>
        </w:tc>
        <w:tc>
          <w:tcPr>
            <w:tcW w:w="80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23.87</w:t>
            </w:r>
          </w:p>
        </w:tc>
        <w:tc>
          <w:tcPr>
            <w:tcW w:w="1080" w:type="dxa"/>
            <w:vAlign w:val="bottom"/>
          </w:tcPr>
          <w:p>
            <w:pPr>
              <w:jc w:val="right"/>
              <w:ind w:right="138"/>
              <w:spacing w:after="0" w:line="148" w:lineRule="exact"/>
              <w:rPr>
                <w:sz w:val="20"/>
                <w:szCs w:val="20"/>
                <w:color w:val="auto"/>
              </w:rPr>
            </w:pPr>
            <w:r>
              <w:rPr>
                <w:rFonts w:ascii="Arial" w:cs="Arial" w:eastAsia="Arial" w:hAnsi="Arial"/>
                <w:sz w:val="13"/>
                <w:szCs w:val="13"/>
                <w:color w:val="0000FF"/>
              </w:rPr>
              <w:t>11/02/2017</w:t>
            </w: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ind w:left="380"/>
              <w:spacing w:after="0" w:line="148" w:lineRule="exact"/>
              <w:rPr>
                <w:sz w:val="20"/>
                <w:szCs w:val="20"/>
                <w:color w:val="auto"/>
              </w:rPr>
            </w:pPr>
            <w:r>
              <w:rPr>
                <w:rFonts w:ascii="Arial" w:cs="Arial" w:eastAsia="Arial" w:hAnsi="Arial"/>
                <w:sz w:val="13"/>
                <w:szCs w:val="13"/>
                <w:color w:val="0000FF"/>
              </w:rPr>
              <w:t>10,020</w:t>
            </w:r>
          </w:p>
        </w:tc>
        <w:tc>
          <w:tcPr>
            <w:tcW w:w="820" w:type="dxa"/>
            <w:vAlign w:val="bottom"/>
            <w:gridSpan w:val="2"/>
            <w:vMerge w:val="continue"/>
          </w:tcPr>
          <w:p>
            <w:pPr>
              <w:spacing w:after="0"/>
              <w:rPr>
                <w:sz w:val="12"/>
                <w:szCs w:val="12"/>
                <w:color w:val="auto"/>
              </w:rPr>
            </w:pPr>
          </w:p>
        </w:tc>
        <w:tc>
          <w:tcPr>
            <w:tcW w:w="740" w:type="dxa"/>
            <w:vAlign w:val="bottom"/>
          </w:tcPr>
          <w:p>
            <w:pPr>
              <w:ind w:left="40"/>
              <w:spacing w:after="0" w:line="148" w:lineRule="exact"/>
              <w:rPr>
                <w:sz w:val="20"/>
                <w:szCs w:val="20"/>
                <w:color w:val="auto"/>
              </w:rPr>
            </w:pPr>
            <w:r>
              <w:rPr>
                <w:rFonts w:ascii="Arial" w:cs="Arial" w:eastAsia="Arial" w:hAnsi="Arial"/>
                <w:sz w:val="13"/>
                <w:szCs w:val="13"/>
                <w:color w:val="0000FF"/>
              </w:rPr>
              <w:t>12/06/2017</w:t>
            </w:r>
          </w:p>
        </w:tc>
        <w:tc>
          <w:tcPr>
            <w:tcW w:w="680" w:type="dxa"/>
            <w:vAlign w:val="bottom"/>
          </w:tcPr>
          <w:p>
            <w:pPr>
              <w:ind w:left="40"/>
              <w:spacing w:after="0" w:line="148" w:lineRule="exact"/>
              <w:rPr>
                <w:sz w:val="20"/>
                <w:szCs w:val="20"/>
                <w:color w:val="auto"/>
              </w:rPr>
            </w:pPr>
            <w:r>
              <w:rPr>
                <w:rFonts w:ascii="Arial" w:cs="Arial" w:eastAsia="Arial" w:hAnsi="Arial"/>
                <w:sz w:val="13"/>
                <w:szCs w:val="13"/>
                <w:color w:val="0000FF"/>
              </w:rPr>
              <w:t>par value</w:t>
            </w:r>
          </w:p>
        </w:tc>
        <w:tc>
          <w:tcPr>
            <w:tcW w:w="5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tcPr>
          <w:p>
            <w:pPr>
              <w:ind w:left="240"/>
              <w:spacing w:after="0" w:line="148" w:lineRule="exact"/>
              <w:rPr>
                <w:sz w:val="20"/>
                <w:szCs w:val="20"/>
                <w:color w:val="auto"/>
              </w:rPr>
            </w:pPr>
            <w:r>
              <w:rPr>
                <w:rFonts w:ascii="Arial" w:cs="Arial" w:eastAsia="Arial" w:hAnsi="Arial"/>
                <w:sz w:val="13"/>
                <w:szCs w:val="13"/>
                <w:color w:val="0000FF"/>
                <w:w w:val="90"/>
              </w:rPr>
              <w:t>13,064</w:t>
            </w:r>
          </w:p>
        </w:tc>
        <w:tc>
          <w:tcPr>
            <w:tcW w:w="280" w:type="dxa"/>
            <w:vAlign w:val="bottom"/>
          </w:tcPr>
          <w:p>
            <w:pPr>
              <w:spacing w:after="0"/>
              <w:rPr>
                <w:sz w:val="12"/>
                <w:szCs w:val="12"/>
                <w:color w:val="auto"/>
              </w:rPr>
            </w:pPr>
          </w:p>
        </w:tc>
        <w:tc>
          <w:tcPr>
            <w:tcW w:w="700" w:type="dxa"/>
            <w:vAlign w:val="bottom"/>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(right to</w:t>
            </w:r>
          </w:p>
        </w:tc>
        <w:tc>
          <w:tcPr>
            <w:tcW w:w="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jc w:val="center"/>
              <w:ind w:right="14"/>
              <w:spacing w:after="0" w:line="148" w:lineRule="exact"/>
              <w:rPr>
                <w:sz w:val="20"/>
                <w:szCs w:val="20"/>
                <w:color w:val="auto"/>
              </w:rPr>
            </w:pPr>
            <w:r>
              <w:rPr>
                <w:rFonts w:ascii="Arial" w:cs="Arial" w:eastAsia="Arial" w:hAnsi="Arial"/>
                <w:sz w:val="13"/>
                <w:szCs w:val="13"/>
                <w:color w:val="0000FF"/>
                <w:w w:val="90"/>
              </w:rPr>
              <w:t>$0.001</w:t>
            </w:r>
          </w:p>
        </w:tc>
        <w:tc>
          <w:tcPr>
            <w:tcW w:w="5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3"/>
                <w:szCs w:val="13"/>
                <w:color w:val="0000FF"/>
              </w:rPr>
              <w:t>buy)</w:t>
            </w: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3"/>
                <w:szCs w:val="13"/>
                <w:color w:val="0000FF"/>
              </w:rPr>
              <w:t>per share</w:t>
            </w:r>
          </w:p>
        </w:tc>
        <w:tc>
          <w:tcPr>
            <w:tcW w:w="5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November 2, 2017, the reporting person exercised previously issued options to purchase an aggregate of 10,020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$61.37 to $61.55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40" w:right="400" w:firstLine="8"/>
        <w:spacing w:after="0" w:line="296"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On December 6, 2007, the reporting person was granted 30,000 stock options. 25 percent of these options became vested and exercisable on December 6, 2008, an additional 25 percent became vested and exercisable on December 6, 2009, an additional 25 percent became vested and exercisable on December 6, 2010, and the balance of 25 percent became vested and exercisable on December 6, 2011.</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11/06/2017</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9283"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2019-12-23T21:54:22Z</dcterms:created>
  <dcterms:modified xsi:type="dcterms:W3CDTF">2019-12-23T21:54:22Z</dcterms:modified>
</cp:coreProperties>
</file>