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Sections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60"/>
        <w:spacing w:after="0"/>
        <w:rPr>
          <w:sz w:val="20"/>
          <w:szCs w:val="20"/>
          <w:color w:val="auto"/>
        </w:rPr>
      </w:pPr>
      <w:r>
        <w:rPr>
          <w:rFonts w:ascii="Arial" w:cs="Arial" w:eastAsia="Arial" w:hAnsi="Arial"/>
          <w:sz w:val="21"/>
          <w:szCs w:val="21"/>
          <w:b w:val="1"/>
          <w:bCs w:val="1"/>
          <w:color w:val="auto"/>
        </w:rPr>
        <w:t>Date of Report (Date of earliest event reported): July 29,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82-0572194</w:t>
      </w:r>
    </w:p>
    <w:p>
      <w:pPr>
        <w:spacing w:after="0" w:line="31" w:lineRule="exact"/>
        <w:rPr>
          <w:sz w:val="24"/>
          <w:szCs w:val="24"/>
          <w:color w:val="auto"/>
        </w:rPr>
      </w:pPr>
    </w:p>
    <w:p>
      <w:pPr>
        <w:sectPr>
          <w:pgSz w:w="11900" w:h="16838" w:orient="portrait"/>
          <w:cols w:equalWidth="0" w:num="3">
            <w:col w:w="4740" w:space="720"/>
            <w:col w:w="2980" w:space="720"/>
            <w:col w:w="1700"/>
          </w:cols>
          <w:pgMar w:left="240" w:top="368" w:right="7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820"/>
          </w:cols>
          <w:pgMar w:left="240" w:top="368" w:right="799" w:bottom="1440" w:gutter="0" w:footer="0" w:header="0"/>
          <w:type w:val="continuous"/>
        </w:sectPr>
      </w:pPr>
    </w:p>
    <w:p>
      <w:pPr>
        <w:spacing w:after="0" w:line="6"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2"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559"/>
        <w:spacing w:after="0"/>
        <w:rPr>
          <w:sz w:val="20"/>
          <w:szCs w:val="20"/>
          <w:color w:val="auto"/>
        </w:rPr>
      </w:pPr>
      <w:r>
        <w:rPr>
          <w:rFonts w:ascii="Arial" w:cs="Arial" w:eastAsia="Arial" w:hAnsi="Arial"/>
          <w:sz w:val="16"/>
          <w:szCs w:val="16"/>
          <w:b w:val="1"/>
          <w:bCs w:val="1"/>
          <w:color w:val="auto"/>
        </w:rPr>
        <w:t>Registrant’s telephone number, including area code: (212) 277-7100</w:t>
      </w:r>
    </w:p>
    <w:p>
      <w:pPr>
        <w:spacing w:after="0" w:line="24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On July 29, 2014, ExlService Holdings, Inc. (the “Company”) reported its results of operations for the three months ended June 30, 2014. A copy of the press release issued by the Company concerning the foregoing is furnished herewith as Exhibit 99.1 and is incorporated herein by reference.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July 29, 2014 (furnished pursuant to Item 2.02)</w:t>
      </w:r>
    </w:p>
    <w:p>
      <w:pPr>
        <w:sectPr>
          <w:pgSz w:w="11900" w:h="16838" w:orient="portrait"/>
          <w:cols w:equalWidth="0" w:num="1">
            <w:col w:w="11400"/>
          </w:cols>
          <w:pgMar w:left="240" w:top="270" w:right="25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EXLSERVICE HOLDINGS, INC.</w:t>
      </w:r>
    </w:p>
    <w:p>
      <w:pPr>
        <w:spacing w:after="0" w:line="229" w:lineRule="exact"/>
        <w:rPr>
          <w:sz w:val="20"/>
          <w:szCs w:val="20"/>
          <w:color w:val="auto"/>
        </w:rPr>
      </w:pPr>
    </w:p>
    <w:p>
      <w:pPr>
        <w:spacing w:after="0"/>
        <w:tabs>
          <w:tab w:leader="none" w:pos="5880" w:val="left"/>
          <w:tab w:leader="none" w:pos="8020" w:val="left"/>
        </w:tabs>
        <w:rPr>
          <w:sz w:val="20"/>
          <w:szCs w:val="20"/>
          <w:color w:val="auto"/>
        </w:rPr>
      </w:pPr>
      <w:r>
        <w:rPr>
          <w:rFonts w:ascii="Arial" w:cs="Arial" w:eastAsia="Arial" w:hAnsi="Arial"/>
          <w:sz w:val="18"/>
          <w:szCs w:val="18"/>
          <w:color w:val="auto"/>
        </w:rPr>
        <w:t>Date: July 29,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V</w:t>
      </w:r>
      <w:r>
        <w:rPr>
          <w:rFonts w:ascii="Arial" w:cs="Arial" w:eastAsia="Arial" w:hAnsi="Arial"/>
          <w:sz w:val="14"/>
          <w:szCs w:val="14"/>
          <w:color w:val="auto"/>
        </w:rPr>
        <w:t>ISHAL</w:t>
      </w:r>
      <w:r>
        <w:rPr>
          <w:rFonts w:ascii="Arial" w:cs="Arial" w:eastAsia="Arial" w:hAnsi="Arial"/>
          <w:sz w:val="17"/>
          <w:szCs w:val="17"/>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1"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Vishal Chhibbar</w:t>
      </w:r>
    </w:p>
    <w:p>
      <w:pPr>
        <w:jc w:val="center"/>
        <w:ind w:left="6280"/>
        <w:spacing w:after="0" w:line="221"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280"/>
        <w:spacing w:after="0" w:line="221" w:lineRule="auto"/>
        <w:rPr>
          <w:sz w:val="20"/>
          <w:szCs w:val="20"/>
          <w:color w:val="auto"/>
        </w:rPr>
      </w:pPr>
      <w:r>
        <w:rPr>
          <w:rFonts w:ascii="Arial" w:cs="Arial" w:eastAsia="Arial" w:hAnsi="Arial"/>
          <w:sz w:val="14"/>
          <w:szCs w:val="14"/>
          <w:b w:val="1"/>
          <w:bCs w:val="1"/>
          <w:color w:val="auto"/>
        </w:rPr>
        <w:t>(Duly Authorized Signatory, Principal Financial and</w:t>
      </w:r>
    </w:p>
    <w:p>
      <w:pPr>
        <w:spacing w:after="0" w:line="1"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Accounting Officer)</w:t>
      </w:r>
    </w:p>
    <w:p>
      <w:pPr>
        <w:sectPr>
          <w:pgSz w:w="11900" w:h="16838" w:orient="portrait"/>
          <w:cols w:equalWidth="0" w:num="1">
            <w:col w:w="10800"/>
          </w:cols>
          <w:pgMar w:left="240" w:top="270" w:right="85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July 29, 2014 (furnished pursuant to Item 2.02)</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6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auto"/>
        </w:rPr>
        <w:t>ir@exlservice.com</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2014 SECOND QUARTER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2014 Second Quarter Revenues of $119.7 Million and Adjusted Diluted Earnings Per Share (EPS) of $0.41</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New York, NY – July 29, 2014 – ExlService Holdings, Inc. (NASDAQ: EXLS), a leading provider of outsourcing and transformation services, today announced its financial results for the second quarter of 2014.</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Rohit Kapoor, Vice Chairman and CEO, commented: “EXL experienced strong second quarter volume growth, driven by strength in our transformation segment which grew 36.1% year over year. In particular, decision analytics, experienced annual year-over-year growth of 48.0%. New analytics engagements in the banking and healthcare industries have been driving the growth. Decision analytics now represents approximately 12% of EXL’s total revenues. In outsourcing, we migrated 49 new processes for new and existing clients across finance and accounting, insurance, and travel, transportation and logistics. I am pleased with the ongoing process migrations across newly acquired and existing strategic clients that took place in the second quarter and the breadth of clients with whom we are expanding our relationships.”</w:t>
      </w:r>
    </w:p>
    <w:p>
      <w:pPr>
        <w:spacing w:after="0" w:line="193"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Vishal Chhibbar, EXL’s CFO, commented: “In the second quarter, EXL achieved revenues of $119.7 million, or $125.5 million excluding $5.7 million of reimbursement of disentanglement costs. Excluding these disentanglement costs and the impact of transitioning clients, constant currency revenues grew 13.6% year-over-year. In the second quarter, EXL had adjusted EPS of $0.41, up 12.2% year-over-year.</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For 2014, we are upwardly revising our revenue guidance to $490 million to $503 million to include the acquisition of Blue Slate and based on strong revenue performance in the first half of the year. We are maintaining our adjusted diluted EPS guidance of $1.70 to $1.80. Our revenue and adjusted EPS guidance excludes the impact of the reimbursement of disentanglement costs.”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Highlights – Second Quarter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Reconciliations of adjusted financial measures to GAAP are included at the end of this release.</w:t>
      </w:r>
    </w:p>
    <w:p>
      <w:pPr>
        <w:spacing w:after="0" w:line="131" w:lineRule="exact"/>
        <w:rPr>
          <w:sz w:val="20"/>
          <w:szCs w:val="20"/>
          <w:color w:val="auto"/>
        </w:rPr>
      </w:pPr>
    </w:p>
    <w:p>
      <w:pPr>
        <w:ind w:left="900" w:hanging="325"/>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quarter ended June 30, 2014 were $119.7 million compared to $116.0 million for the quarter ended June 30, 2013 and $121.8 million for the quarter ended March 31, 2014. Revenues for the quarter ended June 30, 2014 were reduced by approximately $5.7 million due to the reimbursement of disentanglement costs. Outsourcing services revenues for the quarter ended June 30, 2014 were $94.3 million compared to $97.3 million for the quarter ended June 30, 2013 and $100.1 million for the quarter ended March 31, 2014. Transformation services revenues for the quarter ended June 30, 2014 were $25.4 million compared to $18.7 million for the quarter ended June 30, 2013 and $21.7 million for the quarter ended March 31, 2014.</w:t>
      </w:r>
    </w:p>
    <w:p>
      <w:pPr>
        <w:spacing w:after="0" w:line="98" w:lineRule="exact"/>
        <w:rPr>
          <w:rFonts w:ascii="Arial" w:cs="Arial" w:eastAsia="Arial" w:hAnsi="Arial"/>
          <w:sz w:val="18"/>
          <w:szCs w:val="18"/>
          <w:color w:val="auto"/>
        </w:rPr>
      </w:pPr>
    </w:p>
    <w:p>
      <w:pPr>
        <w:ind w:left="900" w:right="40" w:hanging="325"/>
        <w:spacing w:after="0" w:line="30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margin for the quarter ended June 30, 2014 was 32.1% compared to 36.3% for the quarter ended June 30, 2013 and 38.5% for the quarter ended March 31, 2014. Outsourcing services gross margin for the quarter ended June 30, 2014 was 33.7% compared to 38.9% for the quarter ended June 30, 2013 and 41.2% for the quarter ended March 31, 2014. Transformation services gross margin for the quarter ended June 30, 2014 was 26.2% compared to 22.7% for the quarter ended June 30, 2013 and 26.2% for the quarter ended March 31, 2014.</w:t>
      </w:r>
    </w:p>
    <w:p>
      <w:pPr>
        <w:spacing w:after="0" w:line="59" w:lineRule="exact"/>
        <w:rPr>
          <w:rFonts w:ascii="Arial" w:cs="Arial" w:eastAsia="Arial" w:hAnsi="Arial"/>
          <w:sz w:val="16"/>
          <w:szCs w:val="16"/>
          <w:color w:val="auto"/>
        </w:rPr>
      </w:pPr>
    </w:p>
    <w:p>
      <w:pPr>
        <w:ind w:left="900" w:right="34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margin for the quarter ended June 30, 2014 was 5.1% compared to 11.1% for the quarter ended June 30, 2013 and 12.7% for the quarter ended March 31, 2014. Adjusted operating margin for the quarter ended June 30, 2014 was 12.2% compared to 14.9% for the quarter ended June 30, 2013 and 19.0% for the quarter ended March 31, 2014.</w:t>
      </w:r>
    </w:p>
    <w:p>
      <w:pPr>
        <w:spacing w:after="0" w:line="86"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for the quarter ended June 30, 2014 was $7.8 million compared to $9.2 million for the quarter ended June 30, 2013 and $11.1 million for the quarter ended March 31, 2014. Adjusted EBITDA for the quarter ended June 30, 2014 was $20.5 million compared to $22.0 million for the quarter ended June 30, 2013 and $28.5 million for the quarter ended March 31, 2014.</w:t>
      </w:r>
    </w:p>
    <w:p>
      <w:pPr>
        <w:spacing w:after="0" w:line="86"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for the quarter ended June 30, 2014 were $0.23 compared to $0.27 for the quarter ended June 30, 2013 and $0.33 for the quarter ended March 31, 2014. Adjusted diluted earnings per share for the quarter ended June 30, 2014 were $0.41 compared to $0.37 for the quarter ended June 30, 2013 and $0.50 for the quarter ended March 31,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135" w:lineRule="exact"/>
        <w:rPr>
          <w:sz w:val="20"/>
          <w:szCs w:val="20"/>
          <w:color w:val="auto"/>
        </w:rPr>
      </w:pPr>
    </w:p>
    <w:p>
      <w:pPr>
        <w:ind w:left="900" w:right="12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a non-binding memorandum of understanding to form a joint venture with Carvajal Tecnologia y Servicios a subsidiary of Carvajal S.A. on July 25, 2014 to address the growing demand of operations management solutions provided in Spanish. The joint venture is intended to combine Carvajal’s local knowledge and brand with EXL’s business process expertise and global best practices to service clients from a world-class, Latin American operation.</w:t>
      </w:r>
    </w:p>
    <w:p>
      <w:pPr>
        <w:spacing w:after="0" w:line="92"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Blue Slate Solutions LLC on July 1, 2014 which specializes in transforming operations through business process optimization, data integration and analytics by leveraging innovative techniques and technologies.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Certified in Everest’s marketing framework for best practices in safeguarding sensitive and confidential client information by adopting the new BPS (Business Process Solutions) Code of Conduct.</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Received an Innovation Award from international consultancy Alsbridge, Inc., for EXL’s use of analytics and automation to improve receivables management processes for a leading UK energy supplier.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Positioned in the “Leaders” quadrant of the “Magic Quadrant for Finance and Accounting BPO,” published by Gartner on May 28, 2014.</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7 new clients during the second quarter, including 4 transformation clients.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Opened a new center in the Philippines in Cebu, adding over 300 workstations of additional delivery capacity.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multiple outsourcing services relationships, including migrating 49 new processes in the second quarter of 2014.</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Recorded headcount as of June 30, 2014 of 23,071 (including employees under managed services), compared to 21,556 as of June 30, 2013 and 22,800 as of March 31, 2014.</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Reported employee attrition for the quarter ended June 30, 2014 of 34.1%, compared with 26.8% for the quarter ended June 30, 2013 and 28.8% for the quarter ended March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Outlook</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Based on current visibility and an Indian rupee to U.S. dollar exchange rate of 60, EXL is updating its guidance for calendar year 2014. Guidance excludes the impact of the reimbursement of disentanglement costs:</w:t>
      </w:r>
    </w:p>
    <w:p>
      <w:pPr>
        <w:spacing w:after="0" w:line="7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of $490 million to $503 million.</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diluted earnings per share, excluding the impact of stock-based compensation expense, amortization of intangibles and associated tax impacts, of $1.70 to $1.80.</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ExlService Holdings, Inc. will host a conference call on Tuesday, July 29, 2014 at 8:00 a.m. (ET) to discuss the EXL’s quarterly and annual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auto"/>
        </w:rPr>
        <w:t>ir.exlservice.com</w:t>
      </w:r>
      <w:r>
        <w:rPr>
          <w:rFonts w:ascii="Arial" w:cs="Arial" w:eastAsia="Arial" w:hAnsi="Arial"/>
          <w:sz w:val="18"/>
          <w:szCs w:val="18"/>
          <w:color w:val="auto"/>
        </w:rPr>
        <w:t>, where an accompanying investor-friendly spreadsheet of historical operating and financial data can also be accessed. Please go to the website at least fifteen minutes prior to the call to register, download and install any necessary audio software.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listen to the conference call via phone, please dial 1-877-303-6384 or 1-224-357-2191 and an operator will assist you. For those who cannot access the live broadcast, a replay will be available on the EXL website (</w:t>
      </w:r>
      <w:r>
        <w:rPr>
          <w:rFonts w:ascii="Arial" w:cs="Arial" w:eastAsia="Arial" w:hAnsi="Arial"/>
          <w:sz w:val="18"/>
          <w:szCs w:val="18"/>
          <w:u w:val="single" w:color="auto"/>
          <w:color w:val="auto"/>
        </w:rPr>
        <w:t>ir.exlservice.com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12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 xml:space="preserve">ExlService Holdings, Inc. (Nasdaq:EXLS) is a leading provider of outsourcing and transformation services. EXL primarily serves the needs of Global 1000 companies from global delivery centers in the insurance, healthcare, utilities, banking and financial services, transportation and logistics and travel sectors. EXL’s outsourcing services include a full spectrum of business process management services such as transaction processing and finance and accounting services. Transformation services enable continuous improvement of client processes by bringing together EXL’s capabilities in decision analytics, finance transformation and operations and process excellence services. Find additional information about EXL at </w:t>
      </w:r>
      <w:r>
        <w:rPr>
          <w:rFonts w:ascii="Arial" w:cs="Arial" w:eastAsia="Arial" w:hAnsi="Arial"/>
          <w:sz w:val="16"/>
          <w:szCs w:val="16"/>
          <w:u w:val="single" w:color="auto"/>
          <w:color w:val="auto"/>
        </w:rPr>
        <w:t>www.exlservice.com</w:t>
      </w:r>
      <w:r>
        <w:rPr>
          <w:rFonts w:ascii="Arial" w:cs="Arial" w:eastAsia="Arial" w:hAnsi="Arial"/>
          <w:sz w:val="16"/>
          <w:szCs w:val="16"/>
          <w:color w:val="auto"/>
        </w:rPr>
        <w:t>.</w:t>
      </w:r>
    </w:p>
    <w:p>
      <w:pPr>
        <w:spacing w:after="0" w:line="15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This press release contains forward-looking statements. You should not place undue reliance on those statements because they are subject to numerous uncertainties and factors relating to the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are discussed in more detail in EXL’s filings with the Securities and Exchange Commission, including EXL’s Annual Report on Form 10-K for the year ended December 31, 2013.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Three months ended 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241,535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81,259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73,930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156,181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146,843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42,078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85,354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85,171</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16,240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13,753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9,463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9,136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19,695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12,874</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32,382</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29,251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63,770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income/(expense) :</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loss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Interest and other income, net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1,817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12,851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Income tax provision / (benefit)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3,615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3,521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18,998</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Diluted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0.23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0.56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0"/>
              </w:rPr>
              <w:t>Weighted-average number of shares used in computing earnings per share: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Basic</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32,812,155</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32,778,800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32,668,620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32,650,852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33,673,669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33,899,097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33,551,904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33,810,156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160,937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7,556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73,721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4,843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 income tax, net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11,223</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272,862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252,627</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45,978</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8,544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31,147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108,120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23,822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18,897</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494,273</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9,659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employee cost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24,886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29,722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69,619</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14,385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84,981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97,258</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15)</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$0.001 par value; 100,000,000 shares authorized, 33,922,584 shares issued and 32,734,199 shares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as of June 30, 2014 and 33,342,312 shares issued and 32,172,183 shares outstanding as of</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2013</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223,477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214,522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255,889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(45,007)</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434,393</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w w:val="99"/>
              </w:rPr>
              <w:t>Less: 1,188,385 shares as of June 30, 2014 and 11,70,129 shares as of December 31, 2013, held in treasury, at cost</w:t>
            </w: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(25,101)</w:t>
            </w: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(24,642)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409,292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366,174</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494,273</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ind w:left="566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2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addition to its reported operating results in accordance with U.S. generally accepted accounting principles (GAAP), EXL has included in this release adjusted financial measures (adjusted EBITDA, adjusted net income and adjusted diluted earnings per share) that the Securities and Exchange Commission defines as “non-GAAP financial measures.” The adjusted financial measures disclosed by the EXL should not be considered a substitute for, or superior to, financial measures calculated in accordance with GAAP, and the financial results calculated in accordance with GAAP and reconciliations from those financial statements should be carefully evaluated. EXL believes that providing these adjusted measures may help investors better understand EXl’s underlying financial performance. Management also believes that these adjusted financial measures, when read in conjunction with EXL’s reported results, can provide useful supplemental information for investors analyzing period to period comparisons of EXL’s results and comparisons of EXL’s results with the results of other companies. EXL believes that it is unreasonably difficult to provide its financial outlook in accordance with GAAP for a number of reasons including, without limitation, EXL’s inability to predict its future stock-based compensation expense under ASC Topic 718, the amortization of intangibles associated with further acquisitions, and the uncertainty around the reimbursement of disentanglement costs for a disclosed client issue. EXL also incurs significant non-cash charges for depreciation that may not be indicative of EXL’s ability to generate cash flow.</w:t>
      </w:r>
    </w:p>
    <w:p>
      <w:pPr>
        <w:spacing w:after="0" w:line="173"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Additionally, EXL provides certain information on a constant currency basis, which reflects a comparison of current period results translated at the prior period currency rates. This information is provided because EXL believes that it provides useful incremental information to investors regarding EXL’s operating performance.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the reconciliation of these adjusted financial measures from GAAP measures for the quarter ended June 30, 2014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2013, the three months ended March 31, 2014: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vMerge w:val="restart"/>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(GAAP)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119,738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116,008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121,797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add: Reimbursement of disentanglement costs (a)</w:t>
            </w: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5,718</w:t>
            </w: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(Non-GAAP)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9"/>
              </w:rPr>
              <w:t>125,456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116,008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subtract: Cost of revenues (GAAP)</w:t>
            </w:r>
          </w:p>
        </w:tc>
        <w:tc>
          <w:tcPr>
            <w:tcW w:w="1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(81,259)</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(73,930)</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(74,922)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subtract: Operating expenses (GAAP)</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(32,382)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(29,251)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(31,388)</w:t>
            </w:r>
          </w:p>
        </w:tc>
        <w:tc>
          <w:tcPr>
            <w:tcW w:w="0" w:type="dxa"/>
            <w:vAlign w:val="bottom"/>
          </w:tcPr>
          <w:p>
            <w:pPr>
              <w:spacing w:after="0"/>
              <w:rPr>
                <w:sz w:val="1"/>
                <w:szCs w:val="1"/>
                <w:color w:val="auto"/>
              </w:rPr>
            </w:pPr>
          </w:p>
        </w:tc>
      </w:tr>
      <w:tr>
        <w:trPr>
          <w:trHeight w:val="223"/>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 (Non-GAAP)</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11,815</w:t>
            </w:r>
          </w:p>
        </w:tc>
        <w:tc>
          <w:tcPr>
            <w:tcW w:w="5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12,827</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17,958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Stock-based compensation expense (b)</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add: Amortization of acquisition-related intangibles (c)</w:t>
            </w: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(Non-GAAP)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15,271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17,283</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23,670</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Adjusted operating income margin as a % of Revenues (Non-GAAP)</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12.2%</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14.9%</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Depreciation</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5,190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4,766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r>
        <w:trPr>
          <w:trHeight w:val="223"/>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Adjusted EBITDA (Non-GAAP)</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20,461</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22,049</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28,490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EBITDA margin as a % of Revenues (Non-GAAP)</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16.3%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19.0%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22.9%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To exclude reimbursement of disentanglement costs for a disclosed client issue.</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To exclude stock-based compensation expense under ASC Topic 718.</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w:t>
        <w:tab/>
        <w:t>To exclude amortization of acquisition-related intangibles.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Adjusted Net Income and Adjusted Diluted Earnings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62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9,236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11,147</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add: Stock-based compensation expense (a)</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2,860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4,176</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Amortization of acquisition-related intangibles (b)</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w:t>
            </w: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add: reimbursement of disentanglement costs (c)</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5,718</w:t>
            </w:r>
          </w:p>
        </w:tc>
        <w:tc>
          <w:tcPr>
            <w:tcW w:w="10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2,471</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subtract: Tax impact on stock-based compensation expense</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(1,093)</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(1,596)</w:t>
            </w: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subtract: Tax impact on amortization of acquisition-related intangibles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subtract: Tax impact on reimbursement of disentanglement costs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(2,173)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(939)</w:t>
            </w:r>
          </w:p>
        </w:tc>
      </w:tr>
      <w:tr>
        <w:trPr>
          <w:trHeight w:val="223"/>
        </w:trPr>
        <w:tc>
          <w:tcPr>
            <w:tcW w:w="6620" w:type="dxa"/>
            <w:vAlign w:val="bottom"/>
          </w:tcPr>
          <w:p>
            <w:pPr>
              <w:spacing w:after="0"/>
              <w:rPr>
                <w:sz w:val="20"/>
                <w:szCs w:val="20"/>
                <w:color w:val="auto"/>
              </w:rPr>
            </w:pPr>
            <w:r>
              <w:rPr>
                <w:rFonts w:ascii="Arial" w:cs="Arial" w:eastAsia="Arial" w:hAnsi="Arial"/>
                <w:sz w:val="18"/>
                <w:szCs w:val="18"/>
                <w:b w:val="1"/>
                <w:bCs w:val="1"/>
                <w:color w:val="auto"/>
              </w:rPr>
              <w:t>Adjusted net income (Non-GAAP)</w:t>
            </w:r>
          </w:p>
        </w:tc>
        <w:tc>
          <w:tcPr>
            <w:tcW w:w="1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13,842</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12,416</w:t>
            </w: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16,625</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diluted earnings per share (Non-GAAP)</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0.41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0.37</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0.50</w:t>
            </w: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To exclude stock-based compensation expense under ASC Topic 718.</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To exclude amortization of acquisition-related intangibles.</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w:t>
        <w:tab/>
        <w:t>To exclude reimbursement of disentanglement costs for a disclosed client issue.</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212"/>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2019-12-07T07:44:24Z</dcterms:created>
  <dcterms:modified xsi:type="dcterms:W3CDTF">2019-12-07T07:44:24Z</dcterms:modified>
</cp:coreProperties>
</file>