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0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COMMISSION</w:t>
            </w: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Washington, D.C. 20549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-758825</wp:posOffset>
            </wp:positionV>
            <wp:extent cx="1340485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Williamson Sarah K</w:t>
              </w:r>
            </w:hyperlink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 w:right="2940" w:hanging="5"/>
        <w:spacing w:after="0" w:line="395" w:lineRule="auto"/>
        <w:tabs>
          <w:tab w:leader="none" w:pos="481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8"/>
          <w:szCs w:val="18"/>
          <w:color w:val="0000FF"/>
        </w:rPr>
        <w:t>PARK AVENUE 29TH FLOOR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27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  <w:vertAlign w:val="superscript"/>
        </w:rPr>
        <w:t>NEW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10022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YORK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EXLS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17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19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6"/>
        </w:trPr>
        <w:tc>
          <w:tcPr>
            <w:tcW w:w="17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0"/>
        </w:trPr>
        <w:tc>
          <w:tcPr>
            <w:tcW w:w="17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6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4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6. Individual or Joint/Group Filing</w:t>
            </w:r>
          </w:p>
        </w:tc>
      </w:tr>
      <w:tr>
        <w:trPr>
          <w:trHeight w:val="19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</w:tr>
      <w:tr>
        <w:trPr>
          <w:trHeight w:val="19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</w:tr>
      <w:tr>
        <w:trPr>
          <w:trHeight w:val="19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40" w:space="26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  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00" w:type="dxa"/>
            <w:vAlign w:val="bottom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1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Mr. Oseni is the Company's Head of Administration and Accounts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Lazbart Oseni,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06/22/2023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Attorney-in-Fact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"/>
      <w:numFmt w:val="decimal"/>
      <w:start w:val="320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38671" TargetMode="External"/><Relationship Id="rId11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2023-06-22T16:55:27Z</dcterms:created>
  <dcterms:modified xsi:type="dcterms:W3CDTF">2023-06-22T16:55:27Z</dcterms:modified>
</cp:coreProperties>
</file>