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3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7" w:lineRule="exact"/>
        <w:rPr>
          <w:sz w:val="24"/>
          <w:szCs w:val="24"/>
          <w:color w:val="auto"/>
        </w:rPr>
      </w:pPr>
    </w:p>
    <w:p>
      <w:pPr>
        <w:ind w:left="300" w:hanging="277"/>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 w:lineRule="exact"/>
        <w:rPr>
          <w:sz w:val="24"/>
          <w:szCs w:val="24"/>
          <w:color w:val="auto"/>
        </w:rPr>
      </w:pPr>
    </w:p>
    <w:p>
      <w:pPr>
        <w:ind w:left="300" w:hanging="277"/>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7" w:lineRule="exact"/>
        <w:rPr>
          <w:sz w:val="24"/>
          <w:szCs w:val="24"/>
          <w:color w:val="auto"/>
        </w:rPr>
      </w:pPr>
    </w:p>
    <w:p>
      <w:pPr>
        <w:ind w:left="320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3912870</wp:posOffset>
            </wp:positionH>
            <wp:positionV relativeFrom="paragraph">
              <wp:posOffset>-5715</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jc w:val="center"/>
        <w:ind w:right="-79"/>
        <w:spacing w:after="0" w:line="232"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w:t>
      </w:r>
    </w:p>
    <w:p>
      <w:pPr>
        <w:spacing w:after="0" w:line="91" w:lineRule="exact"/>
        <w:rPr>
          <w:sz w:val="24"/>
          <w:szCs w:val="24"/>
          <w:color w:val="auto"/>
        </w:rPr>
      </w:pPr>
    </w:p>
    <w:tbl>
      <w:tblPr>
        <w:tblLayout w:type="fixed"/>
        <w:tblInd w:w="330"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jc w:val="center"/>
              <w:ind w:right="46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3"/>
          </w:tcPr>
          <w:p>
            <w:pPr>
              <w:jc w:val="right"/>
              <w:ind w:right="2004"/>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2500" w:type="dxa"/>
            <w:vAlign w:val="bottom"/>
            <w:gridSpan w:val="2"/>
          </w:tcPr>
          <w:p>
            <w:pPr>
              <w:jc w:val="center"/>
              <w:ind w:left="566"/>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20" w:type="dxa"/>
            <w:vAlign w:val="bottom"/>
            <w:gridSpan w:val="4"/>
          </w:tcPr>
          <w:p>
            <w:pPr>
              <w:jc w:val="center"/>
              <w:ind w:right="25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85"/>
        </w:trPr>
        <w:tc>
          <w:tcPr>
            <w:tcW w:w="1340" w:type="dxa"/>
            <w:vAlign w:val="bottom"/>
          </w:tcPr>
          <w:p>
            <w:pPr>
              <w:spacing w:after="0"/>
              <w:rPr>
                <w:sz w:val="16"/>
                <w:szCs w:val="16"/>
                <w:color w:val="auto"/>
              </w:rPr>
            </w:pPr>
          </w:p>
        </w:tc>
        <w:tc>
          <w:tcPr>
            <w:tcW w:w="2500" w:type="dxa"/>
            <w:vAlign w:val="bottom"/>
            <w:gridSpan w:val="2"/>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4"/>
          </w:tcPr>
          <w:p>
            <w:pPr>
              <w:jc w:val="center"/>
              <w:ind w:right="252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w w:val="93"/>
              </w:rPr>
              <w:t>320 Park Avenue, 29</w:t>
            </w:r>
            <w:r>
              <w:rPr>
                <w:rFonts w:ascii="Times New Roman" w:cs="Times New Roman" w:eastAsia="Times New Roman" w:hAnsi="Times New Roman"/>
                <w:sz w:val="20"/>
                <w:szCs w:val="20"/>
                <w:b w:val="1"/>
                <w:bCs w:val="1"/>
                <w:color w:val="auto"/>
                <w:w w:val="93"/>
                <w:vertAlign w:val="superscript"/>
              </w:rPr>
              <w:t>th</w:t>
            </w:r>
            <w:r>
              <w:rPr>
                <w:rFonts w:ascii="Times New Roman" w:cs="Times New Roman" w:eastAsia="Times New Roman" w:hAnsi="Times New Roman"/>
                <w:sz w:val="16"/>
                <w:szCs w:val="16"/>
                <w:b w:val="1"/>
                <w:bCs w:val="1"/>
                <w:color w:val="auto"/>
                <w:w w:val="93"/>
              </w:rPr>
              <w:t xml:space="preserve"> Floor,</w:t>
            </w: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250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w w:val="94"/>
              </w:rPr>
              <w:t>New York, New York</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3"/>
          </w:tcPr>
          <w:p>
            <w:pPr>
              <w:jc w:val="right"/>
              <w:ind w:right="2184"/>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rPr>
                <w:sz w:val="16"/>
                <w:szCs w:val="16"/>
                <w:color w:val="auto"/>
              </w:rPr>
            </w:pPr>
          </w:p>
        </w:tc>
        <w:tc>
          <w:tcPr>
            <w:tcW w:w="5660" w:type="dxa"/>
            <w:vAlign w:val="bottom"/>
            <w:gridSpan w:val="6"/>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 w:type="dxa"/>
            <w:vAlign w:val="bottom"/>
          </w:tcPr>
          <w:p>
            <w:pPr>
              <w:spacing w:after="0"/>
              <w:rPr>
                <w:sz w:val="16"/>
                <w:szCs w:val="16"/>
                <w:color w:val="auto"/>
              </w:rPr>
            </w:pPr>
          </w:p>
        </w:tc>
        <w:tc>
          <w:tcPr>
            <w:tcW w:w="340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597"/>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(212) 277-7100</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00" w:type="dxa"/>
            <w:vAlign w:val="bottom"/>
            <w:gridSpan w:val="5"/>
          </w:tcPr>
          <w:p>
            <w:pPr>
              <w:jc w:val="center"/>
              <w:ind w:left="102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2"/>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gridSpan w:val="7"/>
          </w:tcPr>
          <w:p>
            <w:pPr>
              <w:jc w:val="center"/>
              <w:ind w:left="403"/>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23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840" w:type="dxa"/>
            <w:vAlign w:val="bottom"/>
            <w:tcBorders>
              <w:left w:val="single" w:sz="8" w:color="auto"/>
              <w:right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820" w:type="dxa"/>
            <w:vAlign w:val="bottom"/>
            <w:tcBorders>
              <w:right w:val="single" w:sz="8" w:color="auto"/>
            </w:tcBorders>
            <w:gridSpan w:val="3"/>
          </w:tcPr>
          <w:p>
            <w:pPr>
              <w:jc w:val="center"/>
              <w:ind w:right="4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340" w:type="dxa"/>
            <w:vAlign w:val="bottom"/>
          </w:tcPr>
          <w:p>
            <w:pPr>
              <w:spacing w:after="0"/>
              <w:rPr>
                <w:sz w:val="14"/>
                <w:szCs w:val="14"/>
                <w:color w:val="auto"/>
              </w:rPr>
            </w:pPr>
          </w:p>
        </w:tc>
        <w:tc>
          <w:tcPr>
            <w:tcW w:w="3620" w:type="dxa"/>
            <w:vAlign w:val="bottom"/>
            <w:tcBorders>
              <w:right w:val="single" w:sz="8" w:color="auto"/>
            </w:tcBorders>
            <w:gridSpan w:val="4"/>
          </w:tcPr>
          <w:p>
            <w:pPr>
              <w:jc w:val="center"/>
              <w:ind w:right="380"/>
              <w:spacing w:after="0" w:line="138"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7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7"/>
              </w:rPr>
              <w:t>EXLS</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6"/>
                <w:szCs w:val="16"/>
                <w:color w:val="auto"/>
                <w:w w:val="98"/>
              </w:rPr>
              <w:t>NASDAQ</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140" w:type="dxa"/>
            <w:vAlign w:val="bottom"/>
            <w:gridSpan w:val="7"/>
          </w:tcPr>
          <w:p>
            <w:pPr>
              <w:jc w:val="center"/>
              <w:ind w:left="383"/>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12(g) of the Act:</w:t>
            </w: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38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None</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640" w:type="dxa"/>
            <w:vAlign w:val="bottom"/>
            <w:gridSpan w:val="2"/>
            <w:vMerge w:val="restart"/>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2980" w:type="dxa"/>
            <w:vAlign w:val="bottom"/>
            <w:gridSpan w:val="2"/>
            <w:vMerge w:val="restart"/>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0"/>
        </w:trPr>
        <w:tc>
          <w:tcPr>
            <w:tcW w:w="7000" w:type="dxa"/>
            <w:vAlign w:val="bottom"/>
            <w:gridSpan w:val="7"/>
          </w:tcPr>
          <w:p>
            <w:pPr>
              <w:spacing w:after="0"/>
              <w:rPr>
                <w:sz w:val="20"/>
                <w:szCs w:val="20"/>
                <w:color w:val="auto"/>
              </w:rPr>
            </w:pPr>
            <w:r>
              <w:rPr>
                <w:rFonts w:ascii="Times New Roman" w:cs="Times New Roman" w:eastAsia="Times New Roman" w:hAnsi="Times New Roman"/>
                <w:sz w:val="15"/>
                <w:szCs w:val="15"/>
                <w:color w:val="auto"/>
                <w:w w:val="99"/>
              </w:rPr>
              <w:t>Indicate by check mark if the registrant is a well-known seasoned issuer, as defined in Rule 405 of the Securities Act.</w:t>
            </w:r>
          </w:p>
        </w:tc>
        <w:tc>
          <w:tcPr>
            <w:tcW w:w="640" w:type="dxa"/>
            <w:vAlign w:val="bottom"/>
            <w:gridSpan w:val="2"/>
            <w:vMerge w:val="continue"/>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40" w:type="dxa"/>
            <w:vAlign w:val="bottom"/>
            <w:gridSpan w:val="9"/>
          </w:tcPr>
          <w:p>
            <w:pPr>
              <w:spacing w:after="0" w:line="173" w:lineRule="exact"/>
              <w:rPr>
                <w:sz w:val="20"/>
                <w:szCs w:val="20"/>
                <w:color w:val="auto"/>
              </w:rPr>
            </w:pPr>
            <w:r>
              <w:rPr>
                <w:rFonts w:ascii="Times New Roman" w:cs="Times New Roman" w:eastAsia="Times New Roman" w:hAnsi="Times New Roman"/>
                <w:sz w:val="15"/>
                <w:szCs w:val="15"/>
                <w:color w:val="auto"/>
                <w:w w:val="99"/>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w w:val="99"/>
              </w:rPr>
              <w:t>☐</w:t>
            </w:r>
          </w:p>
        </w:tc>
        <w:tc>
          <w:tcPr>
            <w:tcW w:w="298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360" w:firstLine="31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00" w:firstLine="315"/>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200" w:type="dxa"/>
            <w:vAlign w:val="bottom"/>
          </w:tcPr>
          <w:p>
            <w:pPr>
              <w:ind w:left="54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200" w:type="dxa"/>
            <w:vAlign w:val="bottom"/>
          </w:tcPr>
          <w:p>
            <w:pPr>
              <w:ind w:left="54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0" w:type="dxa"/>
            <w:vAlign w:val="bottom"/>
          </w:tcPr>
          <w:p>
            <w:pPr>
              <w:ind w:left="54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59" w:lineRule="exact"/>
        <w:rPr>
          <w:sz w:val="24"/>
          <w:szCs w:val="24"/>
          <w:color w:val="auto"/>
        </w:rPr>
      </w:pPr>
    </w:p>
    <w:p>
      <w:pPr>
        <w:ind w:right="520" w:firstLine="315"/>
        <w:spacing w:after="0" w:line="19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57" w:lineRule="exact"/>
        <w:rPr>
          <w:sz w:val="24"/>
          <w:szCs w:val="24"/>
          <w:color w:val="auto"/>
        </w:rPr>
      </w:pPr>
    </w:p>
    <w:p>
      <w:pPr>
        <w:ind w:right="140" w:firstLine="31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57" w:lineRule="exact"/>
        <w:rPr>
          <w:sz w:val="24"/>
          <w:szCs w:val="24"/>
          <w:color w:val="auto"/>
        </w:rPr>
      </w:pPr>
    </w:p>
    <w:p>
      <w:pPr>
        <w:ind w:right="20" w:firstLine="315"/>
        <w:spacing w:after="0" w:line="187"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46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firstLine="315"/>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97" w:lineRule="exact"/>
        <w:rPr>
          <w:sz w:val="20"/>
          <w:szCs w:val="20"/>
          <w:color w:val="auto"/>
        </w:rPr>
      </w:pPr>
    </w:p>
    <w:p>
      <w:pPr>
        <w:ind w:left="320"/>
        <w:spacing w:after="0" w:line="173" w:lineRule="exact"/>
        <w:tabs>
          <w:tab w:leader="none" w:pos="7200" w:val="left"/>
          <w:tab w:leader="none" w:pos="77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June 30, 2023, the aggregate market value of common stock held by non-affiliates was approximately $4,872,965,018.</w:t>
      </w: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February 27, 2024, there were 165,783,820 shares of the registrant’s common stock outstanding, par value $0.001 per share.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4"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5"/>
          <w:szCs w:val="15"/>
          <w:color w:val="auto"/>
        </w:rPr>
        <w:t>Part III incorporates information from certain portions of the registrant’s definitive proxy statement to be filed with the Securities and Exchange Commission within 120 days after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220980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20" w:type="dxa"/>
            <w:vAlign w:val="bottom"/>
            <w:gridSpan w:val="12"/>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vMerge w:val="restart"/>
          </w:tcPr>
          <w:p>
            <w:pPr>
              <w:spacing w:after="0"/>
              <w:rPr>
                <w:sz w:val="2"/>
                <w:szCs w:val="2"/>
                <w:color w:val="auto"/>
              </w:rPr>
            </w:pPr>
          </w:p>
        </w:tc>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1A.</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6540" w:type="dxa"/>
            <w:vAlign w:val="bottom"/>
            <w:gridSpan w:val="13"/>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1C.</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Cybersecurity</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FF"/>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tcBorders>
              <w:top w:val="single" w:sz="8" w:color="0000FF"/>
            </w:tcBorders>
            <w:gridSpan w:val="3"/>
          </w:tcPr>
          <w:p>
            <w:pPr>
              <w:spacing w:after="0"/>
              <w:rPr>
                <w:sz w:val="17"/>
                <w:szCs w:val="17"/>
                <w:color w:val="auto"/>
              </w:rPr>
            </w:pPr>
          </w:p>
        </w:tc>
        <w:tc>
          <w:tcPr>
            <w:tcW w:w="7560" w:type="dxa"/>
            <w:vAlign w:val="bottom"/>
            <w:gridSpan w:val="18"/>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3.</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0000FF"/>
                <w:w w:val="91"/>
              </w:rPr>
              <w:t>PART II.</w:t>
            </w:r>
          </w:p>
        </w:tc>
        <w:tc>
          <w:tcPr>
            <w:tcW w:w="1320" w:type="dxa"/>
            <w:vAlign w:val="bottom"/>
            <w:gridSpan w:val="4"/>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5.</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6"/>
              </w:rPr>
              <w:t>[Reserved]</w:t>
            </w:r>
          </w:p>
        </w:tc>
        <w:tc>
          <w:tcPr>
            <w:tcW w:w="7080" w:type="dxa"/>
            <w:vAlign w:val="bottom"/>
            <w:tcBorders>
              <w:top w:val="single" w:sz="8" w:color="0000FF"/>
            </w:tcBorders>
            <w:gridSpan w:val="19"/>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FF"/>
            </w:tcBorders>
            <w:gridSpan w:val="20"/>
          </w:tcPr>
          <w:p>
            <w:pPr>
              <w:spacing w:after="0" w:line="203"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240" w:type="dxa"/>
            <w:vAlign w:val="bottom"/>
            <w:gridSpan w:val="3"/>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7A.</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8.</w:t>
            </w:r>
          </w:p>
        </w:tc>
        <w:tc>
          <w:tcPr>
            <w:tcW w:w="4240" w:type="dxa"/>
            <w:vAlign w:val="bottom"/>
            <w:tcBorders>
              <w:top w:val="single" w:sz="8" w:color="0000FF"/>
            </w:tcBorders>
            <w:gridSpan w:val="16"/>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00" w:type="dxa"/>
            <w:vAlign w:val="bottom"/>
            <w:gridSpan w:val="7"/>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Changes in and Disagreement with Accountants on Accounting and Financial Disclosure</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9A.</w:t>
            </w:r>
          </w:p>
        </w:tc>
        <w:tc>
          <w:tcPr>
            <w:tcW w:w="6240" w:type="dxa"/>
            <w:vAlign w:val="bottom"/>
            <w:tcBorders>
              <w:top w:val="single" w:sz="8" w:color="0000FF"/>
            </w:tcBorders>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2300" w:type="dxa"/>
            <w:vAlign w:val="bottom"/>
            <w:gridSpan w:val="4"/>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6820" w:type="dxa"/>
            <w:vAlign w:val="bottom"/>
            <w:gridSpan w:val="15"/>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9C.</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FF"/>
            </w:tcBorders>
            <w:gridSpan w:val="15"/>
          </w:tcPr>
          <w:p>
            <w:pPr>
              <w:spacing w:after="0" w:line="203"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4540" w:type="dxa"/>
            <w:vAlign w:val="bottom"/>
            <w:gridSpan w:val="8"/>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11.</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Executive Compensation</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12.</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top w:val="single" w:sz="8" w:color="0000FF"/>
              <w:bottom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80" w:type="dxa"/>
            <w:vAlign w:val="bottom"/>
            <w:tcBorders>
              <w:top w:val="single" w:sz="8" w:color="0000FF"/>
            </w:tcBorders>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0000FF"/>
                <w:w w:val="89"/>
              </w:rPr>
              <w:t>PART IV.</w:t>
            </w:r>
          </w:p>
        </w:tc>
        <w:tc>
          <w:tcPr>
            <w:tcW w:w="1260" w:type="dxa"/>
            <w:vAlign w:val="bottom"/>
            <w:gridSpan w:val="3"/>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15.</w:t>
            </w:r>
          </w:p>
        </w:tc>
        <w:tc>
          <w:tcPr>
            <w:tcW w:w="854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00" w:type="dxa"/>
            <w:vAlign w:val="bottom"/>
            <w:gridSpan w:val="6"/>
          </w:tcPr>
          <w:p>
            <w:pPr>
              <w:ind w:left="420"/>
              <w:spacing w:after="0" w:line="203"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Form 10-K Summary</w:t>
            </w:r>
          </w:p>
        </w:tc>
        <w:tc>
          <w:tcPr>
            <w:tcW w:w="5460" w:type="dxa"/>
            <w:vAlign w:val="bottom"/>
            <w:gridSpan w:val="10"/>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Pr>
          <w:p>
            <w:pPr>
              <w:spacing w:after="0"/>
              <w:rPr>
                <w:sz w:val="22"/>
                <w:szCs w:val="22"/>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Pr>
          <w:p>
            <w:pPr>
              <w:spacing w:after="0"/>
              <w:rPr>
                <w:sz w:val="22"/>
                <w:szCs w:val="22"/>
                <w:color w:val="auto"/>
              </w:rPr>
            </w:pPr>
          </w:p>
        </w:tc>
        <w:tc>
          <w:tcPr>
            <w:tcW w:w="10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661DE8"/>
              </w:rPr>
              <w:t>F-1</w:t>
            </w:r>
          </w:p>
        </w:tc>
        <w:tc>
          <w:tcPr>
            <w:tcW w:w="0" w:type="dxa"/>
            <w:vAlign w:val="bottom"/>
          </w:tcPr>
          <w:p>
            <w:pPr>
              <w:spacing w:after="0"/>
              <w:rPr>
                <w:sz w:val="1"/>
                <w:szCs w:val="1"/>
                <w:color w:val="auto"/>
              </w:rPr>
            </w:pPr>
          </w:p>
        </w:tc>
      </w:tr>
      <w:tr>
        <w:trPr>
          <w:trHeight w:val="919"/>
        </w:trPr>
        <w:tc>
          <w:tcPr>
            <w:tcW w:w="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top w:val="single" w:sz="8" w:color="661DE8"/>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63"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ExlService Holdings, Inc. (“EXL,” “we,” “us,” “our” or the “Company”), incorporated in Delaware in 2002, is a leading data analytics and digital operations and solutions company. We partner with clients using a data and AI-led approach to reinvent business models, drive better business outcomes and unlock growth with speed. EXL harnesses the power of data, analytics, artificial intelligence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approximately 54,000 employees spanning six continents.</w:t>
      </w:r>
    </w:p>
    <w:p>
      <w:pPr>
        <w:spacing w:after="0" w:line="123"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We deliver data analytics and digital operations and solutions to our clients, driving enterprise-scale business transformation initiatives that leverage our deep expertise in advanced analytics, AI, generative AI and cloud technology. Data, AI, analytics and digital have become core to virtually every significant move a business makes to serve customers, optimize business processes, stay competitive and grow. Our vision of being an indispensable partner for data and AI-led businesses reflects the long-term priorities of our clients' businesses across industry sectors, and we continue to evolve our offerings to drive business outcomes through advanced analytics and AI-powered solutions on the cloud. Our data and AI-led value creation framework enables better and faster decision making, leveraging our end-to-end data, analytics, AI capabilities and deep industry knowledge to drive improved business outcomes, and re-designing of operating models to integrate advanced technology into operational workflows. We embed digital operations and solutions into clients’ businesses and introduce our data and AI-led approach to transform operations with every new engagement, which helps our clients achieve better customer experience, higher productivity, cost efficiency and improved business outcomes.</w:t>
      </w:r>
    </w:p>
    <w:p>
      <w:pPr>
        <w:spacing w:after="0" w:line="226" w:lineRule="exact"/>
        <w:rPr>
          <w:sz w:val="20"/>
          <w:szCs w:val="20"/>
          <w:color w:val="auto"/>
        </w:rPr>
      </w:pPr>
    </w:p>
    <w:p>
      <w:pPr>
        <w:jc w:val="both"/>
        <w:ind w:firstLine="631"/>
        <w:spacing w:after="0" w:line="248" w:lineRule="auto"/>
        <w:rPr>
          <w:sz w:val="20"/>
          <w:szCs w:val="20"/>
          <w:color w:val="auto"/>
        </w:rPr>
      </w:pPr>
      <w:r>
        <w:rPr>
          <w:rFonts w:ascii="Times New Roman" w:cs="Times New Roman" w:eastAsia="Times New Roman" w:hAnsi="Times New Roman"/>
          <w:sz w:val="18"/>
          <w:szCs w:val="18"/>
          <w:color w:val="auto"/>
        </w:rPr>
        <w:t>We manage and report financial information through our four reportable segments or strategic business units: Insurance, Healthcare, Analytics and Emerging Business, which reflects how management reviews financial information and makes operating decisions. Our strategic business units align our products and services with how we manage our business, approach our key markets and interact with our clients. These business units develop client-specific solutions, build capabilities, maintain a unified go-to-market approach and are integrally responsible for service delivery, customer satisfaction, growth and profitability. By integrating data and analytics directly into our client workflows, we drive more intelligence into our clients’ increasingly digital operations that drive superior customer outcomes, optimize costs and power resilient and agile business models.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Operations and Solutions</w:t>
      </w:r>
    </w:p>
    <w:p>
      <w:pPr>
        <w:spacing w:after="0" w:line="150" w:lineRule="exact"/>
        <w:rPr>
          <w:sz w:val="20"/>
          <w:szCs w:val="20"/>
          <w:color w:val="auto"/>
        </w:rPr>
      </w:pPr>
    </w:p>
    <w:p>
      <w:pPr>
        <w:jc w:val="both"/>
        <w:ind w:firstLine="385"/>
        <w:spacing w:after="0"/>
        <w:rPr>
          <w:sz w:val="20"/>
          <w:szCs w:val="20"/>
          <w:color w:val="auto"/>
        </w:rPr>
      </w:pPr>
      <w:r>
        <w:rPr>
          <w:rFonts w:ascii="Times New Roman" w:cs="Times New Roman" w:eastAsia="Times New Roman" w:hAnsi="Times New Roman"/>
          <w:sz w:val="18"/>
          <w:szCs w:val="18"/>
          <w:color w:val="auto"/>
        </w:rPr>
        <w:t>Our digital operations and solutions, which we deploy for our clients from our Insurance, Healthcare and Emerging Business strategic business units, are focused on solving complex industry challenges. We use a focused industry vertical approach, and our solutions are designed to help our clients realize their business and innovation goals and improve their strategic competitive position.</w:t>
      </w:r>
    </w:p>
    <w:p>
      <w:pPr>
        <w:spacing w:after="0" w:line="22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Some of our data and AI-led digital operations and solutions include: a) multi-modal data ingestion using AI, and converting unstructured content into curated and usable data, b) real-time and comprehensive data insights, including end-to-end data management and building a 360-degree view of our clients’ customers, c) omni-channel and frictionless customer experience including self-service, conversational AI and smart agent assist, d) intelligent and AI-powered redesign and automation of transaction processing and e) automated quality, compliance and audit. Some of our clients’ operations that we have transformed using the above solutions include underwriting operations, claims processing, accounts payables processing, utilization management, member and provider contact center services and collections and accounts receivables. We either manage and digitally transform these operations for our clients by deploying our solutions through a software-as-a-service (“SaaS”) model via our partners’ cloud network or a client’s on-cloud deployment model, to digitally transform their retained operations.</w:t>
      </w:r>
    </w:p>
    <w:p>
      <w:pPr>
        <w:spacing w:after="0" w:line="202" w:lineRule="exact"/>
        <w:rPr>
          <w:sz w:val="20"/>
          <w:szCs w:val="20"/>
          <w:color w:val="auto"/>
        </w:rPr>
      </w:pPr>
    </w:p>
    <w:p>
      <w:pPr>
        <w:jc w:val="both"/>
        <w:ind w:firstLine="385"/>
        <w:spacing w:after="0"/>
        <w:rPr>
          <w:sz w:val="20"/>
          <w:szCs w:val="20"/>
          <w:color w:val="auto"/>
        </w:rPr>
      </w:pPr>
      <w:r>
        <w:rPr>
          <w:rFonts w:ascii="Times New Roman" w:cs="Times New Roman" w:eastAsia="Times New Roman" w:hAnsi="Times New Roman"/>
          <w:sz w:val="18"/>
          <w:szCs w:val="18"/>
          <w:color w:val="auto"/>
        </w:rPr>
        <w:t>The key digital and AI capabilities that allow us to drive data and technology-led transformation for our clients include generative AI, reinforcement learning, hyper-automation, cloud data management, conversational AI, robotics, enterprise architecture development, integration platform as a service and AI for Operations. Some of our key solutions are:</w:t>
      </w:r>
    </w:p>
    <w:p>
      <w:pPr>
        <w:spacing w:after="0" w:line="1" w:lineRule="exact"/>
        <w:rPr>
          <w:sz w:val="20"/>
          <w:szCs w:val="20"/>
          <w:color w:val="auto"/>
        </w:rPr>
      </w:pPr>
    </w:p>
    <w:p>
      <w:pPr>
        <w:ind w:left="640" w:hanging="319"/>
        <w:spacing w:after="0" w:line="243"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platform for the development and deployment of our proprietary solutions, including, among others, Smart Agent Assist, Claims Assist, Conversational Business Intelligence and Code Harbor.</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Xtrakto.AI is a patented and AI-powered solution designed to alleviate the challenges of managing unstructured data.</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PayMentor is an AI-powered collections and receivables management solution designed to enhance the debt collection process.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ind w:left="640" w:hanging="319"/>
        <w:spacing w:after="0" w:line="24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Finance Suite automates and streamlines financial processes and key finance and accounting tasks, which helps customers gain real-time visibility into financial operations leading to faster decision making and reduced risks, among others.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Data and AI-led Customer Experience: Delivers AI-infused customer experiences across multiple customer journeys and touchpoints.</w:t>
      </w:r>
    </w:p>
    <w:p>
      <w:pPr>
        <w:spacing w:after="0" w:line="2" w:lineRule="exact"/>
        <w:rPr>
          <w:rFonts w:ascii="Arial" w:cs="Arial" w:eastAsia="Arial" w:hAnsi="Arial"/>
          <w:sz w:val="18"/>
          <w:szCs w:val="18"/>
          <w:color w:val="auto"/>
        </w:rPr>
      </w:pPr>
    </w:p>
    <w:p>
      <w:pPr>
        <w:ind w:left="640" w:hanging="319"/>
        <w:spacing w:after="0" w:line="23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Lending and Embedded Financing: AI-powered financing solution that reimagines and delivers a seamless and end-to-end origination, service and payments journeys for multiple credit and loan products across industries.</w:t>
      </w:r>
    </w:p>
    <w:p>
      <w:pPr>
        <w:ind w:left="640" w:hanging="319"/>
        <w:spacing w:after="0" w:line="234" w:lineRule="auto"/>
        <w:tabs>
          <w:tab w:leader="none" w:pos="636"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Data and AI-led Automation Solution eliminates friction and fragmentation in transaction processing using some of our proprietary workflow solutions.</w:t>
      </w:r>
    </w:p>
    <w:p>
      <w:pPr>
        <w:spacing w:after="0" w:line="20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We use AI, data, and cloud technology, including our suite of solutions and accelerators, in a standardized, reusable and shared engineering and delivery infrastructure, enabling us to leverage our investments across multiple clients.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strategic business units, through which we provide digital operations and solutions, are described below:</w:t>
      </w:r>
    </w:p>
    <w:p>
      <w:pPr>
        <w:spacing w:after="0" w:line="159"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strategic business unit serves property and casualty insurance, life insurance, disability insurance, insurance brokers, reinsurers, annuity and retirement services and insurtech companies. We provide end-to-end digital transformation solutions and data and AI-led operations services across the insurance industry in areas such as claims processing, premium and benefit administration, agency management, account reconciliation, policy research, underwriting support, new business acquisition, policy servicing, premium audit, surveys, billing and collection, commercial and residential survey and customer service using digital technology, AI, including generative AI, ML and advanced automation. We provide end-to-end third-party administration for life and annuity insurance policies, which includes digital customer acquisition services using a SaaS delivery model through our LifePRO® and Life Digital Suite platforms that help clients administer life insurance, annuities and credit life and disability insurance policies. We also provide subrogation services to property and casualty insurers using a business process-as-a-service delivery model and our proprietary Subrosource® software platform, the largest commercial end-to-end subrogation platform. Subrosource® integrates with client systems, manages recovery workflow, increases recoveries and reduces costs. We provide a suite of data and AI-led finance and accounting services that include financial planning and analysis, decision support, GAAP and statutory reporting and compliance services in addition to core finance operations. We bring a data and AI-led and practical digital approach to finance and accounting, enabling our clients to simplify and scale their finance and accounting processes, drive stakeholder centricity, improve controls and compliance, reduce operating costs and deliver rich data and AI-led insights to our clients’ businesses.</w:t>
      </w:r>
    </w:p>
    <w:p>
      <w:pPr>
        <w:spacing w:after="0" w:line="134" w:lineRule="exact"/>
        <w:rPr>
          <w:sz w:val="20"/>
          <w:szCs w:val="20"/>
          <w:color w:val="auto"/>
        </w:rPr>
      </w:pPr>
    </w:p>
    <w:p>
      <w:pPr>
        <w:jc w:val="both"/>
        <w:ind w:firstLine="394"/>
        <w:spacing w:after="0" w:line="25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Healthcare</w:t>
      </w:r>
      <w:r>
        <w:rPr>
          <w:rFonts w:ascii="Times New Roman" w:cs="Times New Roman" w:eastAsia="Times New Roman" w:hAnsi="Times New Roman"/>
          <w:sz w:val="18"/>
          <w:szCs w:val="18"/>
          <w:color w:val="auto"/>
        </w:rPr>
        <w:t xml:space="preserve"> strategic business unit primarily serves U.S.-based healthcare payers, providers and pharmacy benefit managers organizations. We combine deep healthcare domain expertise with data and AI-led insights and technology-enabled services to transform how care is delivered, managed and paid. We provide services related to care management, utilization management, disease management, payment integrity, revenue optimization and customer engagement directly addressing the market need for improved healthcare outcomes, patient and provider experience and access to the healthcare system in the healthcare market and optimized healthcare spend.</w:t>
      </w:r>
    </w:p>
    <w:p>
      <w:pPr>
        <w:spacing w:after="0" w:line="21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offer digital operations, SaaS and platform services designed to serve the healthcare industry. Our integrated care management offering, including our proprietary clinical data, connects payers, providers and members to increase efficiencies and effectiveness across all aspects of care management, including medical, pharmacy and behavioral health. Our data and AI-led digital operations and solutions infuse advanced analytics, AI, generative AI, cloud, ML and robotics capabilities to improve efficiency, business outcomes and the consumer experience in healthcare across patient/member management, contracting and network management, health and care management, claims administration and business operations.</w:t>
      </w:r>
    </w:p>
    <w:p>
      <w:pPr>
        <w:spacing w:after="0" w:line="21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Similar to our Insurance strategic business unit, we also provide finance and accounting services, digital transformation and advisory/consulting services for our clients in the healthcare industry.</w:t>
      </w:r>
    </w:p>
    <w:p>
      <w:pPr>
        <w:spacing w:after="0" w:line="11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Emerging Business</w:t>
      </w:r>
      <w:r>
        <w:rPr>
          <w:rFonts w:ascii="Times New Roman" w:cs="Times New Roman" w:eastAsia="Times New Roman" w:hAnsi="Times New Roman"/>
          <w:sz w:val="18"/>
          <w:szCs w:val="18"/>
          <w:color w:val="auto"/>
        </w:rPr>
        <w:t xml:space="preserve"> strategic business unit provides data and AI-led enterprise solutions in the areas of finance and accounting, customer experience management and revenue enhancement to clients primarily in the banking and capital markets, utilities, retail and consumer packaged goods, technology, media, and telecom, travel and leisure, manufacturing, transportation and logistics and business services industries. These enterprise solutions complement our domain-specific industry solutions enabling our clients to deliver superior performance.</w:t>
      </w:r>
    </w:p>
    <w:p>
      <w:pPr>
        <w:spacing w:after="0" w:line="13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data and AI-led finance and accounting services include high-end analytical services, including financial planning and analysis, management reporting, advanced forecasting and decision support, data management, regulatory reporting and risk and compliance services in addition to core transactional finance operations. Our Digital Finance Suite, which 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powered by our integrated cloud-based hyper-automation and insights platform, helps chief financial officers transform finance into a digitally enabled, scalable data and AI-led function with lower cost to serve, superior business outcomes and improved stakeholder experience.</w:t>
      </w:r>
    </w:p>
    <w:p>
      <w:pPr>
        <w:spacing w:after="0" w:line="192" w:lineRule="exact"/>
        <w:rPr>
          <w:sz w:val="20"/>
          <w:szCs w:val="20"/>
          <w:color w:val="auto"/>
        </w:rPr>
      </w:pPr>
    </w:p>
    <w:p>
      <w:pPr>
        <w:jc w:val="both"/>
        <w:ind w:firstLine="394"/>
        <w:spacing w:after="0" w:line="236" w:lineRule="auto"/>
        <w:rPr>
          <w:sz w:val="20"/>
          <w:szCs w:val="20"/>
          <w:color w:val="auto"/>
        </w:rPr>
      </w:pPr>
      <w:r>
        <w:rPr>
          <w:rFonts w:ascii="Times New Roman" w:cs="Times New Roman" w:eastAsia="Times New Roman" w:hAnsi="Times New Roman"/>
          <w:sz w:val="18"/>
          <w:szCs w:val="18"/>
          <w:color w:val="auto"/>
        </w:rPr>
        <w:t>Our client experience management solutions that run on our proprietary EXL CONNECX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platform, help our clients improve their end-customer experience across the front, middle and back-office, integrating data flows, redesigning customer service processes and leveraging digital omni-channel platforms. To deliver these solutions, we combine our deep industry knowledge with advanced analytics and digital capabilities, including robotics, proprietary and partner-driven AI and ML solutions.</w:t>
      </w:r>
    </w:p>
    <w:p>
      <w:pPr>
        <w:spacing w:after="0" w:line="22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revenue enhancement solutions include lead generation, inside sales and digital marketing, pricing, customer and marketing analytics, billing and proprietary revenue assurance solutions, which helps deliver direct topline and margin impact to our clients’ business.</w:t>
      </w:r>
    </w:p>
    <w:p>
      <w:pPr>
        <w:spacing w:after="0" w:line="19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We also provide industry-specific digital operations and solutions. For our clients in the banking and financial services sector, we provide a range of digital solutions, including residential mortgage lending, title verification and validation, retail banking and credit cards, trust verification, commercial banking and investment management. In the retail and consumer packaged goods sector, we provide supply chain management services and analytical services including merchandising, pricing and demand forecasting. For our clients in the utilities sector, we offer digital operations and solutions related to end-to-end customer life cycle management including onboarding and terminations, engineering field services, customer service, billing and debt management and collections. In the technology, media, and telecom sector, we manage media and advertising reconciliations, order entry, fulfillment and licensing management operations. For our clients in the travel and leisure sector, we provide corporate and leisure travel services, including, reservations, customer service and fulfilment services. In the transportation and logistics sector, we provide our clients with freight billing, collections, claims management, freight audit, freight scheduling, supply chain management and revenue assurance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Analytics</w:t>
      </w:r>
    </w:p>
    <w:p>
      <w:pPr>
        <w:spacing w:after="0" w:line="161"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Analytics</w:t>
      </w:r>
      <w:r>
        <w:rPr>
          <w:rFonts w:ascii="Times New Roman" w:cs="Times New Roman" w:eastAsia="Times New Roman" w:hAnsi="Times New Roman"/>
          <w:sz w:val="18"/>
          <w:szCs w:val="18"/>
          <w:color w:val="auto"/>
        </w:rPr>
        <w:t xml:space="preserve"> strategic business unit helps clients build data-led businesses using AI, generative AI, advanced analytics solutions and services, and cloud technology. By leveraging our suite of end-to-end analytics capabilities, we aim to drive better business outcomes for our clients by unlocking deep insights from data and creating data and AI-led solutions across all parts of clients’ businesses.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Analytics teams deliver predictive and prescriptive analytics in the areas of customer acquisition and life cycle management, risk underwriting and pricing, operational effectiveness, credit and operational risk monitoring and governance, regulatory reporting, and data management.</w:t>
      </w:r>
    </w:p>
    <w:p>
      <w:pPr>
        <w:spacing w:after="0" w:line="19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including:</w:t>
      </w:r>
    </w:p>
    <w:p>
      <w:pPr>
        <w:spacing w:after="0" w:line="205" w:lineRule="exact"/>
        <w:rPr>
          <w:sz w:val="20"/>
          <w:szCs w:val="20"/>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experience, driving engagement, loyalty and increasing cross-sell through a deeper understanding of consumer behavior;</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Solutions for risk models, stress testing, Basel risk-weighted assets, reserves, and economic capital calculation;</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ML models for fraud monitoring, loss mitigation, and implementation and execution of fraud strategies;</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decision-making in underwriting, claims processing and policy renewal through cognitive image analytics; and</w:t>
      </w:r>
    </w:p>
    <w:p>
      <w:pPr>
        <w:spacing w:after="0" w:line="226"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integrity services in the U.S. healthcare industry ensuring accurate reimbursement and help prevent fraud, denials, and revenue leakage.</w:t>
      </w:r>
    </w:p>
    <w:p>
      <w:pPr>
        <w:spacing w:after="0" w:line="240"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Our Analytics team is comprised of approximately 9,100 professionals, including data scientists, data architects, business analysts, statisticians, modelers and industry domain specialists.</w:t>
      </w:r>
    </w:p>
    <w:p>
      <w:pPr>
        <w:spacing w:after="0" w:line="195"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We help our clients leverage internal and external data sources, enhance their data assets, identify and visualize data patterns, and utilize data and AI-led insights to improve their effectiveness. Our Analytics services for our clients include: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ind w:left="640" w:hanging="319"/>
        <w:spacing w:after="0" w:line="268" w:lineRule="auto"/>
        <w:tabs>
          <w:tab w:leader="none" w:pos="5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cleansing, matching and use of structured, semi-structured and unstructured data, available internally to our client’s organization and also externally;</w:t>
      </w:r>
    </w:p>
    <w:p>
      <w:pPr>
        <w:spacing w:after="0" w:line="194"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data insights and predictive models into real-time, decision-making processes to drive measurable business impact;</w:t>
      </w:r>
    </w:p>
    <w:p>
      <w:pPr>
        <w:spacing w:after="0" w:line="239" w:lineRule="exact"/>
        <w:rPr>
          <w:rFonts w:ascii="Times New Roman" w:cs="Times New Roman" w:eastAsia="Times New Roman" w:hAnsi="Times New Roman"/>
          <w:sz w:val="18"/>
          <w:szCs w:val="18"/>
          <w:color w:val="auto"/>
        </w:rPr>
      </w:pPr>
    </w:p>
    <w:p>
      <w:pPr>
        <w:ind w:left="640" w:hanging="319"/>
        <w:spacing w:after="0" w:line="268" w:lineRule="auto"/>
        <w:tabs>
          <w:tab w:leader="none" w:pos="6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implementation of services that enable data visualization and management reporting enabling business users to segment, drill down, and filter data;</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 and</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Harnessing the power of AI, including generative AI to elevate decision-making paradigms, enabling our clients to achieve a sustainable competitive advantage amid rapid technological innovation.</w:t>
      </w:r>
    </w:p>
    <w:p>
      <w:pPr>
        <w:spacing w:after="0" w:line="19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Analytics engagements span both project work and longer-term arrangements where we provide ongoing analytics modeling and services for a year or longer. We utilize our deep industry knowledge to drive these engagements across our various competencies, including, data management and cloud enablement, AI, generative AI, ML, advanced analytics and insights, data-enabled marketing solutions and strategic data assets.</w:t>
      </w:r>
    </w:p>
    <w:p>
      <w:pPr>
        <w:spacing w:after="0" w:line="192"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Our Analytics services support: (1) retail banking, commercial banking and investment banking and management for the banking and financial services industries; (2) marketing analytics, clinical analytics, patient engagement, pharmaco-economics outcomes and cost optimization solution in the healthcare industry; (3) marketing and agency analytics, actuarial, servicing and operations, customer management and claims and money movement in the insurance industry; and (4) marketing analytics, supply chain, logistics and digital operations and solutions in the retail and consumer packaged goods, media and telecom and utilities and manufacturing industries.</w:t>
      </w:r>
    </w:p>
    <w:p>
      <w:pPr>
        <w:spacing w:after="0" w:line="222"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have seen a significant acceleration in the shift to digital and cloud-based solutions across all our target markets over the past few years. Capturing data and enriching data has become a key differentiator for clients and their speed of decision making necessitating the adoption of AI, including generative AI and ML techniques. The accelerated adoption of cloud-based solutions has increased our clients’ needs for a suite of cloud migration and enablement capabilities.</w:t>
      </w:r>
    </w:p>
    <w:p>
      <w:pPr>
        <w:spacing w:after="0" w:line="20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expect the trend in increased demand for analytics solutions to continue, and to capture these new opportunities, we have built a scalable and customizable multi-cloud cross-sector generative AI platform with pre-built accelerators and packaged solutions. Our AI and analytics solutions include Bank Transaction Insights, which provides insights from bank data and Customer 360 Insights, which provides agent and customer relationship insights.</w:t>
      </w:r>
    </w:p>
    <w:p>
      <w:pPr>
        <w:spacing w:after="0" w:line="189"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8"/>
          <w:szCs w:val="18"/>
          <w:color w:val="auto"/>
        </w:rPr>
        <w:t>Our EXLClarity</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platform supports risk adjustment and quality management for payers and providers and helps to optimize their revenue. Our payment services support payment integrity and maximize performance and financial-related results by leveraging our multi-payer dataset and applying digital solutions, such as AI, natural language processing and robotics. These services involve verifying the correct party pays the claim, membership eligibility, contractual adherence, and detecting and preventing fraud, waste, and abuse. Our EXLVantage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platform offers population health analytics for enhanced care and network optimization. These analytics models integrate with campaign management and marketing analytics to support member acquisition and clinical program interventions.</w:t>
      </w:r>
    </w:p>
    <w:p>
      <w:pPr>
        <w:spacing w:after="0" w:line="222"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offer end-to-end data management services to support data strategy, ingestion, normalization, quality, security, governance, visualization and data architecture development and deployment via agnostic tools and flexible delivery models. We continue to strengthen our expertise in data and product engineering, ML operations, cloud enablement and managed services. We have expanded our footprint within our existing clients in the insurance, healthcare, banking and financial services, retail and consumer packaged goods, media and telecom, utilities and manufacturing industries by cross-selling our enhanced data management and cloud enablement offerings.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50"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EXL is a leading data analytics and digital operations and solutions company and is a key strategic partner for data and AI-led businesses. We reinvent business models, drive better business outcomes and unlock growth with speed for our clients through advanced analytics and AI -powered digital solutions on the cloud. We do this through our data and AI-led value creation framework to enable better and faster decision making, leveraging our end-to-end data and analytics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capabilities to drive improved business outcomes, and we re-design operating models to integrate advanced technology into operational workflows. Below are some of our strategically focused considerations: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Services in Large Addressable Markets</w:t>
      </w:r>
    </w:p>
    <w:p>
      <w:pPr>
        <w:spacing w:after="0" w:line="244"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continue to focus on the insurance, healthcare, banking and financial services, retail, media and technology industries, among others, which are large markets with high demand, as well as pursuing opportunities in emerging industries. We also continue to build our client portfolio in finance and accounting and consulting services in all our business segments. We are strategically equipped to help clients apply relevant digital technologies to enterprise processes and business priorities at every step of the digital transformation journey, by bringing together domain expertise with data, advanced analytics, cloud, AI and ML. Demand for our services is expected to continue to exhibit growth in the next several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our Data and AI-Led and Domain Capabilities</w:t>
      </w:r>
    </w:p>
    <w:p>
      <w:pPr>
        <w:spacing w:after="0" w:line="24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combination of our data and AI-led capabilities and domain expertise has been central to our market differentiation. We are also well-positioned with our suite of advanced analytics, data and AI-powered digital solutions on the cloud to create integrated services and solutions under one brand.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Cultivating Long-term Relationships and Expanding our Client Base</w:t>
      </w:r>
    </w:p>
    <w:p>
      <w:pPr>
        <w:spacing w:after="0" w:line="24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195" w:lineRule="exact"/>
        <w:rPr>
          <w:sz w:val="20"/>
          <w:szCs w:val="20"/>
          <w:color w:val="auto"/>
        </w:rPr>
      </w:pPr>
    </w:p>
    <w:p>
      <w:pPr>
        <w:ind w:left="560" w:hanging="239"/>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depth and breadth of the services we provide across our clients’ value chains and geographies;</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the full suite of EXL services, which includes AI-powered digital operations and solutions, consulting and data analytics services; and</w:t>
      </w:r>
    </w:p>
    <w:p>
      <w:pPr>
        <w:spacing w:after="0" w:line="239"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clients’ geographic expansions by leveraging our global footprint.</w:t>
      </w:r>
    </w:p>
    <w:p>
      <w:pPr>
        <w:spacing w:after="0" w:line="24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intend to continue building a portfolio of Fortune 500 and Forbes Global 2000 companies in our focus industries that have complex and diverse data-led processes and, accordingly, stand to benefit significantly from our services. We also intend to cultivate long-term relationships with medium-sized companies in our focus industries by leveraging our data analytics, and digital operations and solutions offerings.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Optimizing our Global Delivery Footprint and Operational Infrastructure in the Countries and Regions where we Operate</w:t>
      </w:r>
    </w:p>
    <w:p>
      <w:pPr>
        <w:spacing w:after="0" w:line="244"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network of delivery centers and operational footprint is designed to serve the needs of our business, including delivering for our clients, driving efficiencies and adapting to hybrid working model. As part of our ongoing evaluation of facilities usage and business needs, we continually optimize our network and footprint.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Acquisitions and Relationships</w:t>
      </w:r>
    </w:p>
    <w:p>
      <w:pPr>
        <w:spacing w:after="0" w:line="244"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intend to continue making selective acquisitions in our focus industry verticals that enhance our competitive differentiation and that meet our strategic and financial criteria. We consider selective strategic relationships with industry leaders that add new long-term client relationships, enhance the depth and breadth of our services and solutions and complement our business strategy. Through our Connected Intelligence Partnership programs, we expand our technology and innovation ecosystem with select partnerships, alliances or investments. We expect that the digital assets and intellectual property this ecosystem provides will enhance our go-to-market opportunities, expand the scope and effectiveness of our services and solutions, help us to win new clients, and allow us to enter new industry verticals and geographic 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operations and solutions</w:t>
      </w:r>
    </w:p>
    <w:p>
      <w:pPr>
        <w:spacing w:after="0" w:line="152" w:lineRule="exact"/>
        <w:rPr>
          <w:sz w:val="20"/>
          <w:szCs w:val="20"/>
          <w:color w:val="auto"/>
        </w:rPr>
      </w:pPr>
    </w:p>
    <w:p>
      <w:pPr>
        <w:jc w:val="both"/>
        <w:ind w:firstLine="385"/>
        <w:spacing w:after="0" w:line="253" w:lineRule="auto"/>
        <w:rPr>
          <w:sz w:val="20"/>
          <w:szCs w:val="20"/>
          <w:color w:val="auto"/>
        </w:rPr>
      </w:pPr>
      <w:r>
        <w:rPr>
          <w:rFonts w:ascii="Times New Roman" w:cs="Times New Roman" w:eastAsia="Times New Roman" w:hAnsi="Times New Roman"/>
          <w:sz w:val="18"/>
          <w:szCs w:val="18"/>
          <w:color w:val="auto"/>
        </w:rPr>
        <w:t>As a provider of digital operations and solutions, we work with clients to execute enterprise-scale business transformation initiatives that enable improved customer experience, revenue growth, operational efficiency and reduced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risk. Our asset-based operations services combine the industry-specific knowledge of our global workforce with an ecosystem of partner and proprietary digital solutions. These digital solutions help clients achieve their desired outcomes in three key ways: 1) leveraging advanced analytics that combine publicly available data, proprietary data sets and clients’ own data to help power faster, more strategic decision making, 2) integrating AI/ML-driven natural language processing to help streamline manual, labor-intensive workflows and improve end-customer engagement and experience, and 3) implementing AI/ML-powered operating models that help our clients transition from legacy business operations and get to value faster.</w:t>
      </w:r>
    </w:p>
    <w:p>
      <w:pPr>
        <w:spacing w:after="0" w:line="222"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This comprehensive approach acknowledges the critical role that digital capabilities play in both the operational business process and consumer-facing customer engagement and user experience, as our clients’ customer touch points, interactions and experiences have increasingly shifted to digital channels.</w:t>
      </w:r>
    </w:p>
    <w:p>
      <w:pPr>
        <w:spacing w:after="0" w:line="150"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Digital transformation is a long-term strategic commitment for a company that, once begun, is generally not subject to cyclical spending or information technology budget fluctuations. Increased global demand, cost improvements in international communications and the automation of many business services have created opportunities for digital operations providers with offshore delivery capabilities, and many companies are moving select office processes to providers with the capacity to perform these functions from overseas locations.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Analytics</w:t>
      </w:r>
    </w:p>
    <w:p>
      <w:pPr>
        <w:spacing w:after="0" w:line="244"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As a provider of advanced analytics, AI and data services, we help companies access and deliver real-time data and insights at multiple points in their overall workflows so that all parts of the organization are working from the same data pool. Leveraging a large number of high-frequency, granular, non-traditional data elements aggregated across proprietary data sets, client data and publicly available sources, advanced analytics enables clients to deliver personalized customer experiences at scale, settle consumer issues efficiently and rapidly adapt their business strategies in response to market changes.</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enhanced generation of business data across multiple formats, substantial reduction in data storage costs, growing enterprise demand for data and AI-led decision making and availability of sophisticated analytics tools, have enabled companies to make better decisions. By leveraging our end-to-end service offerings, we develop industry-specific AI and advanced analytics solutions and generate data insights, which makes us well-positioned to benefit from this global trend.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Client Management</w:t>
      </w:r>
    </w:p>
    <w:p>
      <w:pPr>
        <w:spacing w:after="0" w:line="2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market our services to our existing and prospective clients through our sales and client management teams, which are aligned by industry verticals and cross-industry domains such as digital solutions, finance and accounting and consulting. Our sales and client management teams operate from the U.S., Europe, Australia and South Africa are supported by our business development teams.</w:t>
      </w:r>
    </w:p>
    <w:p>
      <w:pPr>
        <w:spacing w:after="0" w:line="126" w:lineRule="exact"/>
        <w:rPr>
          <w:sz w:val="20"/>
          <w:szCs w:val="20"/>
          <w:color w:val="auto"/>
        </w:rPr>
      </w:pPr>
    </w:p>
    <w:p>
      <w:pPr>
        <w:jc w:val="both"/>
        <w:ind w:firstLine="385"/>
        <w:spacing w:after="0" w:line="249" w:lineRule="auto"/>
        <w:rPr>
          <w:sz w:val="20"/>
          <w:szCs w:val="20"/>
          <w:color w:val="auto"/>
        </w:rPr>
      </w:pPr>
      <w:r>
        <w:rPr>
          <w:rFonts w:ascii="Times New Roman" w:cs="Times New Roman" w:eastAsia="Times New Roman" w:hAnsi="Times New Roman"/>
          <w:sz w:val="18"/>
          <w:szCs w:val="18"/>
          <w:color w:val="auto"/>
        </w:rPr>
        <w:t>Our sales, marketing and business development teams are responsible for new client acquisitions, public relations, relations with outsourcing advisory companies, analyst relations, lead generation, knowledge management, content development, campaign management, digital or web presence, brand awareness and participation in industry forums and conferences. As of December 31, 2023, we employed approximately 250 sales, marketing, business development and client management professionals, with the majority of these employees based in either the U.S. or India. Our professionals generally have significant experience in consulting, analytics, digital operations and solutions services and digital technology within our focus industries.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EXL generated revenues from approximately 560 clients and 550 clients in 2023 and 2022, respectively (with annual revenue exceeding $50,000 per client). We won 63 and 59 new clients during 2023 and 2022, respectively.</w:t>
      </w:r>
    </w:p>
    <w:p>
      <w:pPr>
        <w:spacing w:after="0" w:line="116"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Our top three, five and ten clients generated 16.4%, 22.9% and 34.0% of our revenues, respectively, in 2023. Our top three, five and ten clients generated 16.3%, 22.9% and 34.9% of our revenues, respectively, in 2022. No client accounted for more than 10% of our total revenues in 2023 or 2022.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Part I, Item 1A, “Risk Factors” under “Risks Related to Our Business––We earn a substantial portion of our revenues from a limited number of clients.”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85"/>
        <w:spacing w:after="0" w:line="249" w:lineRule="auto"/>
        <w:rPr>
          <w:sz w:val="20"/>
          <w:szCs w:val="20"/>
          <w:color w:val="auto"/>
        </w:rPr>
      </w:pPr>
      <w:r>
        <w:rPr>
          <w:rFonts w:ascii="Times New Roman" w:cs="Times New Roman" w:eastAsia="Times New Roman" w:hAnsi="Times New Roman"/>
          <w:sz w:val="18"/>
          <w:szCs w:val="18"/>
          <w:color w:val="auto"/>
        </w:rPr>
        <w:t>Our long-term relationships with our clients typically evolve from providing a single, discrete service or process into providing a series of complex, integrated processes across multiple business lines. For digital operations and solutions other than consulting, we generally enter into long-term agreements with our clients with typical initial terms between three to five years. Consulting engagements have typical terms of six to twelve months. Agreements for our analytics services are either project based or have shorter initial terms, which are typically between one to three years. However, each agreement is individually negotiated with the client.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3" w:lineRule="exact"/>
        <w:rPr>
          <w:sz w:val="20"/>
          <w:szCs w:val="20"/>
          <w:color w:val="auto"/>
        </w:rPr>
      </w:pPr>
    </w:p>
    <w:p>
      <w:pPr>
        <w:jc w:val="both"/>
        <w:ind w:firstLine="385"/>
        <w:spacing w:after="0" w:line="247" w:lineRule="auto"/>
        <w:rPr>
          <w:sz w:val="20"/>
          <w:szCs w:val="20"/>
          <w:color w:val="auto"/>
        </w:rPr>
      </w:pPr>
      <w:r>
        <w:rPr>
          <w:rFonts w:ascii="Times New Roman" w:cs="Times New Roman" w:eastAsia="Times New Roman" w:hAnsi="Times New Roman"/>
          <w:sz w:val="18"/>
          <w:szCs w:val="18"/>
          <w:color w:val="auto"/>
        </w:rPr>
        <w:t>Competition in the data analytics and digital operations and solutions industry is intense and growing. See Part I, Item 1A, “Risk Factors” under “Risks Related to Our Business––We face competition globally from other providers and from our clients, who may build shared services centers to perform digital operations and solutions and analytics services themselves, either in-house or other arrangements.” Many companies, including certain of our clients, choose to perform some or all of their front-, middle- and back-office analytics and processes internally, utilizing their own employees and digital applications to provide these services as part of their regular business operations. We believe our key advantage over in-house business processes and analytics management is our ability to orchestrate relevant domain, data, digital, advanced analytics and human design expertise to enable delivery of sustainable outcomes that allow companies to focus on their customers, core products and markets. We compete primarily against:</w:t>
      </w:r>
    </w:p>
    <w:p>
      <w:pPr>
        <w:spacing w:after="0" w:line="139" w:lineRule="exact"/>
        <w:rPr>
          <w:sz w:val="20"/>
          <w:szCs w:val="20"/>
          <w:color w:val="auto"/>
        </w:rPr>
      </w:pPr>
    </w:p>
    <w:p>
      <w:pPr>
        <w:ind w:left="640" w:hanging="319"/>
        <w:spacing w:after="0" w:line="268" w:lineRule="auto"/>
        <w:tabs>
          <w:tab w:leader="none" w:pos="5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global companies with digital operations and solutions and operations capabilities, such as Accenture, Cognizant Technology Solutions, Genpact Limited, IBM, Infosys, NTT DATA, Tata Consultancy Services, and WNS (Holdings);</w:t>
      </w:r>
    </w:p>
    <w:p>
      <w:pPr>
        <w:spacing w:after="0" w:line="194"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industry-specific digital operations and solutions providers such as Cotiviti and Optum Health;</w:t>
      </w:r>
    </w:p>
    <w:p>
      <w:pPr>
        <w:spacing w:after="0" w:line="21"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analytics services and digital platform providers; and</w:t>
      </w:r>
    </w:p>
    <w:p>
      <w:pPr>
        <w:spacing w:after="0" w:line="222"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accounting and management consulting firms.</w:t>
      </w:r>
    </w:p>
    <w:p>
      <w:pPr>
        <w:spacing w:after="0" w:line="24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compete against these entities by working to differentiate ourselves as a strategic partner for businesses with deep industry expertise, sophisticated data and analytics capabilities, innovative digital operations and solutions and technology strong client relationships, leading industry talent, superior process capabilities and differentiated technology, which enable us to respond rapidly to market trends and the evolving needs of our clients.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Our intellectual property consists of proprietary platforms, software, data, databases, models, methodologies, know-how, names, designs, domains, user interfaces, applications and operating procedures among other materials. We consider many of our business processes and implementation methodologies to be trade secrets or proprietary know-how and confidential information. We seek to protect our intellectual property through a combination of patent, trademark, copyright and trade secret laws, as well as through confidentiality procedures and contractual provisions. Clients and business partners typically agree in writing to confidential treatment of our information. Our employees and independent contractors are required to sign work-for-hire agreements containing confidentiality covenants as a condition to their employment and engagement, respectively. We also have policies requiring our employees, independent contractors, and associates to respect the intellectual property rights of others, including obtaining appropriate licenses when using, selling or distributing third-party materials.</w:t>
      </w:r>
    </w:p>
    <w:p>
      <w:pPr>
        <w:spacing w:after="0" w:line="220" w:lineRule="exact"/>
        <w:rPr>
          <w:sz w:val="20"/>
          <w:szCs w:val="20"/>
          <w:color w:val="auto"/>
        </w:rPr>
      </w:pPr>
    </w:p>
    <w:p>
      <w:pPr>
        <w:jc w:val="both"/>
        <w:ind w:firstLine="394"/>
        <w:spacing w:after="0" w:line="283" w:lineRule="auto"/>
        <w:rPr>
          <w:sz w:val="20"/>
          <w:szCs w:val="20"/>
          <w:color w:val="auto"/>
        </w:rPr>
      </w:pPr>
      <w:r>
        <w:rPr>
          <w:rFonts w:ascii="Times New Roman" w:cs="Times New Roman" w:eastAsia="Times New Roman" w:hAnsi="Times New Roman"/>
          <w:sz w:val="16"/>
          <w:szCs w:val="16"/>
          <w:color w:val="auto"/>
        </w:rPr>
        <w:t>The solutions we offer our clients often include our software, data and other intellectual property assets developed by our data scientists and engineers, combined with software and data licensed by us or by clients from third parties. We also leverage strategic partnerships with third parties to facilitate our solution offerings to clients, including, among others, robotics and process automation software providers, financing platform providers, and AI solutions providers. We typically retain ownership of any pre-existing proprietary intellectual property assets, including modifications or enhancements to such pre-existing proprietary assets developed while providing client services. Independently or while working on client engagements, we also often develop new tools, methodologies and models, including AI and ML models that can be leveraged for various use cases. We endeavor to negotiate contracts that give us ownership or broad licenses to use, develop, demonstrate and offer such newly developed intellectual property assets to or for other clients.</w:t>
      </w:r>
    </w:p>
    <w:p>
      <w:pPr>
        <w:spacing w:after="0" w:line="19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and rapidly evolving global market. We seek to continue providing value to our clients with our deep industry knowledge, ability to advise clients on how to transform their processes and deliver transformation that drives business value, and ability to provide innovative services and solutions, including digital offerings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that incorporate AI and ML capabilities. We also rely on our reputation, client references, ability to sustain long-term client relationships, as well as our global reach and scale, and competitive pricing to maintain our competitiveness in our industry. While our proprietary intellectual property assets are important to our business, we believe EXL as a whole is not materially dependent on any particular intellectual property, other than our EXL brand. Our intellectual property portfolio is comprised of patents, trademarks, copyrights, and domain names to protect our brands, including our EXL brand, which is one of our most valuable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At EXL, our organizational ethos is distinctly shaped by five core values: innovation, collaboration, excellence, integrity and respect. In line with our core values, we recognize our workforce’s pivotal role in driving our success. We prioritize the ongoing development and progression of our employees, because we believe it to be critical to our sustained performance and longevity.</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As of December 31, 2023, our team is approximately 54,000 strong, with more than 50 offices spanning across six continents. This encompasses approximately 34,900 employees located in India, 10,700 in the Philippines, 2,600 in the United States, 4,300 in South Africa and 1,500 employees are based in other locations in which we operate.</w:t>
      </w:r>
    </w:p>
    <w:p>
      <w:pPr>
        <w:spacing w:after="0" w:line="126"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As part of our expansion into Ireland in 2023, we formed a new collaboration with University College Dublin, one of Europe’s leading research-intensive universities, as part of the Irish government’s Human Capital Initiative, which aims to strengthen ties between higher education and enterprises to address future skills needs.</w:t>
      </w:r>
    </w:p>
    <w:p>
      <w:pPr>
        <w:spacing w:after="0" w:line="126" w:lineRule="exact"/>
        <w:rPr>
          <w:sz w:val="20"/>
          <w:szCs w:val="20"/>
          <w:color w:val="auto"/>
        </w:rPr>
      </w:pPr>
    </w:p>
    <w:p>
      <w:pPr>
        <w:ind w:right="420" w:firstLine="394"/>
        <w:spacing w:after="0" w:line="426" w:lineRule="auto"/>
        <w:rPr>
          <w:sz w:val="20"/>
          <w:szCs w:val="20"/>
          <w:color w:val="auto"/>
        </w:rPr>
      </w:pPr>
      <w:r>
        <w:rPr>
          <w:rFonts w:ascii="Times New Roman" w:cs="Times New Roman" w:eastAsia="Times New Roman" w:hAnsi="Times New Roman"/>
          <w:sz w:val="18"/>
          <w:szCs w:val="18"/>
          <w:color w:val="auto"/>
        </w:rPr>
        <w:t xml:space="preserve">To date, our operations have remained uninterrupted by labor-related issues, a testament to our favorable employee relations within our organization. </w:t>
      </w:r>
      <w:r>
        <w:rPr>
          <w:rFonts w:ascii="Times New Roman" w:cs="Times New Roman" w:eastAsia="Times New Roman" w:hAnsi="Times New Roman"/>
          <w:sz w:val="18"/>
          <w:szCs w:val="18"/>
          <w:b w:val="1"/>
          <w:bCs w:val="1"/>
          <w:i w:val="1"/>
          <w:iCs w:val="1"/>
          <w:color w:val="auto"/>
        </w:rPr>
        <w:t>Diversity, Equity and Inclusion</w:t>
      </w:r>
    </w:p>
    <w:p>
      <w:pPr>
        <w:spacing w:after="0" w:line="1"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Our diversity, equity and inclusion philosophy aims to create a fair and inclusive work environment that harnesses the power of diversity to drive organizational success. We recognize that the world we live and work in is diverse and fueled by innovation. To thrive in this environment, we foster a culture that values diverse perspectives, embraces differences and promotes leadership opportunities in a way that reflects the communities in which we operate.</w:t>
      </w:r>
    </w:p>
    <w:p>
      <w:pPr>
        <w:spacing w:after="0" w:line="9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consider diversity, equity and inclusion to be a key factor in our recruiting and retention goals and overall business growth strategy. As of December 31, 2023, our United States reporting workforce comprised approximately 16.2% underrepresented minorities and our global workforce was approximately 43% women.</w:t>
      </w:r>
    </w:p>
    <w:p>
      <w:pPr>
        <w:spacing w:after="0" w:line="126"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EXL is committed to providing a supportive working environment and career opportunities for our employees. Our Diversity and Inclusion Council consists of a global, diverse mix of leaders and oversees our diversity, equity and inclusion program. We provide trainings to our employees on topics aimed at improving diversity, equity and inclusion, such as managing unconscious bias, and have formed employee resource groups for select employee communities that are aimed at supporting diverse groups and interests. EXL has several programs to promote career advancement for women, including leadership development for women at the mid- to senior- levels, a separate program to improve the retention and engagement of new mothers through employee friendly parental leave and similar policies, and our WE (Women at EXL) platform, which is designed to enable women at EXL advance their career and achieve professional growth through discussion, collaboration, networking, training, development and mentorship opportunities. We believe that maintaining diversity in our leadership is one of the most important gateways to build an inclusive business. In recent years, we have placed a special focus on women leadership development from mid to senior levels through actively developing women leaders. We also rigorously track attrition risks of women at the rank of Vice President and above and work at minimizing attrition through diversity, equity and inclusion initiatives and benefits.</w:t>
      </w:r>
    </w:p>
    <w:p>
      <w:pPr>
        <w:spacing w:after="0" w:line="13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actively work to foster the representation of underrepresented groups as well as promoting the inclusion of lesbian, gay, bisexual, transgender, and queer (or questioning) (“LGBTQ+”) employees at all levels of the organization. In addition to EXL’s employee resource groups, we maintain “The Umbrella Project,” an initiative for allyship and inclusion alongside our LGBTQ+ colleagues.</w:t>
      </w:r>
    </w:p>
    <w:p>
      <w:pPr>
        <w:spacing w:after="0" w:line="205" w:lineRule="exact"/>
        <w:rPr>
          <w:sz w:val="20"/>
          <w:szCs w:val="20"/>
          <w:color w:val="auto"/>
        </w:rPr>
      </w:pPr>
    </w:p>
    <w:p>
      <w:pPr>
        <w:ind w:right="1820" w:firstLine="394"/>
        <w:spacing w:after="0" w:line="426" w:lineRule="auto"/>
        <w:rPr>
          <w:sz w:val="20"/>
          <w:szCs w:val="20"/>
          <w:color w:val="auto"/>
        </w:rPr>
      </w:pPr>
      <w:r>
        <w:rPr>
          <w:rFonts w:ascii="Times New Roman" w:cs="Times New Roman" w:eastAsia="Times New Roman" w:hAnsi="Times New Roman"/>
          <w:sz w:val="18"/>
          <w:szCs w:val="18"/>
          <w:color w:val="auto"/>
        </w:rPr>
        <w:t xml:space="preserve">We maintain a supplier diversity program in the United States designed to provide opportunities for qualified diverse businesses. </w:t>
      </w:r>
      <w:r>
        <w:rPr>
          <w:rFonts w:ascii="Times New Roman" w:cs="Times New Roman" w:eastAsia="Times New Roman" w:hAnsi="Times New Roman"/>
          <w:sz w:val="18"/>
          <w:szCs w:val="18"/>
          <w:b w:val="1"/>
          <w:bCs w:val="1"/>
          <w:i w:val="1"/>
          <w:iCs w:val="1"/>
          <w:color w:val="auto"/>
        </w:rPr>
        <w:t>Recruiting, Developing and Engaging our Employees</w:t>
      </w:r>
    </w:p>
    <w:p>
      <w:pPr>
        <w:spacing w:after="0" w:line="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have an integrated talent management framework that employs active collaboration between our recruitment, capability development and business human resource functions. We deploy innovative methods to recruit, train and retain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skilled employees. We focus on recruiting the right talent and developing them further on relevant competencies through our learning academies, rigorous promotion standards, client and industry-specific training and competitive compensation packages, which include incentive-based compensation.</w:t>
      </w:r>
    </w:p>
    <w:p>
      <w:pPr>
        <w:spacing w:after="0" w:line="116"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Our talent strategy is a key driver for EXL’s long-term business strategy of turning data into a sustainable competitive advantage for our clients. To deliver on this complex work, we focus on identifying the critical skills and roles necessary to our business so that we can attract and retain the talent needed.</w:t>
      </w:r>
    </w:p>
    <w:p>
      <w:pPr>
        <w:spacing w:after="0" w:line="150"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leverage shared resources across our services through personnel who have skill sets applicable to a wide variety of data, digital, cloud and AI/ML services. We also have specialized experts in various domains, in our chosen industries and subject matters through our training academies. We have established a comprehensive set of practices, processes and programs, which have made learning easily accessible, collaborative and embedded in workflows. Our employees participate in trainings and upskilling virtually. Our employee relations function helps us understand our employees’ needs, concerns and interests, so that we can respond to specific needs and concerns as they arise.</w:t>
      </w:r>
    </w:p>
    <w:p>
      <w:pPr>
        <w:spacing w:after="0" w:line="201"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We focus on recruiting, training and retaining our professionals. Our talent acquisition strategy framework revolves around a “Build, Acquire, and Partner” approach. We have developed effective strategies that enable an efficient recruitment process. The recruitment and training process evolved to an online model in 2020, which we have since adopted as our permanent model. Some of the strategies we have adopted to increase efficiency in our hiring practices include AI/ML-based intelligent screening mechanisms, remotely proctored online techniques and automated trainings. Our hiring policies focus on identifying high-quality employees who demonstrate a propensity for learning, contribution to client services and growth. In certain circumstances, we use an AI-driven infrastructure to enable our human resources function anticipate and find critical talent when and where we need them. Candidates must undergo numerous tests and video interviews before we extend offers for employment. We also conduct background checks on candidates, including criminal background checks where permitted and as required by clients.</w:t>
      </w:r>
    </w:p>
    <w:p>
      <w:pPr>
        <w:spacing w:after="0" w:line="22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have adopted a hybrid working model, which we refer to as our “future operating model,” that provides our employees with a degree of additional flexibility. We continue to use and improve digital-first and multi-channel approaches to keep our employees across the globe informed and engaged and moved from an enterprise-centric approach to human capital management to one that is employee-centric.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Experience</w:t>
      </w:r>
    </w:p>
    <w:p>
      <w:pPr>
        <w:spacing w:after="0" w:line="165"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located within some of our operations centers.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addition, we maintain several geographic specific employee health and wellness offerings, including an internal helpline with a central information hub for resource availability, enhanced insurance coverage including parental insurance for our employees in India, among others.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Capability Development</w:t>
      </w:r>
    </w:p>
    <w:p>
      <w:pPr>
        <w:spacing w:after="0" w:line="165" w:lineRule="exact"/>
        <w:rPr>
          <w:sz w:val="20"/>
          <w:szCs w:val="20"/>
          <w:color w:val="auto"/>
        </w:rPr>
      </w:pPr>
    </w:p>
    <w:p>
      <w:pPr>
        <w:jc w:val="both"/>
        <w:ind w:firstLine="385"/>
        <w:spacing w:after="0" w:line="247" w:lineRule="auto"/>
        <w:rPr>
          <w:sz w:val="20"/>
          <w:szCs w:val="20"/>
          <w:color w:val="auto"/>
        </w:rPr>
      </w:pPr>
      <w:r>
        <w:rPr>
          <w:rFonts w:ascii="Times New Roman" w:cs="Times New Roman" w:eastAsia="Times New Roman" w:hAnsi="Times New Roman"/>
          <w:sz w:val="18"/>
          <w:szCs w:val="18"/>
          <w:color w:val="auto"/>
        </w:rPr>
        <w:t>We continue to promote opportunities for large-scale upskilling and reskilling of our employees, while also fostering a learning environment conducive to individual skill-building and career advancement. In 2022, we implemented a fundamental shift in our capability development approach, transitioning from a corporate-driven model to an ecosystem of democratized self-learning, where our employees have access to our digital learning ecosystem. This enables our employees self-driven learning and growth experiences based on their personal goals and skills by using AI to anticipate and build market-relevant skills and capabilities, curated libraries and intelligent web-sourced content. Our employees are supplied with specialized learning pathways to build digital capabilities, skill mapping to direct them to courses as needed, chat groups where they can collaborate and discuss the latest trends, practice questions, practice labs for real-world and hands-on experience, supervisor dashboards and leaderboards, and learning on the go.</w:t>
      </w:r>
    </w:p>
    <w:p>
      <w:pPr>
        <w:spacing w:after="0" w:line="139"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talent development strategy is comprehensive and aligned to EXL’s overall business strategy. We aim for our employees to develop expertise around the specific technologies, tools and frameworks required to successfully execute projects for our clients, as well as a mindset focused on agility, speed, creativity, innovation and collaboration. We create thought leaders with high industry acumen who are better able to address our clients’ business priorities. We also provide a career-linked learning path to our employees from new hires to tenured employees to senior levels of leadership.</w:t>
      </w:r>
    </w:p>
    <w:p>
      <w:pPr>
        <w:spacing w:after="0" w:line="20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domain academies focus on building domain expertise through certifications and specialization. These include our Insurance Academy, Travel Academy, Finance and Accounting Academy, Healthcare Academy, Analytics Academy,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Utilities Academy, Consulting Academy, Sales Academy and Digital Academy. These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 promoting better diversity, equity and inclusion through our training programs. We have a global presence catering to the specific learning requirements of each geography. We provide learning through our blended learning methodology comprising of virtual, classroom, on the job coaching and technology-led learning.</w:t>
      </w:r>
    </w:p>
    <w:p>
      <w:pPr>
        <w:spacing w:after="0" w:line="21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talent, training and development objectives focus on “addressing roles critical to strategy,” “placing the right people for the right roles,” “creating a future ready workforce” and “raising EXL’s baseline” by continuously building EXL-wide culture around a strong understanding of digital technologies.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w:t>
      </w:r>
    </w:p>
    <w:p>
      <w:pPr>
        <w:spacing w:after="0" w:line="139" w:lineRule="exact"/>
        <w:rPr>
          <w:sz w:val="20"/>
          <w:szCs w:val="20"/>
          <w:color w:val="auto"/>
        </w:rPr>
      </w:pPr>
    </w:p>
    <w:p>
      <w:pPr>
        <w:jc w:val="both"/>
        <w:ind w:firstLine="394"/>
        <w:spacing w:after="0" w:line="271" w:lineRule="auto"/>
        <w:rPr>
          <w:sz w:val="20"/>
          <w:szCs w:val="20"/>
          <w:color w:val="auto"/>
        </w:rPr>
      </w:pPr>
      <w:r>
        <w:rPr>
          <w:rFonts w:ascii="Times New Roman" w:cs="Times New Roman" w:eastAsia="Times New Roman" w:hAnsi="Times New Roman"/>
          <w:sz w:val="16"/>
          <w:szCs w:val="16"/>
          <w:color w:val="auto"/>
        </w:rPr>
        <w:t>Our attrition rate for employees who had been with EXL for more than 180 days was 25.8% and 31.6% for the years ended December 31, 2023 and 2022, respectively. The attrition rate in 2023 decreased from 2022, which we believe reflects better employee engagement. As competition in our industry increases, our turnover rate could increase. See Part I, Item 1A, “Risk Factors” under “Risks Related to Our Business––We may fail to attract and retain enough sufficiently trained employees to support our operations or professionals with sufficient leadership capabilities, which may result in loss of revenue and an inability to expand our business” and “Employee wage increases may prevent us from sustaining our competitive advantage and may reduce our profit margin.”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Strategy</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world we work and live in is powered by innovation. We believe success in such a world will come through passing along social goods to the communities in which we operate, and ensuring that we conduct our operations in a sustainable and safe manner. These initiatives reflect our core values and will make us a stronger, more impactful organization to work for and allow us to deliver exceptional results for our clients, employees, communities and stockholders.</w:t>
      </w:r>
    </w:p>
    <w:p>
      <w:pPr>
        <w:spacing w:after="0" w:line="130"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most recent Sustainability Report is available on our website. The information contained on our website is not included in, or incorporated by reference into, this Annual Report on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Activities</w:t>
      </w:r>
    </w:p>
    <w:p>
      <w:pPr>
        <w:spacing w:after="0" w:line="16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EXL finds meaningful ways to help the communities in which we operate. Our community activities focus on passing along the skills that our employees use in our operations to members of the communities in which we operate to help transform lives. On our own, with outside partners and in partnership with our clients, we support market-relevant technical and life skill development and education initiatives, disaster relief efforts and global health initiatives. These programs align with the expectations clients have of service providers and benefit our other stakeholders. In 2023, we continued many of these activities in hybrid and virtual formats. Examples of our programs include:</w:t>
      </w:r>
    </w:p>
    <w:p>
      <w:pPr>
        <w:spacing w:after="0" w:line="135" w:lineRule="exact"/>
        <w:rPr>
          <w:sz w:val="20"/>
          <w:szCs w:val="20"/>
          <w:color w:val="auto"/>
        </w:rPr>
      </w:pPr>
    </w:p>
    <w:p>
      <w:pPr>
        <w:jc w:val="both"/>
        <w:ind w:left="640" w:hanging="319"/>
        <w:spacing w:after="0" w:line="252" w:lineRule="auto"/>
        <w:tabs>
          <w:tab w:leader="none" w:pos="5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to Win Initiative: This skill development initiative provides participants from communities in which we operate in the United States, the United Kingdom, the Philippines, India and South Africa with market-relevant skills for the digital economy. In 2022, we added a coding skills focus to the Skills to Win Initiative, aimed at elevating women and non-binary members of our communities in technology in the United Kingdom, the United States and South Africa, which was further expanded to the Philippines and India in 2023.</w:t>
      </w:r>
    </w:p>
    <w:p>
      <w:pPr>
        <w:spacing w:after="0" w:line="208" w:lineRule="exact"/>
        <w:rPr>
          <w:rFonts w:ascii="Times New Roman" w:cs="Times New Roman" w:eastAsia="Times New Roman" w:hAnsi="Times New Roman"/>
          <w:sz w:val="18"/>
          <w:szCs w:val="18"/>
          <w:color w:val="auto"/>
        </w:rPr>
      </w:pPr>
    </w:p>
    <w:p>
      <w:pPr>
        <w:ind w:left="640" w:hanging="319"/>
        <w:spacing w:after="0" w:line="268" w:lineRule="auto"/>
        <w:tabs>
          <w:tab w:leader="none" w:pos="5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as a Foundation Initiative: This classroom-based initiative currently delivered through online and offline learning platforms provides school-aged students from communities in which we operate with data and analytics skills, language learning and career guidance.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strive to continuously improve our environmental, health and safety initiatives (“EHS”), with a focus on reducing our carbon footprint, energy conservation, waste minimization, green infrastructure and operations. Our EHS team tracks and assesses our progress with respect to key performance indicators for energy, greenhouse gas emissions and water and waste generation targets annually. We have also established Company-wide and worksite-specific workplace safety objectives that are integrated into our EHS Management System. Where practical, we seek to integrate EHS with our business activities, focusing on conducting our activities in an environmentally responsible manner and ensuring the health and safety of our employees, contractors, customers, visitors and the communities in which we operate. In addition, we seek to maintain a responsible supply chain by stating our expectations for all our vendors in our Supplier Standards of Conduct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by collecting information from our new suppliers with respect to policies and performance on human rights, labor rights and environmental issues.</w:t>
      </w:r>
    </w:p>
    <w:p>
      <w:pPr>
        <w:spacing w:after="0" w:line="161"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All our delivery centers worldwide are currently ISO 45001:2018 certified, meeting international standards for occupational health and safety, and ISO 14001:2015 certified, meeting international standards for effective environmental management systems. In 2023, we received a five star rating from the British Safety Council for best practices in occupational safety for our operations centers in the United Kingdom and India. While we expect to maintain these certifications and standards, there may be changes to our delivery centers or applicable rules or standards that could affect such certifications and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operations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us in delivering our services to them.</w:t>
      </w:r>
    </w:p>
    <w:p>
      <w:pPr>
        <w:spacing w:after="0" w:line="126"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We provide third-party administrator insurance services from India and the Philippines and are currently able to provide these services in the United States for 49 states (and the District of Columbia) and 48 states (and the District of Columbia), respectively by location. Additionally, our subsidiary in the Philippines is able to provide utilization review services in the United States for 48 states (and the District of Columbia). Further, through domestic subsidiaries, we are licensed or otherwise eligible to provide third-party administrator services in all states within the United States, as well as utilization review, claims adjuster and insurance producer services in select states. We maintain licenses in various jurisdictions (or require certain categories of our professionals to be individually licensed, as applicable) in service areas such as debt collection, utilization review, workers’ compensation utilization review, claims adjuster, mortgage loan processing and underwriting and telemarketing services. Our facilities in the Philippines, as well as one domestic subsidiary, are accredited by the Utilization Review Accreditation Commission (URAC) and National Committee for Quality Assurance (NCQA), the leading healthcare and education accreditation organizations. We continue to obtain licenses and accreditations required from time to time by our business operations.</w:t>
      </w:r>
    </w:p>
    <w:p>
      <w:pPr>
        <w:spacing w:after="0" w:line="19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including tax laws in the countries where we conduct our business. See Part I, Item 1A, “Risk Factors” under “Risks Related to the International Nature of Our Business––Our global operations expose us to numerous and sometimes conflicting legal and regulatory requirements, including, accreditation or licensing standards that govern our business, and violations of these requirements could harm our business.”</w:t>
      </w:r>
    </w:p>
    <w:p>
      <w:pPr>
        <w:spacing w:after="0" w:line="20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currently benefit from certain corporate tax holidays for our operations located in qualified Philippines Economic Zone Authority units. We are managing our business in accordance with the guidelines issued in 2022 by the Philippines Fiscal Incentives Review Board to continue availing the tax holidays.</w:t>
      </w:r>
    </w:p>
    <w:p>
      <w:pPr>
        <w:spacing w:after="0" w:line="205"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We have established a headquarters for international business in Dublin, Ireland, and qualify for a reduced tax rate subject to certain conditions. We continuously monitor our operations to ensure we continue to qualify for the reduced rate.</w:t>
      </w:r>
    </w:p>
    <w:p>
      <w:pPr>
        <w:spacing w:after="0" w:line="20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currently operate in the Philippines and Ireland where we will be subject to a minimum tax rate pursuant to the Pillar Two Framework prescribed by Organization for Economic Co-operation and Development (“OECD”). The OECD continues to release additional guidance on the Pillar Two Framework, with implementation generally effective for 2024. We will continue to evaluate any potential impact on our operations.</w:t>
      </w:r>
    </w:p>
    <w:p>
      <w:pPr>
        <w:spacing w:after="0" w:line="205"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See Part I, Item 1A, “Risk Factors” under “Risks Related to the International Nature of Our Business––Our financial condition could be negatively affected if governments in the countries we operate in introduce new unfavorable tax legislation, including legal restrictions for repatriation of our earnings.”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also maintain a website at http://ir.exlservice.com. Information on our website does not constitute a part of, nor is it incorporated in any way, into this Annual Report on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sustainability efforts, corporate governance information, and other news and announcements that investors might find useful or interesting.</w:t>
      </w:r>
    </w:p>
    <w:p>
      <w:pPr>
        <w:spacing w:after="0" w:line="13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this Annual Report on Form 10-K, we use the terms “EXL,” “we,” “us,” “our” or the “Company” to refer to ExlService Holdings,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maintaining and growing client demand for our services and solutions, including by anticipating and incorporating the latest technology into our offerings, and a significant reduction in such demand, a failure to respond to the evolving technological environment or a change in our service or solution delivery could materially affect our results of operations.</w:t>
      </w:r>
    </w:p>
    <w:p>
      <w:pPr>
        <w:spacing w:after="0" w:line="204"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18"/>
          <w:szCs w:val="18"/>
          <w:color w:val="auto"/>
        </w:rPr>
        <w:t>Our success depends in part on the demand for our services and solutions, which could be negatively affected by a number of factors that may be outside of our control, including, for example, economic and political volatility or changed market conditions. Our ability to maintain and grow demand for our services and solutions requires that we continue to develop and implement offerings that keep pace with changes in the industry and anticipate and respond to rapidly evolving technology and our clients’ evolving needs in areas such as AI, including generative AI, digital transformation and solutions, advanced analytics, cloud based solutions, data management, robotics and process automation, and data engineering, among others. AI technologies are complex and are rapidly evolving, and we face significant competition, including from our own clients, who may potentially develop their own internal, or acquire from third parties, which in each case, can lead to reduced demand for our services and solutions. As these technologies evolve, some services and tasks currently performed by our employees may be replaced by automation and AI technologies.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technologies, adapt to industry developments, evolve and expand our business at sufficient speed and scale and successfully drive innovation, our ability to develop and maintain a competitive advantage, our growth strategy and our results of operations could be adversely affected. If we are successful in responding to these developments, as we expand our services and solutions into these new areas, we may be exposed to operational, legal, regulatory, ethical, technological and other risks specific to such new areas, which may negatively affect our reputation and demand for our services and solutions.</w:t>
      </w:r>
    </w:p>
    <w:p>
      <w:pPr>
        <w:spacing w:after="0" w:line="223" w:lineRule="exact"/>
        <w:rPr>
          <w:sz w:val="20"/>
          <w:szCs w:val="20"/>
          <w:color w:val="auto"/>
        </w:rPr>
      </w:pPr>
    </w:p>
    <w:p>
      <w:pPr>
        <w:jc w:val="both"/>
        <w:ind w:firstLine="403"/>
        <w:spacing w:after="0" w:line="281" w:lineRule="auto"/>
        <w:rPr>
          <w:sz w:val="20"/>
          <w:szCs w:val="20"/>
          <w:color w:val="auto"/>
        </w:rPr>
      </w:pPr>
      <w:r>
        <w:rPr>
          <w:rFonts w:ascii="Times New Roman" w:cs="Times New Roman" w:eastAsia="Times New Roman" w:hAnsi="Times New Roman"/>
          <w:sz w:val="16"/>
          <w:szCs w:val="16"/>
          <w:color w:val="auto"/>
        </w:rPr>
        <w:t>Technological developments may materially affect the cost and use of technology by our clients and, in the case of cloud and as-a-service solutions, could affect the nature of how we generate revenue. Some of these technological developments have reduced and replaced some of our historical services and solutions and may continue to do so in the future. This has caused, and may in the future cause, clients to delay spending under existing contracts and engagements and to delay entering into new contracts while they evaluate new technologies. Such technological developments and spending delays can negatively impact our results of operations if we are unable to introduce new pricing or commercial models that reflect the value of these technological developments or if the pace and level of spending on new technologies are not sufficient to make up for any shortfall. Developments in the industries we serve, which may be rapid, also could shift demand to new services and solutions. If, as a result of new technologies or developments in the industries we serve, our clients demand new services and solutions, we may be less competitive in these new areas or need to make significant investment to meet that demand. Our growth strategy focuses on responding to these types of developments by driving innovation that will enable us to expand our business into new growth areas.</w:t>
      </w:r>
    </w:p>
    <w:p>
      <w:pPr>
        <w:spacing w:after="0" w:line="177" w:lineRule="exact"/>
        <w:rPr>
          <w:sz w:val="20"/>
          <w:szCs w:val="20"/>
          <w:color w:val="auto"/>
        </w:rPr>
      </w:pPr>
    </w:p>
    <w:p>
      <w:pPr>
        <w:jc w:val="both"/>
        <w:ind w:firstLine="403"/>
        <w:spacing w:after="0" w:line="237" w:lineRule="auto"/>
        <w:rPr>
          <w:sz w:val="20"/>
          <w:szCs w:val="20"/>
          <w:color w:val="auto"/>
        </w:rPr>
      </w:pPr>
      <w:r>
        <w:rPr>
          <w:rFonts w:ascii="Times New Roman" w:cs="Times New Roman" w:eastAsia="Times New Roman" w:hAnsi="Times New Roman"/>
          <w:sz w:val="18"/>
          <w:szCs w:val="18"/>
          <w:color w:val="auto"/>
        </w:rPr>
        <w:t>Our growing use of AI, including generative AI and ML, in our offerings presents additional risks. AI algorithms may be flawed, and datasets may be insufficient or contain biased information. Inappropriate or controversial data practices by us or others could impair the acceptance of AI solutions or subject us to lawsuits and regulatory investigations. These deficiencies could undermine the decisions, predictions or analysis AI applications produce, or lead to unintentional bias and discrimination, subjecting us to competitive harm, legal liability, and brand or reputational harm.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demand may be impacted by the selling cycle and terms of our client contracts.</w:t>
      </w:r>
    </w:p>
    <w:p>
      <w:pPr>
        <w:spacing w:after="0" w:line="24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Client demand may be impacted by the selling cycle and terms of our client contracts. Consistent with industry practice, most of our client contracts may be terminated by our clients without cause and do not commit our clients to provide us with a specific volume of business. Any failure to meet a client’s expectations or a change in a client’s strategic direction could result in the cancellation or non-renewal of a contract or a decrease in the scope of services and solutions that we are able to provide to such client. We may not be able to cover our costs or replace the associated revenues from such lost services or solutions, which could impact our results of operations in subsequent periods.</w:t>
      </w:r>
    </w:p>
    <w:p>
      <w:pPr>
        <w:spacing w:after="0" w:line="214" w:lineRule="exact"/>
        <w:rPr>
          <w:sz w:val="20"/>
          <w:szCs w:val="20"/>
          <w:color w:val="auto"/>
        </w:rPr>
      </w:pPr>
    </w:p>
    <w:p>
      <w:pPr>
        <w:jc w:val="both"/>
        <w:ind w:firstLine="403"/>
        <w:spacing w:after="0" w:line="293" w:lineRule="auto"/>
        <w:rPr>
          <w:sz w:val="20"/>
          <w:szCs w:val="20"/>
          <w:color w:val="auto"/>
        </w:rPr>
      </w:pPr>
      <w:r>
        <w:rPr>
          <w:rFonts w:ascii="Times New Roman" w:cs="Times New Roman" w:eastAsia="Times New Roman" w:hAnsi="Times New Roman"/>
          <w:sz w:val="16"/>
          <w:szCs w:val="16"/>
          <w:color w:val="auto"/>
        </w:rPr>
        <w:t>The terms of our project-based analytics and consulting services contracts generally do not exceed one year and may not produce ongoing or recurring business for us once the project is completed, and these contracts typically permit a client to terminate the agreement with shorter term notice. The majority of our digital operations and solutions contracts have longer terms, typically ranging from three to five years, and generally require a longer notice period for termination and may include an early termination fee to be paid to us, but this might not be sufficient to cover our costs or make up for the loss of revenues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profit upon termination of the contract. In addition, the selling cycle for such contracts, which generally ranges from six to eighteen months, and the implementation and initial transformation processes, which could take up to an additional six to twelve months, are subject to many risks and delays over which we have little or no control, including our clients’ decisions to choose alternatives to our services and solutions (such as other providers or in-house offshore resources) and the timing of our clients’ budget cycles and approval processes, or subsequent changes in technology and offerings, could result in changed demand. Our clients and future clients may not be willing or able to invest the time and resources necessary to implement our services, and we may fail to close sales with potential clients to which we have devoted significant time and resources.</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or professionals with sufficient leadership capabilities, which may result in loss of revenue and an inability to expand our business.</w:t>
      </w:r>
    </w:p>
    <w:p>
      <w:pPr>
        <w:spacing w:after="0" w:line="179" w:lineRule="exact"/>
        <w:rPr>
          <w:sz w:val="20"/>
          <w:szCs w:val="20"/>
          <w:color w:val="auto"/>
        </w:rPr>
      </w:pPr>
    </w:p>
    <w:p>
      <w:pPr>
        <w:jc w:val="both"/>
        <w:ind w:firstLine="403"/>
        <w:spacing w:after="0" w:line="23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hire, train and retain qualified employees, including our ability to attract employees with needed skills in the geographies where we operate. Our industry, including us, experiences high employee turnover due to significant competition for professionals with skills necessary to perform the services we offer to our clients. A significant increase in the turnover rate among our employees, particularly among our highly skilled workforce, would impact our operating efficiency, productivity and cost of revenues and eventually impact our profit margins due to higher recruitment, training and retention costs and maintaining larger hiring, training and human resources departments.</w:t>
      </w:r>
    </w:p>
    <w:p>
      <w:pPr>
        <w:spacing w:after="0" w:line="22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If we are unable to invest in reskilling and upskilling our employees in the areas and skills that strategically important to our business, our ability to effectively lead our current projects and develop new business could be jeopardized, and our business, results of operations and financial condition could be adversely affected.</w:t>
      </w:r>
    </w:p>
    <w:p>
      <w:pPr>
        <w:spacing w:after="0" w:line="192" w:lineRule="exact"/>
        <w:rPr>
          <w:sz w:val="20"/>
          <w:szCs w:val="20"/>
          <w:color w:val="auto"/>
        </w:rPr>
      </w:pPr>
    </w:p>
    <w:p>
      <w:pPr>
        <w:jc w:val="both"/>
        <w:ind w:firstLine="403"/>
        <w:spacing w:after="0" w:line="231" w:lineRule="auto"/>
        <w:rPr>
          <w:sz w:val="20"/>
          <w:szCs w:val="20"/>
          <w:color w:val="auto"/>
        </w:rPr>
      </w:pPr>
      <w:r>
        <w:rPr>
          <w:rFonts w:ascii="Times New Roman" w:cs="Times New Roman" w:eastAsia="Times New Roman" w:hAnsi="Times New Roman"/>
          <w:sz w:val="18"/>
          <w:szCs w:val="18"/>
          <w:color w:val="auto"/>
        </w:rPr>
        <w:t>Our future success also depends substantially on the continued services and performance of the members of our management team and other key employees in leadership positions that possess technical and business capabilities, including industry expertise, and are difficult to replace. Specifically, the loss of the services of our Vice Chairman and Chief Executive Officer could seriously impair our ability to continue to manage and expand our business. Although we have entered into employment and non-competition agreements with all of our executive officers, certain terms of those agreements may not be enforceable, particularly in light of recent regulatory scrutiny from the U.S. Federal Trade Commission and others, and in any event these agreements do not ensure the continued service of these executive officers. We currently do not maintain “key person” insurance covering any member of our management team. The loss of any of our key management personnel, particularly to competitors, could have a material adverse effect on our business, results of operations, financial condition and cash flows.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resources and time for a project, adjust our pricing terms or effectively manage our asset utilization levels to meet the changing demands of our clients and potential clients, our business, results of operations, financial condition and cash flows may be adversely affected.</w:t>
      </w:r>
    </w:p>
    <w:p>
      <w:pPr>
        <w:spacing w:after="0" w:line="191"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Our profitability is, in part, a function of the efficiency with which we utilize our assets, in particular our people and our operations centers, and the price we can charge for our services. Our asset utilization levels are affected by a number of factors, including our ability to transition employees from completed projects to new assignments, attract, train and retain employees, forecast demand for our services (including potential client terminations or reductions in required resources) and maintain an appropriate headcount in each of our locations, as well as our need to dedicate resources for employee training and development, other typically non-chargeable activities and optimizing our operational infrastructure. If we fail to estimate accurately the resources and time required for a contract, or manage our asset utilization levels, future attrition rates,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207"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In many of our digital operations and solutions contracts we commit to long-term and other pricing structures (such as full-time equivalent-based pricing, fixed-price arrangements, transaction-based and outcome-based pricing) with our clients and therefore bear the risk of cost overruns, completion delays, resource requirements, wage inflation and adverse movements in exchange rates in connection with these contracts. Industry pricing models are evolving, and clients increasingly request alternative pricing models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rather than annual or hourly billing rates. If we make inaccurate assumptions for contracts with such alternative pricing models including pricing for our digital capabilities and complex transformation services or are unable to offer competitive pricing, our profitability may be negatively affected.</w:t>
      </w:r>
    </w:p>
    <w:p>
      <w:pPr>
        <w:spacing w:after="0" w:line="2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6"/>
          <w:szCs w:val="16"/>
          <w:color w:val="auto"/>
        </w:rPr>
        <w:t>We are typically required to process, and sometimes collect and/or store sensitive data, including data regulated by the U.S. Health Insurance Portability and Accountability Act of 1996, as amended, of our clients’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In the United States, several states have enacted or are considering enacting privacy regulations, including, the California Consumer Privacy Act, as amended; and there are several privacy regulations in other jurisdictions, such as the General Data Protection Regulation in the European Union, the International Data Transfer Agreement in the United Kingdom and the Digital Personal Data Protection Act, 2023 in India. These privacy regulations impose privacy and data security compliance obligations and significant penalties for noncompliance. Other countries have enacted or are considering enacting data localization laws that require certain data to stay within their borders. We may also face audits or investigations by one or more domestic or foreign government agencies or our clients pursuant to our contractual obligations relating to our compliance with these regulations. Complying with changing regulatory requirements requires us to incur substantial costs, exposes us to potential regulatory action or litigation, and may require changes to our business practices in certain jurisdictions. As a result, we are subject to various data protection and privacy laws in the countries where we operate, and the failure to comply with such laws could result in significant fines and penalties. In addition, we may not be able to limit our liability to our clients with respect to breaches of our obligation to keep the information we receive from them confidential.</w:t>
      </w:r>
    </w:p>
    <w:p>
      <w:pPr>
        <w:spacing w:after="0" w:line="395" w:lineRule="exact"/>
        <w:rPr>
          <w:sz w:val="20"/>
          <w:szCs w:val="20"/>
          <w:color w:val="auto"/>
        </w:rPr>
      </w:pPr>
    </w:p>
    <w:p>
      <w:pPr>
        <w:jc w:val="both"/>
        <w:ind w:firstLine="403"/>
        <w:spacing w:after="0" w:line="230" w:lineRule="auto"/>
        <w:rPr>
          <w:sz w:val="20"/>
          <w:szCs w:val="20"/>
          <w:color w:val="auto"/>
        </w:rPr>
      </w:pPr>
      <w:r>
        <w:rPr>
          <w:rFonts w:ascii="Times New Roman" w:cs="Times New Roman" w:eastAsia="Times New Roman" w:hAnsi="Times New Roman"/>
          <w:sz w:val="18"/>
          <w:szCs w:val="18"/>
          <w:color w:val="auto"/>
        </w:rPr>
        <w:t>Although we devote substantial resources to protect our information assets and our clients’ confidential information, any network infrastructure is to some extent vulnerable due to rapidly evolving cyberattacks, employee error, malfeasance, or a combination of the foregoing. The remote work solutions that we employ in our hybrid working model may also be limited in their ability to replicate the operational oversight and security controls of our office environments and may pose a higher risk of operational and information security failures. Outside parties may attempt to fraudulently induce employees, users, or clients to disclose sensitive information in order to gain access to our data or our users’ or clients’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client’s security that can be attributed to our fault or is perceived to be our fault), the market perception of the effectiveness of our security measures could be harmed and we could lose users and clients.</w:t>
      </w:r>
    </w:p>
    <w:p>
      <w:pPr>
        <w:spacing w:after="0" w:line="213" w:lineRule="exact"/>
        <w:rPr>
          <w:sz w:val="20"/>
          <w:szCs w:val="20"/>
          <w:color w:val="auto"/>
        </w:rPr>
      </w:pPr>
    </w:p>
    <w:p>
      <w:pPr>
        <w:jc w:val="both"/>
        <w:ind w:firstLine="403"/>
        <w:spacing w:after="0"/>
        <w:rPr>
          <w:sz w:val="20"/>
          <w:szCs w:val="20"/>
          <w:color w:val="auto"/>
        </w:rPr>
      </w:pPr>
      <w:r>
        <w:rPr>
          <w:rFonts w:ascii="Times New Roman" w:cs="Times New Roman" w:eastAsia="Times New Roman" w:hAnsi="Times New Roman"/>
          <w:sz w:val="18"/>
          <w:szCs w:val="18"/>
          <w:color w:val="auto"/>
        </w:rPr>
        <w:t>Security breaches expose us to a risk of loss of sensitive information, lawsuits from our employees, clients or their customers for breaching contractual confidentiality provisions or privacy laws, or investigations and penalties from regulators or criminal prosecution, remediation costs, increased costs for security measures, loss of revenue, damage to our reputation, and potential liability.</w:t>
      </w:r>
    </w:p>
    <w:p>
      <w:pPr>
        <w:spacing w:after="0" w:line="220" w:lineRule="exact"/>
        <w:rPr>
          <w:sz w:val="20"/>
          <w:szCs w:val="20"/>
          <w:color w:val="auto"/>
        </w:rPr>
      </w:pPr>
    </w:p>
    <w:p>
      <w:pPr>
        <w:jc w:val="both"/>
        <w:ind w:firstLine="403"/>
        <w:spacing w:after="0" w:line="285" w:lineRule="auto"/>
        <w:rPr>
          <w:sz w:val="20"/>
          <w:szCs w:val="20"/>
          <w:color w:val="auto"/>
        </w:rPr>
      </w:pPr>
      <w:r>
        <w:rPr>
          <w:rFonts w:ascii="Times New Roman" w:cs="Times New Roman" w:eastAsia="Times New Roman" w:hAnsi="Times New Roman"/>
          <w:sz w:val="16"/>
          <w:szCs w:val="16"/>
          <w:color w:val="auto"/>
        </w:rPr>
        <w:t>Further, growth in state sponsored cyber activity, including the increased rate of cyberattacks arising from the Russia-Ukraine conflict and the risk that these cyberattacks could spread globally, showcases the increasing sophistication of cyber threats and could dramatically expand the global threat landscape. If a material security breach or incident occurs with respect to a cloud services provider, our clients and potential clients may lose trust in cloud solutions generally, and with respect to security in particular. This could adversely impact our ability to retain existing clients or attract new clients, which, in turn, could have a serious impact on our reputation. Although we have not experienced a material incident to date, there can be no assurance that these measures will prevent or limit the impact of a future incident. We may incur significant costs in protecting against or remediating cyberattacks or other cyber incidents.</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party vendors and partners to deliver services and components for client critical services, which exposes us to a variety of risks that could have a material adverse effect on our business.</w:t>
      </w:r>
    </w:p>
    <w:p>
      <w:pPr>
        <w:spacing w:after="0" w:line="192"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w:t>
      </w:r>
    </w:p>
    <w:p>
      <w:pPr>
        <w:spacing w:after="0" w:line="195" w:lineRule="exact"/>
        <w:rPr>
          <w:sz w:val="20"/>
          <w:szCs w:val="20"/>
          <w:color w:val="auto"/>
        </w:rPr>
      </w:pPr>
    </w:p>
    <w:p>
      <w:pPr>
        <w:jc w:val="both"/>
        <w:ind w:firstLine="403"/>
        <w:spacing w:after="0" w:line="283" w:lineRule="auto"/>
        <w:rPr>
          <w:sz w:val="20"/>
          <w:szCs w:val="20"/>
          <w:color w:val="auto"/>
        </w:rPr>
      </w:pPr>
      <w:r>
        <w:rPr>
          <w:rFonts w:ascii="Times New Roman" w:cs="Times New Roman" w:eastAsia="Times New Roman" w:hAnsi="Times New Roman"/>
          <w:sz w:val="16"/>
          <w:szCs w:val="16"/>
          <w:color w:val="auto"/>
        </w:rPr>
        <w:t>We depend on certain significant vendors and partners for software, technology and data communications, related equipment and its maintenance, and third party components that we use to deliver our services, including cloud services. Our offshore operations centers require us to maintain active voice and data communications among our operations centers, our technology and data hubs and our clients’ offices. Although we maintain our facilities and communications links with business continuity and disaster recovery plans, disruptions could result from, among other things, technical breakdowns, computer glitches and viruses and weather conditions. Any performance failure on the part of our vendors or partners, or the discontinuance by such vendors or partners of services that we rely on them to perform, could delay our performance, or require us to engage alternative third parties to perform the services at our cost or to perform the services ourselves, any of which could result in a negative impact on our reputation, a loss of revenue or adversely impact our cash flows and profitability.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wage increases may prevent us from sustaining our competitive advantage and may reduce our profit margin.</w:t>
      </w:r>
    </w:p>
    <w:p>
      <w:pPr>
        <w:spacing w:after="0" w:line="244"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Our most significant costs are the salaries and related benefits of our operations staff and other employees. For example, wage costs in India and the Philippines have historically been significantly lower than wage costs in the United States, the United Kingdom and Europe for comparably skilled professionals, and having a significant number of our employees in those lower wage costs countries has been one of our competitive advantages. However, because of economic growth in India and the Philippines, increased demand for competitive services from such countries and increased competition for skilled employees, wages for comparably skilled employees are increasing at a faster rate than in the United States, the United Kingdom and Europe. This may reduce our competitive advantage. We also may need to increase the levels of employee compensation more rapidly than in the past to remain competitive in attracting and retaining the quality and number of employees that our business requires. Wages are generally higher for employees performing AI, analytics and digital transformation services than for employees performing digital operations and solutions. As the scale of such services increases, wages as a percentage of revenues may increase. In addition, changes to the labor laws in the countries where we operate may also lead to a substantial increase in our wage costs. To the extent that we are not able to control such costs by our efforts to add capacity in lower wage costs countries or share wage increases with our clients, wage increases may reduce our margins and cash flows.</w:t>
      </w: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192"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Our success depends in part on certain methodologies, practices, tools and technical expertise we utilize in providing our services and solutions. Our intellectual property consists of proprietary and licensed platforms, software, data, databases, methodologies, models, know-how, names, designs, domains, user interfaces, applications and operating procedures, among other materials. We consider many of our business processes and implementation methodologies to be trade secrets or proprietary know-how and confidential information. We seek to protect our intellectual property through a combination of patent, trademark, copyright and trade secret laws, as well as through confidentiality procedures and contractual provisions. Clients and business partners typically agree in writing to confidential treatment of our information. Our employees and independent contractors are required to sign work-for-hire and confidentiality covenants as a condition to their employment and engagement, respectively. We also have policies requiring our employees, independent contractors, and associates to respect the intellectual property rights of others, including obtaining appropriate licenses when using, selling or distributing third party materials. However, these measures may not prevent misappropriation or infringement of our intellectual property or proprietary information and a resulting loss of competitive advantage. Additionally, we may not be successful in obtaining or maintaining patents, trademarks or other intellectual property rights protections for which we have applied or may in the future apply.</w:t>
      </w:r>
    </w:p>
    <w:p>
      <w:pPr>
        <w:spacing w:after="0" w:line="216"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contractual provisions, confidentiality procedures, patents, trade secret laws or other means including those set forth above,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218" w:lineRule="exact"/>
        <w:rPr>
          <w:sz w:val="20"/>
          <w:szCs w:val="20"/>
          <w:color w:val="auto"/>
        </w:rPr>
      </w:pPr>
    </w:p>
    <w:p>
      <w:pPr>
        <w:jc w:val="both"/>
        <w:ind w:firstLine="403"/>
        <w:spacing w:after="0" w:line="246" w:lineRule="auto"/>
        <w:rPr>
          <w:sz w:val="20"/>
          <w:szCs w:val="20"/>
          <w:color w:val="auto"/>
        </w:rPr>
      </w:pPr>
      <w:r>
        <w:rPr>
          <w:rFonts w:ascii="Times New Roman" w:cs="Times New Roman" w:eastAsia="Times New Roman" w:hAnsi="Times New Roman"/>
          <w:sz w:val="18"/>
          <w:szCs w:val="18"/>
          <w:color w:val="auto"/>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solutions. We may not be successful in defending against such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 incur significant license, royalty or technology development expenses, or pay significant monetary damages or legal fees and costs. Any such claim for intellectual property infringement may have a material adverse effect on our business, results of operations, financial condition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earn a substantial portion of our revenues from a limited number of clients.</w:t>
      </w:r>
    </w:p>
    <w:p>
      <w:pPr>
        <w:spacing w:after="0" w:line="244"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We have earned and believe that we will continue to earn in the near or foreseeable future a substantial portion of our total revenues from a limited number of large clients. Any change in demand from any of our large clients for any reason could have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material adverse effect on our business, results of operations, financial condition and cash flows. Moreover, the loss of a major client could also impact our reputation in the market, making it more difficult to attract and retain clients more generally.</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manage our rapid infrastructure and personnel growth across countries and changes to our operating model effectively could have a material adverse effect on our business, results of operations, financial condition and cash flows.</w:t>
      </w:r>
    </w:p>
    <w:p>
      <w:pPr>
        <w:spacing w:after="0" w:line="179" w:lineRule="exact"/>
        <w:rPr>
          <w:sz w:val="20"/>
          <w:szCs w:val="20"/>
          <w:color w:val="auto"/>
        </w:rPr>
      </w:pPr>
    </w:p>
    <w:p>
      <w:pPr>
        <w:jc w:val="both"/>
        <w:ind w:firstLine="403"/>
        <w:spacing w:after="0" w:line="261" w:lineRule="auto"/>
        <w:rPr>
          <w:sz w:val="20"/>
          <w:szCs w:val="20"/>
          <w:color w:val="auto"/>
        </w:rPr>
      </w:pPr>
      <w:r>
        <w:rPr>
          <w:rFonts w:ascii="Times New Roman" w:cs="Times New Roman" w:eastAsia="Times New Roman" w:hAnsi="Times New Roman"/>
          <w:sz w:val="16"/>
          <w:szCs w:val="16"/>
          <w:color w:val="auto"/>
        </w:rPr>
        <w:t>We have operations centers across India, the United States, the Philippines, South Africa, Colombia, Bulgaria, Romania, the United Kingdom, the Czech Republic, Mexico and the Republic of Ireland. Our headcount has increased significantly over the past several years. We expect to develop and improve our internal systems in the locations in which we operate in order to address the anticipated continued growth of our business. We continue to look for operations centers at locations outside of our current operating geographies. We have also made changes to our operating model driven by delivery of a significant portion of our services from a hybrid working model, which has led to contraction of our operation centers. Changes in our operating model, such as the foregoing, or other changes to our infrastructure facilities or how we are organized, as the needs and size of our business change, limit our ability to forecast the need to hire additional skilled employees as and when they are required to meet the ongoing needs of our clients, and we may not be able to develop and improve our internal systems. We may not be able to maintain our culture and effectively communicate our core values, policies and procedures, strategies and goals, particularly given our world-wide operations, rate of new hires, and significant percentage of our employees who have the option to work remotely. We also need to manage cultural differences among our employee populations and varying legal and regulatory regimes across jurisdictions, and that may create a risk for employment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3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acquisitions or transactions, which could have a material adverse effect on our business, results of operations, financial condition and cash flows, including the impact from the impairment of goodwill and other intangible assets, if any.</w:t>
      </w:r>
    </w:p>
    <w:p>
      <w:pPr>
        <w:spacing w:after="0" w:line="192" w:lineRule="exact"/>
        <w:rPr>
          <w:sz w:val="20"/>
          <w:szCs w:val="20"/>
          <w:color w:val="auto"/>
        </w:rPr>
      </w:pPr>
    </w:p>
    <w:p>
      <w:pPr>
        <w:jc w:val="both"/>
        <w:ind w:firstLine="403"/>
        <w:spacing w:after="0" w:line="288" w:lineRule="auto"/>
        <w:rPr>
          <w:sz w:val="20"/>
          <w:szCs w:val="20"/>
          <w:color w:val="auto"/>
        </w:rPr>
      </w:pPr>
      <w:r>
        <w:rPr>
          <w:rFonts w:ascii="Times New Roman" w:cs="Times New Roman" w:eastAsia="Times New Roman" w:hAnsi="Times New Roman"/>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identify suitable candidates or close transactions with potential acquisition targets for which we have invested significant time and resources could have a material adverse effect on our financial condition and cash flows.</w:t>
      </w:r>
    </w:p>
    <w:p>
      <w:pPr>
        <w:spacing w:after="0" w:line="18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Acquisitions, including completed acquisitions, involve a number of risks, including diversion of management’s attention, ability to finance the acquisition on attractive terms, failure to retain key personnel or valuable clients,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20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208"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21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In the event that the carrying amount of goodwill and other intangible assets are impaired, as determined by impairment testing that we conduct on at least an annual basis, any such impairment would be charged to earnings in the period of impairment. Because this involves the use of critical accounting estimates, we cannot assure you that future impairment of goodwill and other intangible assets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if we incur financial penalties or legal liability, including with respect to our contractual obligations, in connection with providing our solutions and services.</w:t>
      </w:r>
    </w:p>
    <w:p>
      <w:pPr>
        <w:spacing w:after="0" w:line="179"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Most of our agreements with clients contain service level and performance requirements, including requirements relating to the quality of our services. Failure to consistently meet the service requirements of a client or errors made by our employees in the course of delivering services to our clients could disrupt the client’s business and result in a reduction in revenues or a claim for damages against us.</w:t>
      </w:r>
    </w:p>
    <w:p>
      <w:pPr>
        <w:spacing w:after="0" w:line="220"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globally from other providers and from our clients, who may build shared services centers to perform digital operations and solutions and analytics services themselves, either in-house or other arrangements.</w:t>
      </w:r>
    </w:p>
    <w:p>
      <w:pPr>
        <w:spacing w:after="0" w:line="192" w:lineRule="exact"/>
        <w:rPr>
          <w:sz w:val="20"/>
          <w:szCs w:val="20"/>
          <w:color w:val="auto"/>
        </w:rPr>
      </w:pPr>
    </w:p>
    <w:p>
      <w:pPr>
        <w:jc w:val="both"/>
        <w:ind w:firstLine="403"/>
        <w:spacing w:after="0" w:line="248" w:lineRule="auto"/>
        <w:rPr>
          <w:sz w:val="20"/>
          <w:szCs w:val="20"/>
          <w:color w:val="auto"/>
        </w:rPr>
      </w:pPr>
      <w:r>
        <w:rPr>
          <w:rFonts w:ascii="Times New Roman" w:cs="Times New Roman" w:eastAsia="Times New Roman" w:hAnsi="Times New Roman"/>
          <w:sz w:val="18"/>
          <w:szCs w:val="18"/>
          <w:color w:val="auto"/>
        </w:rPr>
        <w:t>The market for our services is highly competitive, and we expect competition to intensify and increase in the future as more companies enter the market. We face competition globally from other providers. We believe that the principal competitive factors in our markets are breadth and depth of process expertise, offerings, knowledge of industries served, service quality, compliance rigor, global delivery capabilities, pricing, sales and client management capabilities.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215"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These competitors may include entrants from the communications, software and data networking industries or entrants in geographic locations with lower costs than those in which we operate. Some of these existing and potential competitors may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impact our business, results of operations, financial condition and cash flows.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technical disruptions, pandemics and societally created events that could severely disrupt the normal operations of our business and if our risk management, business continuity and disaster recovery plans are not effective, it may adversely affect our business, results of operations, financial condition and cash flows.</w:t>
      </w:r>
    </w:p>
    <w:p>
      <w:pPr>
        <w:spacing w:after="0" w:line="204"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Our operations centers and our data and voice communications, particularly in India, the Philippines and South Africa, may be damaged or disrupted as a result of natural disasters such as earthquakes, floods, volcano eruptions, heavy rains, drought, extreme heat, epidemics or pandemics, such as COVID-19, tsunamis and cyclones, technical disruptions such as electricity or infrastructure breakdowns, including damage to telecommunications cables, computer glitches and electronic viruses or man-made events such as political unrest, terrorist attacks, other acts of violence or war, protests, riots and labor unrest. Such events may lead to the disruption of information systems and telecommunication services or our supply chain for sustained periods. They also may make it difficult or impossible for employees to reach our business locations and for us to deliver our solutions and services.</w:t>
      </w:r>
    </w:p>
    <w:p>
      <w:pPr>
        <w:spacing w:after="0" w:line="219"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In particular, a local or global outbreak of a pandemic, such as the COVID-19 pandemic, may have widespread and unpredictable impacts on global societies, economies, financial markets and business practices. Any pandemic may in the future materially adversely affect us, our clients, employees, contractors, suppliers and business partners, all of may be prevented from conducting business activities as usual, including due to the many and varying health and safety measures in response to such pandemic, including travel restrictions, quarantines, curfews, shelter in place and safer-at-home orders. Measures taken by governmental authorities may in the future disrupt the continuity of our provision of services to our clients and adversely impacted our business, results of operations and financial condition.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Our risk management, business continuity and disaster recovery plans may not be effective at preventing or mitigating the effects of such disruptions, particularly in the case of a catastrophic event. Damage or destruction that interrupts our provision of services could adversely affect our reputation, our relationships with and liability to our clients, our leadership team’s ability to administer and supervise our business or it may cause us to incur substantial additional expenditure to repair or replace damaged equipment or delivery centers. While we currently have commercial liability insurance, our insurance coverage may not be sufficient to cover any such liability or other related costs.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International Nature of Our Business</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transfer pricing arrangements we have for controlled intercompany transactions among our subsidiaries are determined to be inappropriate, our tax liability may increase.</w:t>
      </w:r>
    </w:p>
    <w:p>
      <w:pPr>
        <w:spacing w:after="0" w:line="19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The transfer pricing regulations in the countries we operate in require that controlled intercompany transactions be at arm’s-length. Accordingly, we determine and document pricing for controlled intercompany transactions based on an economic analysis as prescribed in the respective regulations. The tax authorities have jurisdiction to review our transfer pricing. If our transfer pricing is challenged by the authorities, they could assess additional tax, interest and penalties, thereby impacting our profitability and cash flows.</w:t>
      </w:r>
    </w:p>
    <w:p>
      <w:pPr>
        <w:spacing w:after="0" w:line="2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governments in the countries we operate in introduce new unfavorable tax legislation, including legal restrictions for repatriation of our earnings.</w:t>
      </w:r>
    </w:p>
    <w:p>
      <w:pPr>
        <w:spacing w:after="0" w:line="192" w:lineRule="exact"/>
        <w:rPr>
          <w:sz w:val="20"/>
          <w:szCs w:val="20"/>
          <w:color w:val="auto"/>
        </w:rPr>
      </w:pPr>
    </w:p>
    <w:p>
      <w:pPr>
        <w:jc w:val="both"/>
        <w:ind w:firstLine="403"/>
        <w:spacing w:after="0" w:line="331" w:lineRule="auto"/>
        <w:rPr>
          <w:sz w:val="20"/>
          <w:szCs w:val="20"/>
          <w:color w:val="auto"/>
        </w:rPr>
      </w:pPr>
      <w:r>
        <w:rPr>
          <w:rFonts w:ascii="Times New Roman" w:cs="Times New Roman" w:eastAsia="Times New Roman" w:hAnsi="Times New Roman"/>
          <w:sz w:val="16"/>
          <w:szCs w:val="16"/>
          <w:color w:val="auto"/>
        </w:rPr>
        <w:t>We are subject to taxes in the countries we operate in. Our future tax liabilities could be adversely affected by any new unfavorable tax legislative changes in the countries we operate in. We continuously monitor such changes to assess and quantify the potential impacts on our consolidated financial statements.</w:t>
      </w:r>
    </w:p>
    <w:p>
      <w:pPr>
        <w:spacing w:after="0" w:line="137" w:lineRule="exact"/>
        <w:rPr>
          <w:sz w:val="20"/>
          <w:szCs w:val="20"/>
          <w:color w:val="auto"/>
        </w:rPr>
      </w:pPr>
    </w:p>
    <w:p>
      <w:pPr>
        <w:jc w:val="both"/>
        <w:ind w:firstLine="403"/>
        <w:spacing w:after="0" w:line="248" w:lineRule="auto"/>
        <w:rPr>
          <w:sz w:val="20"/>
          <w:szCs w:val="20"/>
          <w:color w:val="auto"/>
        </w:rPr>
      </w:pPr>
      <w:r>
        <w:rPr>
          <w:rFonts w:ascii="Times New Roman" w:cs="Times New Roman" w:eastAsia="Times New Roman" w:hAnsi="Times New Roman"/>
          <w:sz w:val="18"/>
          <w:szCs w:val="18"/>
          <w:color w:val="auto"/>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the potential impacts on our consolidated financial statements.</w:t>
      </w:r>
    </w:p>
    <w:p>
      <w:pPr>
        <w:spacing w:after="0" w:line="200"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established a headquarters for international business in Dublin, Ireland, and qualify for a reduced tax rate subject to certain conditions. We continuously monitor our operations to ensure we continue to qualify for the reduced rate.</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currently operate in the Philippines and Ireland where we will be subject to a minimum tax rate pursuant to the Pillar Two Framework prescribed by Organization for Economic Co-operation and Development (“OECD”). The OECD continues to release additional guidance on the Pillar Two Framework, with implementation generally effective for 2024. We do not anticipate any significant Pillar Two impacts, but will continue to evaluate any changes and potential impact on our consolidated financial statements.</w:t>
      </w:r>
    </w:p>
    <w:p>
      <w:pPr>
        <w:spacing w:after="0" w:line="208" w:lineRule="exact"/>
        <w:rPr>
          <w:sz w:val="20"/>
          <w:szCs w:val="20"/>
          <w:color w:val="auto"/>
        </w:rPr>
      </w:pPr>
    </w:p>
    <w:p>
      <w:pPr>
        <w:jc w:val="both"/>
        <w:ind w:firstLine="403"/>
        <w:spacing w:after="0" w:line="238" w:lineRule="auto"/>
        <w:rPr>
          <w:sz w:val="20"/>
          <w:szCs w:val="20"/>
          <w:color w:val="auto"/>
        </w:rPr>
      </w:pPr>
      <w:r>
        <w:rPr>
          <w:rFonts w:ascii="Times New Roman" w:cs="Times New Roman" w:eastAsia="Times New Roman" w:hAnsi="Times New Roman"/>
          <w:sz w:val="18"/>
          <w:szCs w:val="18"/>
          <w:color w:val="auto"/>
        </w:rPr>
        <w:t>We earn a significant amount of our earnings in countries outside of the United States and we periodically evaluate opportunities to repatriate these earnings to fund our global operations, including acquisitions and debt management. Not all of the undistributed earnings may be available for repatriation due to foreign legal restrictions that require minimum reserves to be maintained in those countries, which may limit our ability to use such earnings across our global operations in the United States or other geographies, where needed. Additionally, as and when we decide to repatriate such earnings, we may have to accrue further taxes associated with such earnings in accordance with local tax laws, rules and regulations in the relevant jurisdictions, which are subject to change from time to time. All of these risks and uncertainties could have a material adverse effect on our business, results of operations, financial condition and cash flows.</w:t>
      </w:r>
    </w:p>
    <w:p>
      <w:pPr>
        <w:spacing w:after="0" w:line="2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the various currencies in which we do business, or the failure of our hedging strategies to mitigate such fluctuations, could have a material adverse effect on our results of operations.</w:t>
      </w:r>
    </w:p>
    <w:p>
      <w:pPr>
        <w:spacing w:after="0" w:line="192" w:lineRule="exact"/>
        <w:rPr>
          <w:sz w:val="20"/>
          <w:szCs w:val="20"/>
          <w:color w:val="auto"/>
        </w:rPr>
      </w:pPr>
    </w:p>
    <w:p>
      <w:pPr>
        <w:jc w:val="both"/>
        <w:ind w:firstLine="403"/>
        <w:spacing w:after="0" w:line="293" w:lineRule="auto"/>
        <w:rPr>
          <w:sz w:val="20"/>
          <w:szCs w:val="20"/>
          <w:color w:val="auto"/>
        </w:rPr>
      </w:pPr>
      <w:r>
        <w:rPr>
          <w:rFonts w:ascii="Times New Roman" w:cs="Times New Roman" w:eastAsia="Times New Roman" w:hAnsi="Times New Roman"/>
          <w:sz w:val="16"/>
          <w:szCs w:val="16"/>
          <w:color w:val="auto"/>
        </w:rPr>
        <w:t>We report our operating results in U.S. dollars, yet a portion of our revenues and expenses are denominated in currencies other than the U.S. dollar. Accordingly, we must translate such revenues and expenses, as well as corresponding assets and liabilities, into U.S. dollars at exchange rates in effect during or at the end of each reporting period, as applicable. As a result, fluctuations in foreign currency exchange rates can adversely affect our results of operations. The exchange rates among the Indian rupee, the Philippine peso, the U.K pound sterling, the South African rand and other currencies in which we incur costs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or earn revenues and the U.S. dollar have changed substantially in recent years and may fluctuate substantially in the future. See Part II, Item 7A, “Quantitative and Qualitative Disclosures About Market Risk.” Additionally, because a majority of our employees are based in India, Philippines and South Africa and paid in Indian rupee or Philippine peso or South African rand, while our revenues are primarily reported in U.S. dollars and U.K. pound sterling, our employee costs as a percentage of revenues may increase or decrease significantly if the exchange rates among the Indian rupee, the Philippine peso, the U.K pound sterling, the South African rand and the U.S. dollar fluctuate significantly.</w:t>
      </w:r>
    </w:p>
    <w:p>
      <w:pPr>
        <w:spacing w:after="0" w:line="21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In addition, conflicts between Russia and Ukraine, and Israel and Hamas, coupled with high inflationary pressures and interest rates, have led the International Monetary Fund to downgrade its outlook for the world economy for 2024. This has led to and may continue to lead to uncertainty over global economic conditions and unpredictable fluctuations in foreign currency exchange rates, and in particular, has impacted and may continue to impact the Indian rupee, the Philippine peso, the U.K pound sterling, the South African rand and other currencies in which we incur expenses.</w:t>
      </w:r>
    </w:p>
    <w:p>
      <w:pPr>
        <w:spacing w:after="0" w:line="195" w:lineRule="exact"/>
        <w:rPr>
          <w:sz w:val="20"/>
          <w:szCs w:val="20"/>
          <w:color w:val="auto"/>
        </w:rPr>
      </w:pPr>
    </w:p>
    <w:p>
      <w:pPr>
        <w:jc w:val="both"/>
        <w:ind w:firstLine="403"/>
        <w:spacing w:after="0" w:line="276" w:lineRule="auto"/>
        <w:rPr>
          <w:sz w:val="20"/>
          <w:szCs w:val="20"/>
          <w:color w:val="auto"/>
        </w:rPr>
      </w:pPr>
      <w:r>
        <w:rPr>
          <w:rFonts w:ascii="Times New Roman" w:cs="Times New Roman" w:eastAsia="Times New Roman" w:hAnsi="Times New Roman"/>
          <w:sz w:val="16"/>
          <w:szCs w:val="16"/>
          <w:color w:val="auto"/>
        </w:rPr>
        <w:t>Although we take steps to hedge a substantial portion of our Indian rupee/U.S. dollar, U.K pound sterling/U.S. dollar, Philippine peso/U.S. dollar and South African rand/U.S.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business, results of operations, financial condition and cash flows.</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Restrictions on visas and work permits may affect our ability to compete for and provide services to clients in the United States and other countries, which could make it more difficult to staff engagements and could increase our costs, which could have an adverse effect on our net income.</w:t>
      </w:r>
    </w:p>
    <w:p>
      <w:pPr>
        <w:spacing w:after="0" w:line="192"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Immigration and work permit laws and regulations in the countries where we have clients are subject to legislative and administrative changes as well as changes in the application of standards and enforcement.</w:t>
      </w:r>
    </w:p>
    <w:p>
      <w:pPr>
        <w:spacing w:after="0" w:line="195"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The ability of some of our executives and employees based in India and other foreign locations to work with and meet clients in the United States and other countries depends on their ability to obtain the necessary visas and work permits. In recent years, immigration authorities, in the United States as well as other countries where our clients are based, have increased the level of scrutiny in granting such visas and work permits, which may be affected by changes in legislation and enforcement due to political and other factors which may be difficult to predict.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United States against our foreign subsidiaries or our executive officers.</w:t>
      </w:r>
    </w:p>
    <w:p>
      <w:pPr>
        <w:spacing w:after="0" w:line="192" w:lineRule="exact"/>
        <w:rPr>
          <w:sz w:val="20"/>
          <w:szCs w:val="20"/>
          <w:color w:val="auto"/>
        </w:rPr>
      </w:pPr>
    </w:p>
    <w:p>
      <w:pPr>
        <w:jc w:val="both"/>
        <w:ind w:firstLine="403"/>
        <w:spacing w:after="0" w:line="293" w:lineRule="auto"/>
        <w:rPr>
          <w:sz w:val="20"/>
          <w:szCs w:val="20"/>
          <w:color w:val="auto"/>
        </w:rPr>
      </w:pPr>
      <w:r>
        <w:rPr>
          <w:rFonts w:ascii="Times New Roman" w:cs="Times New Roman" w:eastAsia="Times New Roman" w:hAnsi="Times New Roman"/>
          <w:sz w:val="16"/>
          <w:szCs w:val="16"/>
          <w:color w:val="auto"/>
        </w:rPr>
        <w:t>Our primary operating subsidiaries are organized outside the United States and some of our executive officers may reside outside of the United States. A substantial portion of our assets are located in India and the Philippines. As a result, you may be unable to effect service of process upon our affiliates who reside in India and the Philippines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including, accreditation or licensing standards that govern our business, and violations of these requirements could harm our business.</w:t>
      </w:r>
    </w:p>
    <w:p>
      <w:pPr>
        <w:spacing w:after="0" w:line="179"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We provide services to clients throughout the world, therefore we and our clients (who sometimes impose those requirements on us) are subject to numerous, and sometimes conflicting, changing and evolving laws and regulations on matters as diverse as import/export controls, content requirements, trade restrictions, tariffs, taxation, sanctions, government affairs, internal and disclosure control obligations, securities regulation, including anti-competition, anti-money-laundering and anti-corruption laws (including the U.S. Foreign Corrupt Practices Act and the U.K. Bribery Act), data privacy and protection, government compliance, wage-and-hour standards, employment and labor relations, health and safety, environmental and human rights, state laws on third party administration services, utilization review services, telemarketing services or state laws on debt collection in the United States and the Financial Services Act in the United Kingdom as well as similar consumer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protection laws in other countries where our clients’ customers are based. The global nature of our operations increases the difficulty of compliance. In addition, we are required under various laws to obtain and maintain accreditations, permits and/or licenses for the conduct of our business in all jurisdictions where we have operations, and, in some cases where our clients receive our services to enable them to comply with applicable regulations or accreditations or licensing standards. Compliance with diverse legal requirements is costly, time-consuming and requires significant resources. Violations of any of these laws or regulations in the conduct of our business, including being unable to maintain our accreditations, licenses or other qualifications while working for our clients, could result in fines, criminal sanctions against us or our officers, prohibitions on doing business or suspension or disqualification from government contracting or contracting with private entities in certain highly regulated industries, damage to our reputation and other unintended consequences such as liability for monetary damages, fines and/or criminal prosecution including in the form of successor liability in certain circumstances for companies we invest in or acquire, unfavorable publicity, or restrictions on our ability to process information and allegations by our clients that we have not performed our contractual obligations and loss of clients.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service our debt or obtain additional financing on competitive terms.</w:t>
      </w:r>
    </w:p>
    <w:p>
      <w:pPr>
        <w:spacing w:after="0" w:line="244" w:lineRule="exact"/>
        <w:rPr>
          <w:sz w:val="20"/>
          <w:szCs w:val="20"/>
          <w:color w:val="auto"/>
        </w:rPr>
      </w:pPr>
    </w:p>
    <w:p>
      <w:pPr>
        <w:jc w:val="both"/>
        <w:ind w:firstLine="403"/>
        <w:spacing w:after="0" w:line="285" w:lineRule="auto"/>
        <w:rPr>
          <w:sz w:val="20"/>
          <w:szCs w:val="20"/>
          <w:color w:val="auto"/>
        </w:rPr>
      </w:pPr>
      <w:r>
        <w:rPr>
          <w:rFonts w:ascii="Times New Roman" w:cs="Times New Roman" w:eastAsia="Times New Roman" w:hAnsi="Times New Roman"/>
          <w:sz w:val="16"/>
          <w:szCs w:val="16"/>
          <w:color w:val="auto"/>
        </w:rPr>
        <w:t>We are party to a credit agreement for our bank debt facility that contains covenants, among other things, requiring maintenance of certain financial ratios and restricting our ability to incur additional indebtedness, create liens, make certain investments and acquisitions, pay dividends, repurchase common shares and make other restricted payments or undertake certain fundamental changes (including, consolidations, liquidations or disposal of certain assets or subsidiaries). The credit agreement provides for a $400 million revolving credit facility including a letter of credit sub-facility and is guaranteed by certain subsidiaries. If we breach any of these covenants and do not cure such breach within the applicable cure periods or obtain a waiver from the lenders, the outstanding indebtedness could be declared immediately due and payable and such acceleration could adversely affect our liquidity and financial condition.</w:t>
      </w:r>
    </w:p>
    <w:p>
      <w:pPr>
        <w:spacing w:after="0" w:line="187"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cash flow from operations provides the primary source of funds for our debt service payments. Given the uncertainty over global economic conditions and regulatory, competitive or other factors outside of our control, including but not limited to conflicts between Russia and Ukraine, and Israel and Hamas, there can be no assurance that business activity will be maintained at our expected level in order to generate the anticipated cash flows from operations. If our cash flow from operations declines, we may not be able to service or refinance our current debt or obtain financing on favorable terms to us or at all, which could adversely affect our business and financial condition. A substantial portion of our floating rate indebtedness is exposed to interest rate fluctuations as only a portion is hedged through interest rate swaps. Accordingly, any adverse change in interest rates due to market conditions or otherwise could increase our cost of funding substantially.</w:t>
      </w:r>
    </w:p>
    <w:p>
      <w:pPr>
        <w:spacing w:after="0" w:line="204"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We may in the future require additional financing to fund one or more acquisitions and may not be able to obtain such additional financing on competitive terms or at all, which could restrict our ability to complete such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continues to be volatile.</w:t>
      </w:r>
    </w:p>
    <w:p>
      <w:pPr>
        <w:spacing w:after="0" w:line="231"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or may experience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the effect of any stock split,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The global stock markets have experienced, and may continue to experience, significant volatility from inflation and high interest rates, which could result in a material adverse effect on our stock price. Furthermore, if we fail to meet expectations relating to future growth and profitability, this may have a materially adverse effect on the trading price of our common stock.</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restated certificate of incorporation and sixth amended and restated by-laws contain certain anti-takeover provisions that could delay or discourage business combinations and takeover attempts that stockholders may consider favorable.</w:t>
      </w:r>
    </w:p>
    <w:p>
      <w:pPr>
        <w:spacing w:after="0" w:line="192"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Our restated certificate of incorporation and sixth amended and restated by-laws (the “by-laws”) contain provisions that may make it more difficult, expensive or otherwise discourage a tender offer or a change in control or takeover attempt by 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third-party that is opposed by our board of directors. These provisions include provisions permitting the board of directors to fill vacancies created by its expansion,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(the “DGCL”). Section 203 of the DGCL may prohibit large stockholders, in particular those owning 15% or more of our outstanding voting stock, from merging or combining with us. These provisions of our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and, because we are also a holding company, we may be unable to pay dividends.</w:t>
      </w:r>
    </w:p>
    <w:p>
      <w:pPr>
        <w:spacing w:after="0" w:line="231"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United States and elsewhere to offshore outsourcing, anti-outsourcing legislation or otherwise.</w:t>
      </w:r>
    </w:p>
    <w:p>
      <w:pPr>
        <w:spacing w:after="0" w:line="192" w:lineRule="exact"/>
        <w:rPr>
          <w:sz w:val="20"/>
          <w:szCs w:val="20"/>
          <w:color w:val="auto"/>
        </w:rPr>
      </w:pPr>
    </w:p>
    <w:p>
      <w:pPr>
        <w:jc w:val="both"/>
        <w:ind w:firstLine="403"/>
        <w:spacing w:after="0" w:line="291" w:lineRule="auto"/>
        <w:rPr>
          <w:sz w:val="20"/>
          <w:szCs w:val="20"/>
          <w:color w:val="auto"/>
        </w:rPr>
      </w:pPr>
      <w:r>
        <w:rPr>
          <w:rFonts w:ascii="Times New Roman" w:cs="Times New Roman" w:eastAsia="Times New Roman" w:hAnsi="Times New Roman"/>
          <w:sz w:val="16"/>
          <w:szCs w:val="16"/>
          <w:color w:val="auto"/>
        </w:rPr>
        <w:t>Offshore outsourcing is a politically sensitive topic in the United States and elsewhere, and many organizations and public figures have publicly expressed concern about a perceived association between offshore outsourcing providers and the loss of jobs in the United States, where the majority of our clients are located, and elsewhere. Current or prospective clients may elect to perform such services themselves or may be discouraged from transferring these services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providers to avoid any negative perception that may be associated with using an offshore provider. Measures aimed at limiting or restricting</w:t>
      </w:r>
    </w:p>
    <w:p>
      <w:pPr>
        <w:spacing w:after="0" w:line="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outsourcing by U.S. companies have been put forward by the U.S. Congress and in state legislatures to address these concerns. If any such measure is enacted, our ability to do business with U.S. clients through our non-U.S. affiliates could be negatively impacted.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19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Global economic and political conditions affect our clients’ businesses and the markets they serve, which are increasingly becoming more interdependent. The domestic and international capital and credit markets have in the past, and may in the future, experience volatility and disruption and uncertainty from geopolitical tensions, inflation, economic tensions, changes in legislation in the various jurisdictions in which we and our clients operate, changes in global trade policies, or global health emergencies or pandemics, which may affect our clients, us directly, or our client industries, and could result in changing demand patterns. Our business largely depends on continued demand for our services. Weakness in the global labor market could also adversely affect the demand for our services and impact our ability to recruit, train and retain qualified employees, resulting in a significant negative impact on our business and results of operations.</w:t>
      </w:r>
    </w:p>
    <w:p>
      <w:pPr>
        <w:spacing w:after="0" w:line="21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Market disruptions may limit our ability to access financing or increase our cost of financing to meet liquidity needs, and affect the ability of our clients to use credit to purchase our services or to make timely payments to us.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192"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(“U.S. GAAP”). The application of U.S. GAAP requires us to make estimates and assumptions about certain items and future events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that affect our reported financial condition, and our accompanying disclosure. Our most critical accounting estimates are described in Part II, Item 7, “Management’s Discussion and Analysis of Financial Condition and Results of Operations” under “Critical Accounting Policies and Estimates.”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fluctuations in the market values of our investment and derivatives portfolios.</w:t>
      </w:r>
    </w:p>
    <w:p>
      <w:pPr>
        <w:spacing w:after="0" w:line="244"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Any deterioration of the credit and capital markets in the United States, the United Kingdom, Europe,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244"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United States,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192"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New and changing laws, regulations and standards relating to accounting, corporate governance, sustainability and public disclosure, other SEC regulations, rules and regulations of the Consumer Financial Protection Bureau, the Nasdaq Stock Market LLC (or equivalent or other exchange on which our common stock may be listed), the Public Company Accounting Oversight Board, generally accepted accounting principles issued by Financial Accounting Standard Board, and state law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87" w:lineRule="exact"/>
        <w:rPr>
          <w:sz w:val="20"/>
          <w:szCs w:val="20"/>
          <w:color w:val="auto"/>
        </w:rPr>
      </w:pPr>
    </w:p>
    <w:p>
      <w:pPr>
        <w:jc w:val="both"/>
        <w:ind w:firstLine="403"/>
        <w:spacing w:after="0" w:line="247" w:lineRule="auto"/>
        <w:rPr>
          <w:sz w:val="20"/>
          <w:szCs w:val="20"/>
          <w:color w:val="auto"/>
        </w:rPr>
      </w:pPr>
      <w:r>
        <w:rPr>
          <w:rFonts w:ascii="Times New Roman" w:cs="Times New Roman" w:eastAsia="Times New Roman" w:hAnsi="Times New Roman"/>
          <w:sz w:val="18"/>
          <w:szCs w:val="18"/>
          <w:color w:val="auto"/>
        </w:rPr>
        <w:t>In particular, federal securities laws require us to maintain internal controls over financial reporting. Effective internal controls are necessary for us to provide reliable and accurate financial information and to effectively prevent fraud. We devote significant financial and managerial resources and time to comply with the internal control over financial reporting requirements and continue to enhance our controls. Internal control over financial reporting has inherent limitations, including human error, sample-based testing, the possibility that controls could be circumvented or become inadequate because of changed conditions, unidentified controls, and fraud, which might not prevent or detect all misstatements or fraud, and could result in adverse consequences to us, including, but not limited to, a loss of investor confidence in the reliability of our financial results, which could cause the market price of our stock to decline. While we do not anticipate any material weaknesses in our internal controls framework, we cannot be certain that we will be able to prevent future significant deficiencies or material weaknesses.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commitments and disclosures may expose us to reputational risks and legal liability.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ind w:firstLine="473"/>
        <w:spacing w:after="0" w:line="235" w:lineRule="auto"/>
        <w:rPr>
          <w:sz w:val="20"/>
          <w:szCs w:val="20"/>
          <w:color w:val="auto"/>
        </w:rPr>
      </w:pPr>
      <w:r>
        <w:rPr>
          <w:rFonts w:ascii="Times New Roman" w:cs="Times New Roman" w:eastAsia="Times New Roman" w:hAnsi="Times New Roman"/>
          <w:sz w:val="18"/>
          <w:szCs w:val="18"/>
          <w:color w:val="auto"/>
        </w:rPr>
        <w:t>Our brand and reputation are also associated with our public commitments to various corporate sustainability initiatives. Our disclosures on these matters and any failure or perceived failure to achieve or accurately report on our commitments, could harm our reputation. In addition, positions we take or do not take on social issues may be unpopular with some of our employees, our existing and potential clients and investors, governments, media or advocacy groups, which may impact our ability to attract or retain employees or the demand for our services. We also may choose not to conduct business with potential clients or discontinue or not expand business with existing clients due to these positions.</w:t>
      </w:r>
    </w:p>
    <w:p>
      <w:pPr>
        <w:spacing w:after="0" w:line="209" w:lineRule="exact"/>
        <w:rPr>
          <w:sz w:val="20"/>
          <w:szCs w:val="20"/>
          <w:color w:val="auto"/>
        </w:rPr>
      </w:pPr>
    </w:p>
    <w:p>
      <w:pPr>
        <w:jc w:val="both"/>
        <w:ind w:firstLine="473"/>
        <w:spacing w:after="0" w:line="232" w:lineRule="auto"/>
        <w:rPr>
          <w:sz w:val="20"/>
          <w:szCs w:val="20"/>
          <w:color w:val="auto"/>
        </w:rPr>
      </w:pPr>
      <w:r>
        <w:rPr>
          <w:rFonts w:ascii="Times New Roman" w:cs="Times New Roman" w:eastAsia="Times New Roman" w:hAnsi="Times New Roman"/>
          <w:sz w:val="18"/>
          <w:szCs w:val="18"/>
          <w:color w:val="auto"/>
        </w:rPr>
        <w:t>Increasing focus on sustainability matters has resulted in, and is expected to continue to result in, the adoption of new laws and regulations and reporting requirements and if these are more stringent than the current requirements, we may experience increased compliance burdens and costs to meet such obligations. In addition, our selection of voluntary disclosure frameworks and standards, and the interpretation or application of those frameworks and standards, may change from time to time or may not meet the expectations of investors or other stakeholders. Our ability to achieve our sustainability commitments, including our goals relating to sustainability, inclusion and diversity, is subject to numerous risks, many of which are outside of our control.</w:t>
      </w:r>
    </w:p>
    <w:p>
      <w:pPr>
        <w:spacing w:after="0" w:line="209" w:lineRule="exact"/>
        <w:rPr>
          <w:sz w:val="20"/>
          <w:szCs w:val="20"/>
          <w:color w:val="auto"/>
        </w:rPr>
      </w:pPr>
    </w:p>
    <w:p>
      <w:pPr>
        <w:jc w:val="both"/>
        <w:ind w:firstLine="473"/>
        <w:spacing w:after="0" w:line="233" w:lineRule="auto"/>
        <w:rPr>
          <w:sz w:val="20"/>
          <w:szCs w:val="20"/>
          <w:color w:val="auto"/>
        </w:rPr>
      </w:pPr>
      <w:r>
        <w:rPr>
          <w:rFonts w:ascii="Times New Roman" w:cs="Times New Roman" w:eastAsia="Times New Roman" w:hAnsi="Times New Roman"/>
          <w:sz w:val="18"/>
          <w:szCs w:val="18"/>
          <w:color w:val="auto"/>
        </w:rPr>
        <w:t>In addition, standards for tracking and reporting on sustainability matters have not been harmonized and continue to evolve.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 Our processes and controls for reporting sustainability matters across our operations and supply chain are evolving along with multiple disparate standards for identifying, measuring, and reporting sustainability metrics, including sustainability-related disclosures that may be required by the SEC and other regulators, including state, and such standards may change over time, which could result in significant revisions to our current goals, reported progress in achieving such goals, or ability to achieve such goals in the future.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2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We maintain a comprehensive information and cybersecurity and data privacy program to safeguard the security, confidentiality, integrity, availability and protection of the Company’s and our clients’ information. We aim to continually strengthen our cybersecurity posture and protocols. We have invested in people, processes and technology intended to protect information throughout the business life cycle and to manage cybersecurity risk, and we intend to continue to do so as cybersecurity risks and methods for preventing against them evolve. We provide no assurance that the policies and procedures outlined below will be properly followed in every instance or that they will be effective in safeguarding against every possible cybersecurity threat.</w:t>
      </w:r>
    </w:p>
    <w:p>
      <w:pPr>
        <w:spacing w:after="0" w:line="22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describe how cybersecurity threats are likely to materially affect our business, results of operations, and financial conditions in Part I, Item 1A, “Risk Factors.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We believe that these risks have not materially affected our business to date, but we can provide no assurance that they will not affect us in the future. Although we maintain cybersecurity insurance to manage potential liabilities resulting from specific cybersecurity incidents, there is no guarantee that our insurance coverage limits will protect against any future claims or that such insurance proceeds will be paid to us in a timely manne</w:t>
      </w:r>
      <w:r>
        <w:rPr>
          <w:rFonts w:ascii="Arial" w:cs="Arial" w:eastAsia="Arial" w:hAnsi="Arial"/>
          <w:sz w:val="18"/>
          <w:szCs w:val="18"/>
          <w:color w:val="auto"/>
        </w:rPr>
        <w:t>r</w:t>
      </w:r>
      <w:r>
        <w:rPr>
          <w:rFonts w:ascii="Times New Roman" w:cs="Times New Roman" w:eastAsia="Times New Roman" w:hAnsi="Times New Roman"/>
          <w:sz w:val="18"/>
          <w:szCs w:val="18"/>
          <w:color w:val="auto"/>
        </w:rPr>
        <w:t>. See “Risks Related to Our Business-Unauthorized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Strategy and Risk Management</w:t>
      </w:r>
    </w:p>
    <w:p>
      <w:pPr>
        <w:spacing w:after="0" w:line="24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Our cybersecurity strategy is founded on policies, processes and practices that are integrated into our overall risk management system. These policies, processes and practices are aimed at building a cyber-resilient organization by implementing and operationalizing cybersecurity capabilities to identify, protect, detect, respond and recover from cybersecurity threats and incidents and are guided by relevant regulatory and governance bodies, including but not limited to the Cyber Security Framework of the National Institute of Standards and Technology. We have undertaken measures designed to comply with applicable privacy laws and regulations that are applicable to our services. These security capabilities are designed to mitigate material vulnerabilities and the impact of cyber incidents.</w:t>
      </w:r>
    </w:p>
    <w:p>
      <w:pPr>
        <w:spacing w:after="0" w:line="215" w:lineRule="exact"/>
        <w:rPr>
          <w:sz w:val="20"/>
          <w:szCs w:val="20"/>
          <w:color w:val="auto"/>
        </w:rPr>
      </w:pPr>
    </w:p>
    <w:p>
      <w:pPr>
        <w:jc w:val="both"/>
        <w:ind w:firstLine="385"/>
        <w:spacing w:after="0" w:line="252" w:lineRule="auto"/>
        <w:rPr>
          <w:sz w:val="20"/>
          <w:szCs w:val="20"/>
          <w:color w:val="auto"/>
        </w:rPr>
      </w:pPr>
      <w:r>
        <w:rPr>
          <w:rFonts w:ascii="Times New Roman" w:cs="Times New Roman" w:eastAsia="Times New Roman" w:hAnsi="Times New Roman"/>
          <w:sz w:val="18"/>
          <w:szCs w:val="18"/>
          <w:color w:val="auto"/>
        </w:rPr>
        <w:t>We regularly conduct cybersecurity and other risk assessments and compliance audits both internally and through third party auditors that we independently engage or that we engage in connection with our certification to certain international standards, such as the ISO 27001:2013 standard for information security management systems, the ISO 22301:2012 for business continuity management systems, the ISO 9001:2008 standard for quality management systems, among others. We also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regularly assess and deploy technical safeguards and conduct vulnerability assessment and penetration testing of our technology environment independently and through third parties. We use the outcome of these assessments to align our cybersecurity program and technical safeguards with the evolving cybersecurity threat landscape and adjust and augment our security controls environment as required.</w:t>
      </w:r>
    </w:p>
    <w:p>
      <w:pPr>
        <w:spacing w:after="0" w:line="205"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We have implemented a third-party risk management program to proactively identify and mitigate any potential risks that emerge from our supplier and partner ecosystem. There are processes in place to restrict and provide need-based access to sensitive or confidential data for third parties. We conduct periodic evaluations of key suppliers and partners for ongoing monitoring of the risk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Response and Recovery Planning</w:t>
      </w:r>
    </w:p>
    <w:p>
      <w:pPr>
        <w:spacing w:after="0" w:line="242" w:lineRule="exact"/>
        <w:rPr>
          <w:sz w:val="20"/>
          <w:szCs w:val="20"/>
          <w:color w:val="auto"/>
        </w:rPr>
      </w:pPr>
    </w:p>
    <w:p>
      <w:pPr>
        <w:jc w:val="both"/>
        <w:ind w:firstLine="385"/>
        <w:spacing w:after="0" w:line="249" w:lineRule="auto"/>
        <w:rPr>
          <w:sz w:val="20"/>
          <w:szCs w:val="20"/>
          <w:color w:val="auto"/>
        </w:rPr>
      </w:pPr>
      <w:r>
        <w:rPr>
          <w:rFonts w:ascii="Times New Roman" w:cs="Times New Roman" w:eastAsia="Times New Roman" w:hAnsi="Times New Roman"/>
          <w:sz w:val="18"/>
          <w:szCs w:val="18"/>
          <w:color w:val="auto"/>
        </w:rPr>
        <w:t>While processes are in place to minimize the occurrence of a successful cyberattack, we have institutionalized detailed incident response procedures to address a cyber threat that may occur despite these safeguards. The response procedures are designed to identify, analyze, isolate and contain, remediate, and, if applicable, report any such material cyber incidents that occur. We have developed a materiality assessment approach for cyber and a cyber crisis communication methodology for structured and timely notification to internal and external stakeholders. Further, we have empaneled specialized cyber partners to provide advanced investigation capabilities and response management support in case of a real cyber incident.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Awareness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maintain a comprehensive information and cybersecurity awareness and training program for all employees and contracted resources. This includes a</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mandatory annual information security training, periodic simulations such as red teaming and tabletops, regular communications on relevant topics and policies related to data privacy, phishing, email security best practices, among others. We provide specialized security training for certain roles with access to sensitive data, including human resources or employees who regularly handle personal or sensitive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(Management Oversight and Engagement with the Board of Directors)</w:t>
      </w:r>
    </w:p>
    <w:p>
      <w:pPr>
        <w:spacing w:after="0" w:line="242"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Cybersecurity is governed by our cross-functional apex body, the Management Security, Continuity and Privacy Forum (“MSCPF”), comprised of management representatives across all of our business units and enterprise functions such as Legal, Human Resource, Growth and Strategy, Compliance, Technology and Information Security. The MSCPF periodically reviews the strategy, policy, program effectiveness, standards development, cybersecurity risks, incident, and response preparedness.</w:t>
      </w:r>
    </w:p>
    <w:p>
      <w:pPr>
        <w:spacing w:after="0" w:line="208"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Audit Committee of our board of directors provides primary oversight and strategic guidance on Cybersecurity. The Audit Committee receives reports from management, typically on a quarterly basis, regarding our security risk management, including cybersecurity-related risks, vulnerabilities, policies, practices, and strategic initiatives. Annually, our board of directors receives a report from management on our cybersecurity posture, our readiness and our capability to reduce the risk of, detect and respond to a cyberattack. In 2022 and 2023, our senior management and board of directors completed cyber tabletop exercises to further enhance our preparedness in the event of an actual incident.</w:t>
      </w:r>
    </w:p>
    <w:p>
      <w:pPr>
        <w:spacing w:after="0" w:line="1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50"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We have multiple operations centers spread across India, the Philippines, South Africa, Columbia, Bulgaria, Romania, the United Kingdom, the Czech Republic, Mexico and the Republic of Ireland with an aggregate area of approximately 1,579,000 square feet and a current installed capacity of approximately 24,800 workstations, including workstations for training and our employees in enabling functions. We also have multiple operations centers and regional offices in the United States.</w:t>
      </w:r>
    </w:p>
    <w:p>
      <w:pPr>
        <w:spacing w:after="0" w:line="1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corporate headquarters and all of our operations centers are leased under long-term leases with varying expiration dates, except for an operations center in Pune, India with an area of 86,361 sq. ft. and containing approximately 1,670 agent workstations, which we own. Substantially all of our owned and leased property is used to service all of our reporting segments.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believe that our current facilities are adequate to support our existing operations, however we continue to optimize our existing network of operations centers to service our client, drive efficiencies and adapting the hybrid working model. We also believe that we will be able to obtain suitable additional facilities on commercially reasonable terms on an “as needed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 to our consolidated financial statements under Part II, Item 8, “Financial Statements and Supplementary Data” for details regarding our tax proceedings.</w:t>
      </w:r>
    </w:p>
    <w:p>
      <w:pPr>
        <w:spacing w:after="0" w:line="2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“EXLS.”</w:t>
      </w:r>
    </w:p>
    <w:p>
      <w:pPr>
        <w:spacing w:after="0" w:line="1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February 27, 2024, there were 9 holders of record of our outstanding common stock. A substantially greater number of holders of our common stock are “street name” or beneficial holders, whose shares of record are held by banks, brokers, and other financial institutions.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3"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5, 2021, our board of directors authorized a $300 million (excluding excise tax) common stock repurchase program beginning January 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(the “2022 Repurchase Program”).</w:t>
      </w:r>
    </w:p>
    <w:p>
      <w:pPr>
        <w:spacing w:after="0" w:line="194"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Under the 2022 Repurchase Program, shares may be purchased by us from time to time from the open market and through private transactions, or otherwise, as determined by our management as market conditions warrant. We have structured open market purchases under the 2022 Repurchase Program to comply with Rule 10b-18 under the Exchange Act. Repurchases may be discontinued at any time by our management.</w:t>
      </w:r>
    </w:p>
    <w:p>
      <w:pPr>
        <w:spacing w:after="0" w:line="14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Repurchased shares are recorded as treasury shares and are held until our board of directors designates that these shares be retired or used for other purposes.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December 31, 2023, purchases of common stock were as follows:</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79" w:lineRule="exact"/>
        <w:rPr>
          <w:sz w:val="20"/>
          <w:szCs w:val="20"/>
          <w:color w:val="auto"/>
        </w:rPr>
      </w:pPr>
    </w:p>
    <w:p>
      <w:pPr>
        <w:ind w:left="200"/>
        <w:spacing w:after="0" w:line="231" w:lineRule="auto"/>
        <w:rPr>
          <w:sz w:val="20"/>
          <w:szCs w:val="20"/>
          <w:color w:val="auto"/>
        </w:rPr>
      </w:pPr>
      <w:r>
        <w:rPr>
          <w:rFonts w:ascii="Times New Roman" w:cs="Times New Roman" w:eastAsia="Times New Roman" w:hAnsi="Times New Roman"/>
          <w:sz w:val="18"/>
          <w:szCs w:val="18"/>
          <w:color w:val="auto"/>
        </w:rPr>
        <w:t>October 1, 2023 through October 31, 2023</w:t>
      </w:r>
    </w:p>
    <w:p>
      <w:pPr>
        <w:spacing w:after="0" w:line="9" w:lineRule="exact"/>
        <w:rPr>
          <w:sz w:val="20"/>
          <w:szCs w:val="20"/>
          <w:color w:val="auto"/>
        </w:rPr>
      </w:pPr>
    </w:p>
    <w:p>
      <w:pPr>
        <w:ind w:left="200" w:right="440"/>
        <w:spacing w:after="0" w:line="265" w:lineRule="auto"/>
        <w:rPr>
          <w:sz w:val="20"/>
          <w:szCs w:val="20"/>
          <w:color w:val="auto"/>
        </w:rPr>
      </w:pPr>
      <w:r>
        <w:rPr>
          <w:rFonts w:ascii="Times New Roman" w:cs="Times New Roman" w:eastAsia="Times New Roman" w:hAnsi="Times New Roman"/>
          <w:sz w:val="16"/>
          <w:szCs w:val="16"/>
          <w:color w:val="auto"/>
        </w:rPr>
        <w:t>November 1, 2023 through November 30, 2023</w:t>
      </w:r>
    </w:p>
    <w:p>
      <w:pPr>
        <w:spacing w:after="0" w:line="1" w:lineRule="exact"/>
        <w:rPr>
          <w:sz w:val="20"/>
          <w:szCs w:val="20"/>
          <w:color w:val="auto"/>
        </w:rPr>
      </w:pPr>
    </w:p>
    <w:p>
      <w:pPr>
        <w:ind w:left="200" w:right="460"/>
        <w:spacing w:after="0" w:line="280" w:lineRule="auto"/>
        <w:rPr>
          <w:sz w:val="20"/>
          <w:szCs w:val="20"/>
          <w:color w:val="auto"/>
        </w:rPr>
      </w:pPr>
      <w:r>
        <w:rPr>
          <w:rFonts w:ascii="Times New Roman" w:cs="Times New Roman" w:eastAsia="Times New Roman" w:hAnsi="Times New Roman"/>
          <w:sz w:val="16"/>
          <w:szCs w:val="16"/>
          <w:color w:val="auto"/>
        </w:rPr>
        <w:t>December 1, 2023 through December 31, 2023</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Shares Purchased from Employees in</w:t>
            </w:r>
          </w:p>
        </w:tc>
        <w:tc>
          <w:tcPr>
            <w:tcW w:w="24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 Purchased as Part of Publicly</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860" w:type="dxa"/>
            <w:vAlign w:val="bottom"/>
            <w:gridSpan w:val="5"/>
            <w:vMerge w:val="restart"/>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connection with satisfaction of Withholding</w:t>
            </w:r>
          </w:p>
        </w:tc>
        <w:tc>
          <w:tcPr>
            <w:tcW w:w="2480" w:type="dxa"/>
            <w:vAlign w:val="bottom"/>
            <w:gridSpan w:val="5"/>
            <w:vMerge w:val="continue"/>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860" w:type="dxa"/>
            <w:vAlign w:val="bottom"/>
            <w:gridSpan w:val="5"/>
            <w:vMerge w:val="continue"/>
          </w:tcPr>
          <w:p>
            <w:pPr>
              <w:spacing w:after="0"/>
              <w:rPr>
                <w:sz w:val="5"/>
                <w:szCs w:val="5"/>
                <w:color w:val="auto"/>
              </w:rPr>
            </w:pPr>
          </w:p>
        </w:tc>
        <w:tc>
          <w:tcPr>
            <w:tcW w:w="24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31"/>
        </w:trPr>
        <w:tc>
          <w:tcPr>
            <w:tcW w:w="2860" w:type="dxa"/>
            <w:vAlign w:val="bottom"/>
            <w:gridSpan w:val="5"/>
          </w:tcPr>
          <w:p>
            <w:pPr>
              <w:ind w:left="900"/>
              <w:spacing w:after="0" w:line="131" w:lineRule="exact"/>
              <w:rPr>
                <w:sz w:val="20"/>
                <w:szCs w:val="20"/>
                <w:color w:val="auto"/>
              </w:rPr>
            </w:pPr>
            <w:r>
              <w:rPr>
                <w:rFonts w:ascii="Times New Roman" w:cs="Times New Roman" w:eastAsia="Times New Roman" w:hAnsi="Times New Roman"/>
                <w:sz w:val="14"/>
                <w:szCs w:val="14"/>
                <w:b w:val="1"/>
                <w:bCs w:val="1"/>
                <w:color w:val="auto"/>
              </w:rPr>
              <w:t>Tax Obligations</w:t>
            </w:r>
          </w:p>
        </w:tc>
        <w:tc>
          <w:tcPr>
            <w:tcW w:w="248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1"/>
                <w:szCs w:val="11"/>
                <w:b w:val="1"/>
                <w:bCs w:val="1"/>
                <w:color w:val="auto"/>
              </w:rPr>
              <w:t>Total Number of</w:t>
            </w:r>
          </w:p>
        </w:tc>
        <w:tc>
          <w:tcPr>
            <w:tcW w:w="16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of Shares That May Yet Be</w:t>
            </w:r>
          </w:p>
        </w:tc>
        <w:tc>
          <w:tcPr>
            <w:tcW w:w="0" w:type="dxa"/>
            <w:vAlign w:val="bottom"/>
          </w:tcPr>
          <w:p>
            <w:pPr>
              <w:spacing w:after="0"/>
              <w:rPr>
                <w:sz w:val="1"/>
                <w:szCs w:val="1"/>
                <w:color w:val="auto"/>
              </w:rPr>
            </w:pPr>
          </w:p>
        </w:tc>
      </w:tr>
      <w:tr>
        <w:trPr>
          <w:trHeight w:val="145"/>
        </w:trPr>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12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16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31"/>
        </w:trPr>
        <w:tc>
          <w:tcPr>
            <w:tcW w:w="1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85"/>
        </w:trPr>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0"/>
        </w:trPr>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227,287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227,287</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131,632,598</w:t>
            </w:r>
          </w:p>
        </w:tc>
        <w:tc>
          <w:tcPr>
            <w:tcW w:w="0" w:type="dxa"/>
            <w:vAlign w:val="bottom"/>
          </w:tcPr>
          <w:p>
            <w:pPr>
              <w:spacing w:after="0"/>
              <w:rPr>
                <w:sz w:val="1"/>
                <w:szCs w:val="1"/>
                <w:color w:val="auto"/>
              </w:rPr>
            </w:pPr>
          </w:p>
        </w:tc>
      </w:tr>
      <w:tr>
        <w:trPr>
          <w:trHeight w:val="407"/>
        </w:trPr>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533,050</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117,014,194</w:t>
            </w:r>
          </w:p>
        </w:tc>
        <w:tc>
          <w:tcPr>
            <w:tcW w:w="0" w:type="dxa"/>
            <w:vAlign w:val="bottom"/>
          </w:tcPr>
          <w:p>
            <w:pPr>
              <w:spacing w:after="0"/>
              <w:rPr>
                <w:sz w:val="1"/>
                <w:szCs w:val="1"/>
                <w:color w:val="auto"/>
              </w:rPr>
            </w:pPr>
          </w:p>
        </w:tc>
      </w:tr>
      <w:tr>
        <w:trPr>
          <w:trHeight w:val="408"/>
        </w:trPr>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365,495</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106,063,003</w:t>
            </w:r>
          </w:p>
        </w:tc>
        <w:tc>
          <w:tcPr>
            <w:tcW w:w="0" w:type="dxa"/>
            <w:vAlign w:val="bottom"/>
          </w:tcPr>
          <w:p>
            <w:pPr>
              <w:spacing w:after="0"/>
              <w:rPr>
                <w:sz w:val="1"/>
                <w:szCs w:val="1"/>
                <w:color w:val="auto"/>
              </w:rPr>
            </w:pPr>
          </w:p>
        </w:tc>
      </w:tr>
      <w:tr>
        <w:trPr>
          <w:trHeight w:val="217"/>
        </w:trPr>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1,125,832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1,125,832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-441960</wp:posOffset>
            </wp:positionV>
            <wp:extent cx="6902450" cy="258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2450" cy="258445"/>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-967740</wp:posOffset>
            </wp:positionV>
            <wp:extent cx="6902450" cy="267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2450" cy="267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240"/>
            <w:col w:w="8460"/>
          </w:cols>
          <w:pgMar w:left="320" w:top="356" w:right="339" w:bottom="1440" w:gutter="0" w:footer="0" w:header="0"/>
          <w:type w:val="continuous"/>
        </w:sectPr>
      </w:pPr>
    </w:p>
    <w:p>
      <w:pPr>
        <w:spacing w:after="0" w:line="3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2023, we purchased 4,127,451 shares of our common stock for an aggregate purchase consideration of $125.4 million, including commission and excluding excise tax, representing an average purchase price per share of $30.39.</w:t>
      </w:r>
    </w:p>
    <w:p>
      <w:pPr>
        <w:spacing w:after="0" w:line="11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purchased 237,047 shares from employees in connection with withholding tax payments related to the vesting of restricted stock units for an aggregate purchase consideration of $7.9 million. The weighted average purchase price of $33.13 was the closing price of our shares of our common stock on the Nasdaq Global Select Market on the trading day prior to the vesting date of the restricted stock units.</w:t>
      </w:r>
    </w:p>
    <w:p>
      <w:pPr>
        <w:spacing w:after="0" w:line="113"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Pursuant to the Inflation Reduction Act, effective January 1, 2023, we are required to pay a 1% excise tax on the fair market value of each share of common stock repurchased, net of stock issuances.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with respect to the shares of our common stock that may be issued under our existing equity compensation plans. For a description of our equity compensation plans, see Note 23 - Stock-Based Compensation to our consolidated financial statements under Part II, Item 8, “Financial Statements and Supplementary Data.”</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2" w:lineRule="exact"/>
        <w:rPr>
          <w:sz w:val="20"/>
          <w:szCs w:val="20"/>
          <w:color w:val="auto"/>
        </w:rPr>
      </w:pPr>
    </w:p>
    <w:p>
      <w:pPr>
        <w:ind w:left="20" w:right="260"/>
        <w:spacing w:after="0" w:line="231"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20"/>
        <w:spacing w:after="0" w:line="23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16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 be Issued Upon</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Average Exercise</w:t>
            </w: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Exercise/Vesting of</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Price of</w:t>
            </w:r>
          </w:p>
        </w:tc>
        <w:tc>
          <w:tcPr>
            <w:tcW w:w="2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Available for Future</w:t>
            </w: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2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Issuance Under Equity</w:t>
            </w:r>
          </w:p>
        </w:tc>
        <w:tc>
          <w:tcPr>
            <w:tcW w:w="0" w:type="dxa"/>
            <w:vAlign w:val="bottom"/>
          </w:tcPr>
          <w:p>
            <w:pPr>
              <w:spacing w:after="0"/>
              <w:rPr>
                <w:sz w:val="1"/>
                <w:szCs w:val="1"/>
                <w:color w:val="auto"/>
              </w:rPr>
            </w:pPr>
          </w:p>
        </w:tc>
      </w:tr>
      <w:tr>
        <w:trPr>
          <w:trHeight w:val="158"/>
        </w:trPr>
        <w:tc>
          <w:tcPr>
            <w:tcW w:w="22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Options, Warrants and</w:t>
            </w:r>
          </w:p>
        </w:tc>
        <w:tc>
          <w:tcPr>
            <w:tcW w:w="160" w:type="dxa"/>
            <w:vAlign w:val="bottom"/>
          </w:tcPr>
          <w:p>
            <w:pPr>
              <w:spacing w:after="0"/>
              <w:rPr>
                <w:sz w:val="13"/>
                <w:szCs w:val="13"/>
                <w:color w:val="auto"/>
              </w:rPr>
            </w:pPr>
          </w:p>
        </w:tc>
        <w:tc>
          <w:tcPr>
            <w:tcW w:w="20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Options, Warrants and</w:t>
            </w:r>
          </w:p>
        </w:tc>
        <w:tc>
          <w:tcPr>
            <w:tcW w:w="2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Compensation Plans (Excluding Securities</w:t>
            </w:r>
          </w:p>
        </w:tc>
        <w:tc>
          <w:tcPr>
            <w:tcW w:w="0" w:type="dxa"/>
            <w:vAlign w:val="bottom"/>
          </w:tcPr>
          <w:p>
            <w:pPr>
              <w:spacing w:after="0"/>
              <w:rPr>
                <w:sz w:val="1"/>
                <w:szCs w:val="1"/>
                <w:color w:val="auto"/>
              </w:rPr>
            </w:pPr>
          </w:p>
        </w:tc>
      </w:tr>
      <w:tr>
        <w:trPr>
          <w:trHeight w:val="209"/>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6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 Column 1)</w:t>
            </w:r>
          </w:p>
        </w:tc>
        <w:tc>
          <w:tcPr>
            <w:tcW w:w="0" w:type="dxa"/>
            <w:vAlign w:val="bottom"/>
          </w:tcPr>
          <w:p>
            <w:pPr>
              <w:spacing w:after="0"/>
              <w:rPr>
                <w:sz w:val="1"/>
                <w:szCs w:val="1"/>
                <w:color w:val="auto"/>
              </w:rPr>
            </w:pPr>
          </w:p>
        </w:tc>
      </w:tr>
      <w:tr>
        <w:trPr>
          <w:trHeight w:val="388"/>
        </w:trPr>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5,367,317</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24"/>
                <w:szCs w:val="24"/>
                <w:color w:val="auto"/>
              </w:rPr>
            </w:pPr>
          </w:p>
        </w:tc>
        <w:tc>
          <w:tcPr>
            <w:tcW w:w="2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3,249,875</w:t>
            </w:r>
          </w:p>
        </w:tc>
        <w:tc>
          <w:tcPr>
            <w:tcW w:w="0" w:type="dxa"/>
            <w:vAlign w:val="bottom"/>
          </w:tcPr>
          <w:p>
            <w:pPr>
              <w:spacing w:after="0"/>
              <w:rPr>
                <w:sz w:val="1"/>
                <w:szCs w:val="1"/>
                <w:color w:val="auto"/>
              </w:rPr>
            </w:pPr>
          </w:p>
        </w:tc>
      </w:tr>
      <w:tr>
        <w:trPr>
          <w:trHeight w:val="408"/>
        </w:trPr>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5,367,317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18"/>
                <w:szCs w:val="18"/>
                <w:color w:val="auto"/>
              </w:rPr>
            </w:pPr>
          </w:p>
        </w:tc>
        <w:tc>
          <w:tcPr>
            <w:tcW w:w="2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3,249,875</w:t>
            </w: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-700405</wp:posOffset>
            </wp:positionV>
            <wp:extent cx="7110730" cy="258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0730" cy="258445"/>
                    </a:xfrm>
                    <a:prstGeom prst="rect">
                      <a:avLst/>
                    </a:prstGeom>
                    <a:noFill/>
                  </pic:spPr>
                </pic:pic>
              </a:graphicData>
            </a:graphic>
          </wp:anchor>
        </w:drawing>
        <w:drawing>
          <wp:anchor simplePos="0" relativeHeight="251657728" behindDoc="1" locked="0" layoutInCell="0" allowOverlap="1">
            <wp:simplePos x="0" y="0"/>
            <wp:positionH relativeFrom="column">
              <wp:posOffset>-2485390</wp:posOffset>
            </wp:positionH>
            <wp:positionV relativeFrom="paragraph">
              <wp:posOffset>-182880</wp:posOffset>
            </wp:positionV>
            <wp:extent cx="7110730" cy="167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0730" cy="16700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3700" w:space="220"/>
            <w:col w:w="7320"/>
          </w:cols>
          <w:pgMar w:left="320" w:top="356" w:right="339" w:bottom="1440" w:gutter="0" w:footer="0" w:header="0"/>
          <w:type w:val="continuous"/>
        </w:sectPr>
      </w:pPr>
    </w:p>
    <w:p>
      <w:pPr>
        <w:ind w:left="400" w:hanging="395"/>
        <w:spacing w:after="0" w:line="306" w:lineRule="auto"/>
        <w:tabs>
          <w:tab w:leader="none" w:pos="40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This includes outstanding options and unvested restricted stock units, which include time-based restricted stock units and performance-based restricted stock units. See Note 23 - Stock-Based Compensation to our consolidated financial statements under Part II, Item 8, “Financial Statements and Supplementary Data” for further details.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2018.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2018 and that all dividends were reinvested. The stock performance shown on the graph below is not indicative of future price performance.</w:t>
      </w:r>
    </w:p>
    <w:p>
      <w:pPr>
        <w:spacing w:after="0" w:line="13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85090</wp:posOffset>
            </wp:positionV>
            <wp:extent cx="5358130" cy="3922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58130" cy="392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6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You should read the following discussion in connection with our consolidated financial statements and the related notes included elsewhere in this Annual Report on Form 10-K. Some of the statements in the following discussion are forward looking statements.</w:t>
      </w:r>
    </w:p>
    <w:p>
      <w:pPr>
        <w:spacing w:after="0" w:line="116"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All references to years, unless otherwise noted, refer to our fiscal year, which ends on December 31. For example, a reference to “2023” or “fiscal 2023” means the 12-month period that ended on December 31, 2023. All references to quarters, unless otherwise noted, refer to the quarters of our fiscal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3"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12" w:lineRule="exact"/>
        <w:rPr>
          <w:sz w:val="20"/>
          <w:szCs w:val="20"/>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 or any changes in the senior management team;</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employee data;</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deliver services and infrastructure for client critical services;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 and our ability to withstand the loss of a significant client;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14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139" w:lineRule="exact"/>
        <w:rPr>
          <w:rFonts w:ascii="Arial" w:cs="Arial" w:eastAsia="Arial" w:hAnsi="Arial"/>
          <w:sz w:val="21"/>
          <w:szCs w:val="21"/>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such as COVID-19, or acts of violence or war;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operational and information security failures arising as a result of remote work solutions adopted due to COVID-19;</w:t>
      </w:r>
    </w:p>
    <w:p>
      <w:pPr>
        <w:spacing w:after="0" w:line="160"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tax authorities in the geographies where we operate;</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unfavorable tax legislation, including legal restrictions on repatriation of funds held abroad;</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the potential effects of Russian-Ukraine and Israel-Hamas conflicts, rising inflation, high interest rates and economic recessionary trends on currency exchange rates;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147" w:lineRule="exact"/>
        <w:rPr>
          <w:rFonts w:ascii="Times New Roman" w:cs="Times New Roman" w:eastAsia="Times New Roman" w:hAnsi="Times New Roman"/>
          <w:sz w:val="18"/>
          <w:szCs w:val="18"/>
          <w:color w:val="auto"/>
        </w:rPr>
      </w:pPr>
    </w:p>
    <w:p>
      <w:pPr>
        <w:ind w:left="640" w:hanging="319"/>
        <w:spacing w:after="0" w:line="253"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12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favorable terms. Inception of interest rate swaps to hedge interest rate risk;</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political and economic conditions globally, particularly in the geographies where we operate;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sustainability-related goals and targets.</w:t>
      </w:r>
    </w:p>
    <w:p>
      <w:pPr>
        <w:spacing w:after="0" w:line="1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 particular, you should consider the numerous risks outlined in Part I, Item 1A, “Risk Factors” in this Annual Report on Form 10-K. These and other risks could cause actual results to differ materially from those implied by forward-looking statements in this Annual Report on Form 10-K.</w:t>
      </w:r>
    </w:p>
    <w:p>
      <w:pPr>
        <w:spacing w:after="0" w:line="11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by us in this Annual Report on Form 10-K, or elsewhere, speak only as of the date on which they were made. New risks and uncertainties may occur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50"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We are a leading data analytics and digital operations and solutions company. We partner with clients using a data and AI-led approach to reinvent business models, drive better business outcomes and unlock growth with speed. We harness the power of data, analytics, AI, and deep industry knowledge to transform operations for the world’s leading corporations in industries including insurance, healthcare, banking and financial services, media and retail, among others.</w:t>
      </w:r>
    </w:p>
    <w:p>
      <w:pPr>
        <w:spacing w:after="0" w:line="194" w:lineRule="exact"/>
        <w:rPr>
          <w:sz w:val="20"/>
          <w:szCs w:val="20"/>
          <w:color w:val="auto"/>
        </w:rPr>
      </w:pPr>
    </w:p>
    <w:p>
      <w:pPr>
        <w:jc w:val="both"/>
        <w:ind w:firstLine="434"/>
        <w:spacing w:after="0" w:line="285" w:lineRule="auto"/>
        <w:rPr>
          <w:sz w:val="20"/>
          <w:szCs w:val="20"/>
          <w:color w:val="auto"/>
        </w:rPr>
      </w:pPr>
      <w:r>
        <w:rPr>
          <w:rFonts w:ascii="Times New Roman" w:cs="Times New Roman" w:eastAsia="Times New Roman" w:hAnsi="Times New Roman"/>
          <w:sz w:val="16"/>
          <w:szCs w:val="16"/>
          <w:color w:val="auto"/>
        </w:rPr>
        <w:t>We deliver data analytics and digital operations and solutions to our clients, driving enterprise-scale business transformation initiatives that leverage our deep expertise in advanced analytics, AI, generative AI and cloud technology. We manage and report financial information through our four strategic business units: Insurance, Healthcare, Analytics and Emerging Business, which reflects how management reviews financial information and makes operating decisions.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61" w:lineRule="exact"/>
        <w:rPr>
          <w:sz w:val="20"/>
          <w:szCs w:val="20"/>
          <w:color w:val="auto"/>
        </w:rPr>
      </w:pPr>
    </w:p>
    <w:p>
      <w:pPr>
        <w:ind w:left="720" w:hanging="321"/>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6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16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16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Business</w:t>
      </w:r>
    </w:p>
    <w:p>
      <w:pPr>
        <w:spacing w:after="0" w:line="16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For fiscal 2023, we generated revenues of $1,630.7 million compared to revenues of $1,412.0 million for fiscal 2022, an increase of $218.7 million, or 15.5%.</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serve clients mainly in the United States and the United Kingdom, with these two regions generating 84.1% and 10.9%, respectively, of our total revenues for fiscal 2023 and 85.9% and 9.5%, respectively, of our revenues for fiscal 2022.</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For fiscal 2023 and 2022, our total revenues from our top ten clients accounted for 34.0% and 34.9%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24"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Digital Operations and Solutions: </w:t>
      </w:r>
      <w:r>
        <w:rPr>
          <w:rFonts w:ascii="Times New Roman" w:cs="Times New Roman" w:eastAsia="Times New Roman" w:hAnsi="Times New Roman"/>
          <w:sz w:val="18"/>
          <w:szCs w:val="18"/>
          <w:color w:val="auto"/>
        </w:rPr>
        <w:t>We provide our clients with a range of data and AI-led digital operations and solutions from our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Emerging Business strategic business units, which are focused on solving complex industry challenges, which include: a) multi-modal data ingestion using AI, and converting unstructured content into curated and usable data, b) real-time and comprehensive data insights including end-to-end data management and building a 360-degree view of our clients’ customers, c) omni-channel and frictionless customer experience including self-service, conversational AI and smart agent assist, d) intelligent and AI-powered redesign and automation of transaction processing and e) automated quality, compliance and audit. Some of our clients’ operations that we have transformed using the above solutions include underwriting operations, claims processing, accounts payables processing, utilization management, member and provider contact center services and collections and accounts receivables. We either manage and digitally transform these operations for our clients by deploying our solutions through a software-as-a-service model via our partners’ cloud network or a client’s on-cloud deployment model, to digitally transform their retained operations.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136"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3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39"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reduced with regard to such clients if we are required to modify the terms of our relationships with such clients to meet competition.</w:t>
      </w:r>
    </w:p>
    <w:p>
      <w:pPr>
        <w:spacing w:after="0" w:line="146" w:lineRule="exact"/>
        <w:rPr>
          <w:sz w:val="20"/>
          <w:szCs w:val="20"/>
          <w:color w:val="auto"/>
        </w:rPr>
      </w:pPr>
    </w:p>
    <w:p>
      <w:pPr>
        <w:jc w:val="both"/>
        <w:ind w:firstLine="394"/>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Analytics: </w:t>
      </w:r>
      <w:r>
        <w:rPr>
          <w:rFonts w:ascii="Times New Roman" w:cs="Times New Roman" w:eastAsia="Times New Roman" w:hAnsi="Times New Roman"/>
          <w:sz w:val="16"/>
          <w:szCs w:val="16"/>
          <w:color w:val="auto"/>
        </w:rPr>
        <w:t>Our analytics services aim to drive better business outcomes for our clients by unlocking deep insights from data and creating data and AI-led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solutions 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We actively cross-sell and, where appropriate, integrate our analytics services with other digital operations and solutions as part of a comprehensive offering for our clients. Our project-based analytics services are cyclical and can be significantly affected by variations in business cycles. In addition, our project-based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33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161" w:lineRule="exact"/>
        <w:rPr>
          <w:sz w:val="20"/>
          <w:szCs w:val="20"/>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bonus and other compensation expenses; retirement benefits, recruitment and training costs; employee health and life insurance; transport; rewards and recognition for certain employees; and non-cash stock-based compensation expense;</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 and IT costs; facilities and customer management support; operational expenses for our operations centers; lease cost;</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Outsourced/subcontractors and professional services costs;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other billable costs to our clients;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direct mail operations and other digital operations and solutions.</w:t>
      </w:r>
    </w:p>
    <w:p>
      <w:pPr>
        <w:spacing w:after="0" w:line="161"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The most significant components of our cost of revenues are salaries and benefits (including stock-based compensation), retirement benefits, recruitment, training, transport, meals, rewards and recognition and employee health and life insurance. Salary levels,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stock-based compensation expense related to the grant of our equity awards to employees directly involved in providing services to our clients.</w:t>
      </w:r>
    </w:p>
    <w:p>
      <w:pPr>
        <w:spacing w:after="0" w:line="11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expect our cost of revenues to continue to increase as we continue to add professionals in our operations centers globally to service additional business and as wages continue to increase globally. In particular, we expect recruitment and training costs to continue to increase as we hire additional staff to service new clients and train existing staff to provide them with evolving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that we will continue to incur additional costs to monitor and improve operational efficiency of our hybrid working model, invest in information technology solutions, including adaption to evolving modes of seeking such solutions through cloud-based hosting arrangements and security measures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safeguard against information security risks and costs to protect the health and safety of our employees as they gradually return to the office. See Part I, Item 1A, “Risk Factors” under “Risks Related to Our Business––Employee wage increases may prevent us from sustaining our competitive advantage and may reduce our profit margin.” However, a significant portion of our client contracts include inflation-based adjustments to our billing rates year over year which partially offset such increase in cost of revenues.</w:t>
      </w:r>
    </w:p>
    <w:p>
      <w:pPr>
        <w:spacing w:after="0" w:line="130"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generally experience a higher cost of revenues as a percentage of revenues during the initial 12 to 18 months in a long-term digital operations and solutions contract due to upfront investments in infrastructure, resource hiring and training during migration. The cost of revenues as a percentage of revenues improves as we scale up, achieve operational efficiencies and complete the migration.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63"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Our General and Administrative expenses (“G&amp;A”) comprise of expenses relating to salaries and benefits (including stock-based compensation), retirement benefits as well as costs related to recruitment, training and retention of senior management and other support personnel in enabling functions, telecommunications, utilities, travel and other miscellaneous administrative costs. G&amp;A expenses also include acquisition-related costs, legal and professional fees (which represent the costs of third party legal, tax, accounting, immigration and other advisors), litigation claims, cost of technology solutions sought through evolving modes of cloud-based hosting arrangements, investment in product development, digital technology, advanced automation and robotics, cloud, AI and ML, bad debt allowance and stock-based compensation expenses related to grant of our equity awards to members of our board of directors. We expect our G&amp;A costs to increase as we continue to strengthen our support and enabling functions and invest in leadership development, performance management and training programs.</w:t>
      </w:r>
    </w:p>
    <w:p>
      <w:pPr>
        <w:spacing w:after="0" w:line="13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Selling and marketing expenses primarily consist of salaries and benefits (including stock-based compensation), retirement benefits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63"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6"/>
          <w:szCs w:val="16"/>
          <w:color w:val="auto"/>
        </w:rPr>
        <w:t>Depreciation and amortization pertains to depreciation of our property and equipment, including network equipment, cabling, computers, office furniture and equipment, motor vehicles and leasehold improvements and amortization of intangible assets acquired in business combinations. As part of our ongoing evaluation of our business needs, we continually optimize our operations centers and expect depreciation to decrease on assets related to operations centers, such as office furniture and equipment and leasehold improvements. As our business continues to expand we expect additional investments in digital technologies and equipment, including laptops, desktop computers, servers and other infrastructure, and increased reliance on hybrid working model, we expect increases in depreciation on assets-related to such investments. Property and equipment, if evaluated as being used differently than as originally intended are assessed for revision of their useful life, thereby revising their future depreciation to reflect the actual use of such property and equipment over the remaining shortened life. We expect amortization of intangible assets to increase further as we pursue strategic relationships and acquisitions.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gain, net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report our financial results in U.S. dollars.</w:t>
      </w:r>
    </w:p>
    <w:p>
      <w:pPr>
        <w:spacing w:after="0" w:line="161"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Our revenues are primarily denominated in the U.S. dollar, however, a portion of our revenues are earned in the U.K. pound sterling representing 10.1% and 8.6% of our total revenues in fiscal 2023 and 2022, respectively. We also incur a significant portion of our expenses in the Indian rupee, the Philippine peso and the U.K. pound sterling, representing 28.5%, 8.2% and 3.1%, respectively, of our total expenses in fiscal 2023, compared to 29.1%, 8.2% and 3.0%, respectively, of our total expenses in fiscal 2022.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Part I, Item 1A, “Risk Factors” under “Risks Related to the International Nature of Our Business––Currency exchange rate fluctuations in the various currencies in which we do business, or the failure of our hedging strategies to mitigate such fluctuations, could have a material adverse effect on our results of operations,” as well as Note 2 - Summary of Significant Accounting Policies and Note 17 - Derivatives and Hedge Accounting to our consolidated financial statements under Part II, Item 8, “Financial Statements and Supplementary Data” and Part II, Item 7A, “Quantitative and Qualitative Disclosures About Market Risk-Components of Market Risk-Foreign Currency Risk.”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Interest expense primarily consist of interest on our borrowings under our revolving credit facility and convertible senior notes, finance leases and notional interest implicit in the purchase of property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163"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Other income/(expense), net primarily consists of gain/(loss) on sale, mark to market, dividend income and interest income on our short-term and long-term investments, cash equivalents, as applicable. Other income/(expense), net also consists of changes in fair value of contingent consideration related to business combinations, interest on refunds received from income tax authorities in India on completion of tax assessments, profit or loss on disposal of long-lived assets and components of net periodic benefit cost such as interest cost, expected return on plan assets and amortization of actuarial gain or loss.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3"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We are subject to taxes in the countries we operate in. Our future tax liabilities could be adversely affected by any new unfavorable tax legislative and other changes in such countries. We continuously monitor such changes to assess and quantify the potential impacts on our consolidated financial statements.</w:t>
      </w:r>
    </w:p>
    <w:p>
      <w:pPr>
        <w:spacing w:after="0" w:line="7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periodically evaluate opportunities to distribute cash among our group entities to fund our operations in the United States and other countries, and as and when we decide to distribute, we may have to accrue additional taxes in accordance with local tax laws, rules and regulations in the relevant foreign jurisdictions. These distributions do not constitute a change in our permanent reinvestment assertion.</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on the basis of an assessment of whether it is more likely than not that a deferred tax asset will be realized.</w:t>
      </w:r>
    </w:p>
    <w:p>
      <w:pPr>
        <w:spacing w:after="0" w:line="113"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any potential impacts on our consolidated financial statements.</w:t>
      </w:r>
    </w:p>
    <w:p>
      <w:pPr>
        <w:spacing w:after="0" w:line="115"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During 2023, we established a headquarters for international business in Dublin, the Republic of Ireland qualifying for the reduced tax rate of 12.5%, resulting in a nominal reduction in our effective tax rate for 2023. We anticipate that Ireland’s business and related tax rate benefit, net of Pillar Two impact discussed below, will increase in the future.</w:t>
      </w:r>
    </w:p>
    <w:p>
      <w:pPr>
        <w:spacing w:after="0" w:line="141"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In October 2021, more than 130 countries tentatively signed on to the Organization for Economic Co-operation and Development (“OECD”) Pillar Two Framework that imposes a minimum tax rate of 15%, among other provisions. The OECD continues to release additional guidance on the Pillar Two Framework, with implementation generally effective for 2024. The countries where we do business impacted by the Pillar Two Framework are the Philippines and the Republic of Ireland. We do not anticipate any significant impact attributable to the Philippines, and any unfavorable impact attributable to the Republic of Ireland will be offset against the reduced Ireland tax rate benefit discussed above. We continue to evaluate the potential impact of the Pillar Two Framework on our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Stock Split</w:t>
      </w:r>
    </w:p>
    <w:p>
      <w:pPr>
        <w:spacing w:after="0" w:line="163"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On June 20, 2023, subsequent to the approval and recommendation of our board of directors, our stockholders approved an amendment to our amended and restated certificate of incorporation, which upon filing with the Secretary of State of the State of Delaware on August 1, 2023, and effectiveness thereof, effected a 5-for-1 forward stock split of our common stock and an increase in the number of authorized shares of our common stock from 100,000,000 shares to 400,000,000 shares. The par value of each share of common stock, $0.001, remained unchanged. See Note 19 - Capital Structure to our consolidated financial statements under Part II, Item 8, “Financial Statements and Supplementary Data” for further details. All prior period information has been adjusted to reflect the forward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On February 26, 2024, our board of directors authorized a $500 million common stock repurchase program (the “2024 Repurchase Program”), effective March 1, 2024, for a two-year period, in line with our capital allocation strategy. Under the 2024 Repurchase Program, shares may be purchased by us from time to time from the open market and through private transactions, or otherwise, as determined by our management as market conditions warrant. Repurchases may be discontinued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at any time by the management. The 2024 Repurchase Program replaces the prior $300 million stock repurchase program, which was terminated effective February 29,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2 - Summary of Significant Accounting Policies to our consolidated financial statements under Part II, Item 8, “Financial Statements and Supplementary Data.”</w:t>
      </w:r>
    </w:p>
    <w:p>
      <w:pPr>
        <w:spacing w:after="0" w:line="130"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consider the policies discussed below to be critical to an understanding of our consolidated financial statements, as their application places the most significant demands on management’s judgment regarding matters that are inherently uncertain at the time an estimate is made.</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These policies include revenue recognition, allowance for expected credit losses, business combinations, goodwill, stock-based compensation, employee benefits, leases and income taxes.</w:t>
      </w:r>
    </w:p>
    <w:p>
      <w:pPr>
        <w:spacing w:after="0" w:line="11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significant estimates and assumptions that affect the consolidated financial statements include, but are not limited to, estimates of the fair value of stock-based awards, identifiable intangible assets and contingent consideration, assumptions related to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assets and obligations related to employee benefit plans, determination of incremental borrowing for measuring lease liabilities, deferred tax assets and liabilities, deferred tax valuation allowances, income-tax contingencies, purchase price allocation, revenue projections and discount rate applied within the discounted cash flow model for business acquisitions.</w:t>
      </w:r>
    </w:p>
    <w:p>
      <w:pPr>
        <w:spacing w:after="0" w:line="13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These accounting policies, estimates and the associated risks are set out below. Future events may not develop exactly as forecasted and estimates routinely require adjustment.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is recognized when services are provided to our customers, in an amount that reflects the consideration which we expect to be entitled to in exchange for the services provided. We recognize revenue when we satisfy a performance obligation by providing services to a customer.</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 Performance Obligations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sometimes enter into contracts with our customers which include promises to transfer multiple products and services to the customer. Determining whether products and services are considered as distinct performance obligations that should be accounted for separately rather than as one performance obligation may require significant judgment. The transaction price is allocated to performance obligations on relative standalone selling price basis.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Judgment is also required to determine the standalone selling price for each distinct performance obligation. In instances where the standalone selling price is not directly observable, it is determined using information that may include market conditions and other observable inputs.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contracts with our customers may be modified to add, remove or change existing performance obligations, which requires judgment to evaluate and determine whether such performance obligations are to be accounted for on a prospective basis as a separate contract or as a termination of an existing contract and creation of a new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volume discounts entailing variability in revenue earned, and contracts under our reimbursement optimization services whereby variability in revenue is attributable to the amount we enable our customers to recover.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We consider our historical experience, including trends with similar transactions and expectations regarding the contract in estimating the amount of variable consideration that should be recognized during a period.</w:t>
      </w:r>
    </w:p>
    <w:p>
      <w:pPr>
        <w:spacing w:after="0" w:line="116"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We believe that the expected value method is most appropriate for determining the variable consideration since we have a large number of contracts with similar nature of transactions/services.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Contracts Requiring Judgment</w:t>
      </w:r>
    </w:p>
    <w:p>
      <w:pPr>
        <w:spacing w:after="0" w:line="165" w:lineRule="exact"/>
        <w:rPr>
          <w:sz w:val="20"/>
          <w:szCs w:val="20"/>
          <w:color w:val="auto"/>
        </w:rPr>
      </w:pPr>
    </w:p>
    <w:p>
      <w:pPr>
        <w:jc w:val="both"/>
        <w:ind w:left="640" w:hanging="241"/>
        <w:spacing w:after="0" w:line="247" w:lineRule="auto"/>
        <w:tabs>
          <w:tab w:leader="none" w:pos="6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our fixed-price contracts are recognized using costs incurred to date relative to total estimated costs at completion to measure progress toward satisfying our performance obligations. Incurred cost represents work performed, which corresponds with, and thereby reasonably reflects transfer of control to the customer. The use of this method requires significant judgment to estimate the cost required to complete the contracted scope of work, including assumptions and estimates relative to the length of time to complete the project and the nature and complexity of the work to be performed and resources engaged. We regularly monitor these estimates throughout the execution of the project and record changes in the period in which a change in an estimate is determined. If a change in an estimate results in a projected loss on a project, such loss is recognized in the period in which it is first identified.</w:t>
      </w:r>
    </w:p>
    <w:p>
      <w:pPr>
        <w:spacing w:after="0" w:line="138" w:lineRule="exact"/>
        <w:rPr>
          <w:rFonts w:ascii="Times New Roman" w:cs="Times New Roman" w:eastAsia="Times New Roman" w:hAnsi="Times New Roman"/>
          <w:sz w:val="18"/>
          <w:szCs w:val="18"/>
          <w:color w:val="auto"/>
        </w:rPr>
      </w:pPr>
    </w:p>
    <w:p>
      <w:pPr>
        <w:jc w:val="both"/>
        <w:ind w:left="640" w:hanging="241"/>
        <w:spacing w:after="0" w:line="248"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reimbursement optimization services having contingent fee arrangements are recognized by us at the point in time when a performance obligation is satisfied, which is when we identify an overpayment claim. In such contracts, our consideration is contingent upon the actual collections made by our customers and net of any subsequent retraction claims. Based on guidance on “variable consideration” in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 we use our historical experience and projections to determine the expected recoveries from our customers and recognize revenue based upon such expected recoveries. Any adjustment required due to change in estimates are recorded in the period in which such change is identified.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w:t>
      </w:r>
    </w:p>
    <w:p>
      <w:pPr>
        <w:spacing w:after="0" w:line="16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Unbilled receivables represent revenues recognized for services rendered between the last billing date and the balance sheet date. Unbilled receivables also include revenues recognized from reimbursement optimization services where we identify an overpayment claim. In such contracts, our consideration is contingent upon and collectable only when the actual collections are made by our customers. Based on guidance on “variable consideration” in ASC Topic 606, we use our historical experience and projections to determine the expected recoveries from our customers and recognize revenue and receivables based upon such expected recoveries.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65" w:lineRule="exact"/>
        <w:rPr>
          <w:sz w:val="20"/>
          <w:szCs w:val="20"/>
          <w:color w:val="auto"/>
        </w:rPr>
      </w:pPr>
    </w:p>
    <w:p>
      <w:pPr>
        <w:jc w:val="both"/>
        <w:ind w:firstLine="394"/>
        <w:spacing w:after="0" w:line="293" w:lineRule="auto"/>
        <w:rPr>
          <w:sz w:val="20"/>
          <w:szCs w:val="20"/>
          <w:color w:val="auto"/>
        </w:rPr>
      </w:pPr>
      <w:r>
        <w:rPr>
          <w:rFonts w:ascii="Times New Roman" w:cs="Times New Roman" w:eastAsia="Times New Roman" w:hAnsi="Times New Roman"/>
          <w:sz w:val="16"/>
          <w:szCs w:val="16"/>
          <w:color w:val="auto"/>
        </w:rPr>
        <w:t>We record accounts receivable net of allowances for expected credit losses. Allowances for credit losses are established through the evaluation of aging of accounts receivables, prior collection experience, current market conditions, forecasts about future economic conditions, customers’ financial condition and the amount of accounts receivable in dispute to estimate the collectability of these accounts receivable. Accounts receivable balances are written-off against the allowance for expected credit losses after all means of collection have been exhausted and the potential for recovery is considered remote.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3"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 xml:space="preserve">We account for all business combinations using the acquisition method of accounting as prescribed by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guidance requires the use of significant estimates and assumptions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discount rate reflecting the risk inherent in future cash flows, customer attrition rates and the long-term growth rate applied within the discounted cash flow model. This requires a high degree of our judgment and the need to involve fair value specialists to evaluate the reasonableness of our valuation methodology and the selection of inputs to the valuation.</w:t>
      </w:r>
    </w:p>
    <w:p>
      <w:pPr>
        <w:spacing w:after="0" w:line="121"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In addition, assets acquired and liabilities assumed including uncertain tax positions and tax-related valuation allowances in connection with business combinations are initially estimated as of the acquisition date. We subsequently re-evaluate the assets acquired and liabilities assumed, including additional assets and liabilities identified subsequent to acquisition date, with any adjustments to our preliminary estimates being recorded to goodwill within the measurement period (up to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in a business combination. We undertake studies to determine the fair values of assets and liabilities acquired and allocate purchase consideration to assets and liabilities, including property and equipment, goodwill and other identifiable intangibles. Goodwill is not amortized but is tested for impairment at least on an annual basis, relying on a number of factors including operating results, business plans and estimated future cash flows of the reporting units to which it is assigned. We examine the carrying value and fair value of the reporting unit that includes goodwill as and when the circumstances warrant, to determine whether there are any impairment losses.</w:t>
      </w:r>
    </w:p>
    <w:p>
      <w:pPr>
        <w:spacing w:after="0" w:line="13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We perform an assessment of qualitative factors to determine whether the existence of events or circumstances leads to a determination that it is more likely than not that the fair value of a reporting unit is less than its carrying amount. Based on the assessment of events or circumstances, we perform a quantitative assessment of goodwill impairment if we determine that it is more likely than not that the fair value of a reporting unit is less than its carrying amount. If, based on the quantitative impairment analysis, the carrying value of the goodwill of a reporting unit exceeds the fair value of such goodwill, an impairment loss is recognized in an amount equal to the excess, limited to the total amount of goodwill allocated to that reporting unit. In addition, we perform a quantitative assessment of goodwill impairment between annual tests if an event occurs or circumstances change that would more likely than not reduce the fair value of a reporting unit below its carrying amount.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3"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8"/>
          <w:szCs w:val="18"/>
          <w:color w:val="auto"/>
        </w:rPr>
        <w:t xml:space="preserve">Under the fair value recognition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cost is measured at the grant date based on the fair value of the award and is amortized on a straight-line basis over the requisite service periods of the awards, which is generally the vesting period.</w:t>
      </w:r>
    </w:p>
    <w:p>
      <w:pPr>
        <w:spacing w:after="0" w:line="11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11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grant performance-based restricted stock units (“PRSUs”) to executive officers and other specified employees. Generally, we grant PRSUs cliff vest based on an aggregated revenue target (“PUs”) for a three-year period, while grants based on market conditions (“MUs”) are contingent on meeting or exceeding the total shareholder return relative to a group of peer companies specified under our 2018 Omnibus Incentive Plan (the “2018 Plan”), and are measured over a three-year performance period.</w:t>
      </w:r>
    </w:p>
    <w:p>
      <w:pPr>
        <w:spacing w:after="0" w:line="130"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13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Stock-based compensation expense associated with our 2022 Employee Stock Purchase Plan is measured at fair-value using a Black-Scholes option-pricing model at commencement of each offering period and recognized over that offering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and if the amount of such loss can be reasonably estimated. Such reserves are based on estimates and, consequently, are subject to changing facts and circumstances, including the progress of ongoing audits, changes in case law and the passage of new legislation. We have established adequate reserves to cover any potential tax contingencies or claims.</w:t>
      </w:r>
    </w:p>
    <w:p>
      <w:pPr>
        <w:spacing w:after="0" w:line="128" w:lineRule="exact"/>
        <w:rPr>
          <w:sz w:val="20"/>
          <w:szCs w:val="20"/>
          <w:color w:val="auto"/>
        </w:rPr>
      </w:pPr>
    </w:p>
    <w:p>
      <w:pPr>
        <w:jc w:val="both"/>
        <w:ind w:firstLine="394"/>
        <w:spacing w:after="0" w:line="250" w:lineRule="auto"/>
        <w:rPr>
          <w:sz w:val="20"/>
          <w:szCs w:val="20"/>
          <w:color w:val="auto"/>
        </w:rPr>
      </w:pPr>
      <w:r>
        <w:rPr>
          <w:rFonts w:ascii="Times New Roman" w:cs="Times New Roman" w:eastAsia="Times New Roman" w:hAnsi="Times New Roman"/>
          <w:sz w:val="18"/>
          <w:szCs w:val="18"/>
          <w:color w:val="auto"/>
        </w:rPr>
        <w:t xml:space="preserve">Financial Accounting Standards Board Interpretation No.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requires companies to recognize, measure, present and disclose uncertain tax positions. 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 We have established adequate reserves to cover all uncertain tax positions.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6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record contributions to defined contribution plans in our consolidated statements of income in the period in which services are rendered by the covered employees. Current service costs for defined benefit plans are recognized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account for a lease at the inception of the contract. Our assessment is based on whether: (1) the contract involves the use of a distinct identified asset,</w:t>
      </w:r>
    </w:p>
    <w:p>
      <w:pPr>
        <w:spacing w:after="0" w:line="44" w:lineRule="exact"/>
        <w:rPr>
          <w:sz w:val="20"/>
          <w:szCs w:val="20"/>
          <w:color w:val="auto"/>
        </w:rPr>
      </w:pPr>
    </w:p>
    <w:p>
      <w:pPr>
        <w:jc w:val="both"/>
        <w:ind w:firstLine="5"/>
        <w:spacing w:after="0" w:line="245"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 the right to substantially all the economic benefits from the use of the asset throughout the term of the contract, and (3) we have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w:t>
      </w:r>
    </w:p>
    <w:p>
      <w:pPr>
        <w:spacing w:after="0" w:line="123"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during the lease term and lease liabilities represent our obligation to make lease payments arising from the lease arrangement. Lease liabilities are recognized at commencement date based on the present value of lease payments over the lease term. Operating lease ROU assets are recognized at commencement date in an amount equal to lease liability, adjusted for any lease prepayments, initial direct costs and lease incentives. For leases in which the rate implicit in the lease is not readily determinable, we use our incremental borrowing rate at commencement date. We determine the incremental borrowing rate by adjusting the benchmark reference rates with appropriate financing spreads applicable to the respective geographies where we entered into leases and lease specific adjustments for the effects of collateral, if applicable.</w:t>
      </w:r>
    </w:p>
    <w:p>
      <w:pPr>
        <w:spacing w:after="0" w:line="14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Lease terms includes our assessment for the effects of options to extend or terminate the lease. We consider the extension option as part of our lease term for those lease arrangements where we are reasonably certain at commencement of the lease that we will exercise that option. Lease expense for operating lease arrangements is recognized on a straight-line basis over the lease term reflecting single operating lease cost. We evaluate lease agreements to determine lease and non-lease components, which are accounted for separately.</w:t>
      </w:r>
    </w:p>
    <w:p>
      <w:pPr>
        <w:spacing w:after="0" w:line="116" w:lineRule="exact"/>
        <w:rPr>
          <w:sz w:val="20"/>
          <w:szCs w:val="20"/>
          <w:color w:val="auto"/>
        </w:rPr>
      </w:pPr>
    </w:p>
    <w:p>
      <w:pPr>
        <w:ind w:right="40" w:firstLine="394"/>
        <w:spacing w:after="0" w:line="419" w:lineRule="auto"/>
        <w:rPr>
          <w:sz w:val="20"/>
          <w:szCs w:val="20"/>
          <w:color w:val="auto"/>
        </w:rPr>
      </w:pPr>
      <w:r>
        <w:rPr>
          <w:rFonts w:ascii="Times New Roman" w:cs="Times New Roman" w:eastAsia="Times New Roman" w:hAnsi="Times New Roman"/>
          <w:sz w:val="18"/>
          <w:szCs w:val="18"/>
          <w:color w:val="auto"/>
        </w:rPr>
        <w:t xml:space="preserve">We review the ROU assets for impairment whenever events or changes in circumstances indicate that the related carrying amount may not be recoverable. </w:t>
      </w:r>
      <w:r>
        <w:rPr>
          <w:rFonts w:ascii="Times New Roman" w:cs="Times New Roman" w:eastAsia="Times New Roman" w:hAnsi="Times New Roman"/>
          <w:sz w:val="18"/>
          <w:szCs w:val="18"/>
          <w:b w:val="1"/>
          <w:bCs w:val="1"/>
          <w:i w:val="1"/>
          <w:iCs w:val="1"/>
          <w:color w:val="auto"/>
        </w:rPr>
        <w:t>Contingencies</w:t>
      </w: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probability and whether an exposure is reasonably estimable, both.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jc w:val="both"/>
        <w:ind w:firstLine="315"/>
        <w:spacing w:after="0"/>
        <w:rPr>
          <w:sz w:val="20"/>
          <w:szCs w:val="20"/>
          <w:color w:val="auto"/>
        </w:rPr>
      </w:pPr>
      <w:r>
        <w:rPr>
          <w:rFonts w:ascii="Times New Roman" w:cs="Times New Roman" w:eastAsia="Times New Roman" w:hAnsi="Times New Roman"/>
          <w:sz w:val="18"/>
          <w:szCs w:val="18"/>
          <w:color w:val="auto"/>
        </w:rPr>
        <w:t>For a discussion of our results of operations for fiscal 2021, including a year-to-year comparison between fiscal 2022 and 2021, refer to Part II, Item 7, “Management’s Discussion and Analysis of Financial Condition and Results of Operations” in our Annual Report on Form 10-K for fiscal 2022, filed with the SEC on February 23, 2023.</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79"/>
        </w:trPr>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 of</w:t>
            </w: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0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0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(C=A-B)</w:t>
            </w:r>
          </w:p>
        </w:tc>
        <w:tc>
          <w:tcPr>
            <w:tcW w:w="0" w:type="dxa"/>
            <w:vAlign w:val="bottom"/>
          </w:tcPr>
          <w:p>
            <w:pPr>
              <w:spacing w:after="0" w:line="20" w:lineRule="exact"/>
              <w:rPr>
                <w:sz w:val="1"/>
                <w:szCs w:val="1"/>
                <w:color w:val="auto"/>
              </w:rPr>
            </w:pPr>
          </w:p>
        </w:tc>
      </w:tr>
      <w:tr>
        <w:trPr>
          <w:trHeight w:val="195"/>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Revenues, net</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1,630.7</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1,412.0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896.6</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607.8</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37.3 %</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515.4</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36.5 %</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0.8 %</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0" w:type="dxa"/>
            <w:vAlign w:val="bottom"/>
          </w:tcPr>
          <w:p>
            <w:pPr>
              <w:spacing w:after="0"/>
              <w:rPr>
                <w:sz w:val="1"/>
                <w:szCs w:val="1"/>
                <w:color w:val="auto"/>
              </w:rPr>
            </w:pPr>
          </w:p>
        </w:tc>
      </w:tr>
      <w:tr>
        <w:trPr>
          <w:trHeight w:val="188"/>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8"/>
        </w:trPr>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2"/>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323.3</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238.8</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192.1</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w:t>
            </w:r>
          </w:p>
        </w:tc>
        <w:tc>
          <w:tcPr>
            <w:tcW w:w="0" w:type="dxa"/>
            <w:vAlign w:val="bottom"/>
          </w:tcPr>
          <w:p>
            <w:pPr>
              <w:spacing w:after="0"/>
              <w:rPr>
                <w:sz w:val="1"/>
                <w:szCs w:val="1"/>
                <w:color w:val="auto"/>
              </w:rPr>
            </w:pPr>
          </w:p>
        </w:tc>
      </w:tr>
      <w:tr>
        <w:trPr>
          <w:trHeight w:val="208"/>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8"/>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40"/>
        </w:trPr>
        <w:tc>
          <w:tcPr>
            <w:tcW w:w="3800" w:type="dxa"/>
            <w:vAlign w:val="bottom"/>
            <w:tcBorders>
              <w:top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Income before income tax expense and earnings from</w:t>
            </w: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237.9</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14.6 %</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190.1</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13.5 %</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affiliates</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184.4</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142.6</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0" w:type="dxa"/>
            <w:vAlign w:val="bottom"/>
          </w:tcPr>
          <w:p>
            <w:pPr>
              <w:spacing w:after="0"/>
              <w:rPr>
                <w:sz w:val="1"/>
                <w:szCs w:val="1"/>
                <w:color w:val="auto"/>
              </w:rPr>
            </w:pPr>
          </w:p>
        </w:tc>
      </w:tr>
      <w:tr>
        <w:trPr>
          <w:trHeight w:val="208"/>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from equity-method investment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40"/>
        </w:trPr>
        <w:tc>
          <w:tcPr>
            <w:tcW w:w="3800" w:type="dxa"/>
            <w:vAlign w:val="bottom"/>
            <w:tcBorders>
              <w:top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Net income attributable to ExlService Holdings, Inc.</w:t>
            </w: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184.6</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11.3 %</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143.0</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10.1 %</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1.2 %</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0" w:type="dxa"/>
            <w:vAlign w:val="bottom"/>
          </w:tcPr>
          <w:p>
            <w:pPr>
              <w:spacing w:after="0"/>
              <w:rPr>
                <w:sz w:val="1"/>
                <w:szCs w:val="1"/>
                <w:color w:val="auto"/>
              </w:rPr>
            </w:pPr>
          </w:p>
        </w:tc>
      </w:tr>
      <w:tr>
        <w:trPr>
          <w:trHeight w:val="204"/>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171" w:lineRule="exact"/>
        <w:rPr>
          <w:sz w:val="20"/>
          <w:szCs w:val="20"/>
          <w:color w:val="auto"/>
        </w:rPr>
      </w:pPr>
    </w:p>
    <w:p>
      <w:pPr>
        <w:ind w:left="480" w:right="380"/>
        <w:spacing w:after="0" w:line="272"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II, Item 7,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Compared to Fiscal 2022</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 Total Revenues for</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520" w:type="dxa"/>
            <w:vAlign w:val="bottom"/>
            <w:tcBorders>
              <w:bottom w:val="single" w:sz="8" w:color="auto"/>
            </w:tcBorders>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1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Revenues for fiscal 2023 were up by $218.7 million, or 15.5%, compared to fiscal 2022, driven primarily by revenue growth from our new and existing clients in all of our reportable segments.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Insurance of $81.2 million was primarily driven by expansion of business from our new and existing clients of $83.9 million. This was partially offset by a loss of $2.7 million, mainly attributable to the depreciation of the Australian dollar, the Indian rupee and the South African rand against the U.S. dollar during fiscal 2023, compared to fiscal 2022.</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growth in Healthcare of $8.6 million was primarily driven by expansion of business from our new and existing clients during fiscal 2023.</w:t>
      </w:r>
    </w:p>
    <w:p>
      <w:pPr>
        <w:spacing w:after="0" w:line="16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Emerging Business of $47.1 million was primarily driven by expansion of business from our new and existing clients of $47.4 million. This was partially offset by a loss of $0.3 million, net mainly attributable to the depreciation of the Indian rupee against the U.S. dollar during fiscal 2023, compared to fiscal 2022.</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Analytics of $81.8 million was primarily driven by higher volumes in our annuity and project-based engagements from our new and existing clients of $80.8 million and an increase in revenues of $1.0 million, mainly attributable to the appreciation of the U.K. pound sterling against the U.S. dollar during fiscal 2023, compared to fiscal 2022.</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2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2"/>
        </w:trPr>
        <w:tc>
          <w:tcPr>
            <w:tcW w:w="21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2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tcBorders>
            <w:gridSpan w:val="2"/>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02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2"/>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Cost of revenues for fiscal 2023 increased by $126.3 million, or 14.1% compared to fiscal 2022. The increase in cost of revenues was primarily due to increases in employee-related costs and technology costs, partially offset by foreign exchange gain, net of hedging. Our gross margin for fiscal 2023 was 37.3% compared to 36.5% for fiscal 2022, an increase of 80 basis points ("bps") primarily driven by higher revenues, operational efficiencies and foreign exchange gain, net of hedging during fiscal 2023, compared to fiscal 2022.</w:t>
      </w:r>
    </w:p>
    <w:p>
      <w:pPr>
        <w:spacing w:after="0" w:line="11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increase in cost of revenues in Insurance of $54.1 million for fiscal 2023 was primarily due to increases in employee-related costs of $52.2 million on account of higher headcount and wage inflation, higher technology costs of $8.5 million on account of increased subscription to cloud-based software licenses and use of the hybrid working model and higher other operating costs of $2.9 million, partially offset by foreign exchange gain, net of hedging of $7.5 million and lower travel costs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$2.0 million. Gross margin in Insurance decreased by 40 bps during fiscal 2023, compared to fiscal 2022, primarily due to lower margins associated with higher costs during ramp-ups in certain existing and new clients during fiscal 2023, compared to fiscal 2022.</w:t>
      </w:r>
    </w:p>
    <w:p>
      <w:pPr>
        <w:spacing w:after="0" w:line="11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decrease in cost of revenues in Healthcare of $1.7 million for fiscal 2023 was primarily due to foreign exchange gain, net of hedging of $1.9 million, lower facilities costs of $1.5 million resulting from optimization of office space, lower other operating costs of $0.2 million, partially offset by increases in employee-related costs of $1.9 million on account of wage inflation. Gross margin in Healthcare increased by 750 bps during fiscal 2023, compared to fiscal 2022, primarily due to higher revenues and operational efficiencies during fiscal 2023, compared to fiscal 2022.</w:t>
      </w:r>
    </w:p>
    <w:p>
      <w:pPr>
        <w:spacing w:after="0" w:line="208"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increase in cost of revenues in Emerging Business of $22.9 million for fiscal 2023 was primarily due to increases in employee-related costs of $23.5 million on account of higher headcount and wage inflation, higher technology costs of $3.5 million on account of increased subscription to cloud-based software licenses and use of the hybrid working model and higher other operating costs $1.5 million, partially offset by foreign exchange gain, net of hedging of $3.8 million and lower travel costs of $1.8 million. Gross margin in Emerging Business increased by 180 bps during fiscal 2023, compared to fiscal 2022, primarily due to higher revenues and foreign exchange gain, net of hedging during fiscal 2023, compared to fiscal 2022.</w:t>
      </w:r>
    </w:p>
    <w:p>
      <w:pPr>
        <w:spacing w:after="0" w:line="209"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increase in cost of revenues in Analytics of $51.0 million for fiscal 2023 was primarily due to increases in employee-related costs of $55.3 million on account of higher headcount and wage inflation, higher technology costs of $1.6 million on account of increased subscription to cloud-based software licenses and use of the hybrid working model and higher other operating costs $4.0 million, partially offset by foreign exchange gain, net of hedging of $6.4 million and lower travel costs of $3.5 million. Gross margin in Analytics increased by 10 bps during fiscal 2023, compared to fiscal 2022, primarily due to higher revenues, partially offset by increases in employee-related costs during fiscal 2023, compared to fiscal 2022.</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ind w:firstLine="394"/>
        <w:spacing w:after="0" w:line="276" w:lineRule="auto"/>
        <w:rPr>
          <w:sz w:val="20"/>
          <w:szCs w:val="20"/>
          <w:color w:val="auto"/>
        </w:rPr>
      </w:pPr>
      <w:r>
        <w:rPr>
          <w:rFonts w:ascii="Times New Roman" w:cs="Times New Roman" w:eastAsia="Times New Roman" w:hAnsi="Times New Roman"/>
          <w:sz w:val="16"/>
          <w:szCs w:val="16"/>
          <w:color w:val="auto"/>
        </w:rPr>
        <w:t>The increase in SG&amp;A expenses of $51.5 million was primarily due to higher employee-related costs of $27.0 million on account of higher headcount and wage inflation, higher investments in digital and generative AI capabilities of $10.4 million, higher sales and marketing spend of $4.6 million, higher travel costs of $3.8 million, higher allowance for expected credit losses of $1.7 million, primarily related to a customer bankruptcy event, and higher other operating costs of $6.6 million. This was partially offset by foreign exchange gain, net of hedging of $2.6 million during fiscal 2023, compared to fiscal 2022.</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63"/>
        </w:trPr>
        <w:tc>
          <w:tcPr>
            <w:tcW w:w="46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r>
      <w:tr>
        <w:trPr>
          <w:trHeight w:val="219"/>
        </w:trPr>
        <w:tc>
          <w:tcPr>
            <w:tcW w:w="4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4"/>
        </w:trPr>
        <w:tc>
          <w:tcPr>
            <w:tcW w:w="4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4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decrease in depreciation expense of $3.4 million was primarily due to lower depreciation of $2.4 million on assets related to operations centers closed as a result of optimization of office space, increased use of the hybrid working model and foreign exchange gain, net of hedging of $1.0 million during fiscal 2023, compared to fiscal 2022. The decrease in intangibles amortization expense of $2.4 million during fiscal 2023, compared to fiscal 2022 was primarily due to end of useful lives for certain intangible assets.</w:t>
      </w:r>
    </w:p>
    <w:p>
      <w:pPr>
        <w:spacing w:after="0" w:line="126" w:lineRule="exact"/>
        <w:rPr>
          <w:sz w:val="20"/>
          <w:szCs w:val="20"/>
          <w:color w:val="auto"/>
        </w:rPr>
      </w:pPr>
    </w:p>
    <w:p>
      <w:pPr>
        <w:jc w:val="both"/>
        <w:ind w:firstLine="394"/>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$46.7 million, or 24.2%, from $192.1 million for fiscal 2022 to $238.8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primarily due to higher revenues and higher gross margins, partially offset by higher SG&amp;A expenses during fiscal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Foreign exchange gains and losses are primarily attributable to the movement of the U.S. dollar against the Indian rupee,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Philippine peso, the U.K. pound sterling and the South African rand during fiscal 2023, compared to fiscal 2022. The average exchange rate of the U.S. dollar against the Indian rupee increased from 78.81 during fiscal 2022 to 82.60 during fiscal 2023. The average exchange rate of the U.S. dollar against the Philippine peso increased from 54.47 during fiscal 2022 to 55.56 during fiscal 2023. The average exchange rate of the U.K. pound sterling against the U.S. dollar increased from 1.23 during fiscal 2022 to 1.25 during fiscal 2023. The average exchange rate of the U.S. dollar against the South African rand increased from 16.44 during fiscal 2022 to 18.51 during fiscal 2023.</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recorded a foreign exchange gain, net of $6.2 million for fiscal 2022 compared to a foreign exchange gain, net of $1.5 million for fiscal 2023.</w:t>
      </w:r>
    </w:p>
    <w:p>
      <w:pPr>
        <w:spacing w:after="0" w:line="144"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from $8.2 million for fiscal 2022 to $13.2 million for fiscal 2023, primarily due to a higher effective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of 6.3% during fiscal 2023, compared to 2.9% during fiscal 2022, partially offset by a lower average outstanding balance under our revolving credit facility during fiscal 2023, compared to fiscal 2022.</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Gain on sale and fair value mark-to-market on investments</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Other income, net increased by $10.8 million, from $nil for fiscal 2022 to $10.8 million for fiscal 2023. The increase is primarily due to a decrease of $6.4 million in contingent consideration liability related to our acquisitions as a result of fair value adjustment, higher interest and dividend income on our investments of $2.8 million and lower other expenses of $1.5 million during fiscal 2023, compared to fiscal 2022.</w:t>
      </w:r>
    </w:p>
    <w:p>
      <w:pPr>
        <w:spacing w:after="0" w:line="122"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effective tax rate decreased from 25.0% during fiscal 2022 to 22.5% during fiscal 2023. We recorded income tax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$53.5 million and $47.5 million for fiscal 2023 and 2022, respectively. While the effective tax rate decreased in 2023, the amount of income tax expense increased primarily as a result of higher profit during fiscal 2023, compared to fiscal 2022, and an increase in non-deductible expenses, partially offset by higher excess tax benefits related to stock-based compensation during fiscal 2023, compared to fiscal 2022.</w:t>
      </w:r>
    </w:p>
    <w:p>
      <w:pPr>
        <w:spacing w:after="0" w:line="126"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increased from $143.0 million for fiscal 2022 to $184.6 million for fiscal 2023, primarily due to increase in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$46.7 million and higher other income, net of $10.8 million, partially offset by higher interest expense of $5.0 million, lower foreign exchange gain, net of $4.7 million and higher income tax expense of $6.0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122.0 %</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As of December 31, 2023 and 2022, we had $290.8 million and $297.7 million, respectively, in cash, cash equivalents and short-term investments, of which $237.7 million and $260.0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For fiscal 2023, our foreign subsidiaries in India, the United Kingdom, Australia, Bulgaria and the Czech Republic repatriated an aggregate amount of $136.4 million (net of $5.9 million withholding taxes) to the United States. These distributions do not constitute a change in our permanent reinvestment assertion.</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3" w:lineRule="exact"/>
        <w:rPr>
          <w:sz w:val="20"/>
          <w:szCs w:val="20"/>
          <w:color w:val="auto"/>
        </w:rPr>
      </w:pPr>
    </w:p>
    <w:p>
      <w:pPr>
        <w:jc w:val="both"/>
        <w:ind w:firstLine="394"/>
        <w:spacing w:after="0" w:line="331" w:lineRule="auto"/>
        <w:rPr>
          <w:sz w:val="20"/>
          <w:szCs w:val="20"/>
          <w:color w:val="auto"/>
        </w:rPr>
      </w:pPr>
      <w:r>
        <w:rPr>
          <w:rFonts w:ascii="Times New Roman" w:cs="Times New Roman" w:eastAsia="Times New Roman" w:hAnsi="Times New Roman"/>
          <w:sz w:val="16"/>
          <w:szCs w:val="16"/>
          <w:color w:val="auto"/>
        </w:rPr>
        <w:t>Net cash provided by operating activities was $211.2 million for fiscal 2023, compared to $166.1 million for fiscal 2022, reflecting higher cash earnings, partially offset by higher working capital needs. The major drivers contributing to the increase of $45.1 million year-over-year included the following:</w:t>
      </w:r>
    </w:p>
    <w:p>
      <w:pPr>
        <w:spacing w:after="0" w:line="71" w:lineRule="exact"/>
        <w:rPr>
          <w:sz w:val="20"/>
          <w:szCs w:val="20"/>
          <w:color w:val="auto"/>
        </w:rPr>
      </w:pPr>
    </w:p>
    <w:p>
      <w:pPr>
        <w:jc w:val="both"/>
        <w:ind w:left="640" w:hanging="319"/>
        <w:spacing w:after="0" w:line="252"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earnings, including adjustments for non-cash and other items contributed higher cash flow of $60.4 million for fiscal 2023, compared to fiscal 2022. These adjustments include fair value changes in investments, unrealized foreign currency exchange gain, deferred tax effects, stock-based employee compensation, fair value changes in contingent consideration, depreciation and amortization of long-lived assets and intangibles acquired in business combinations, among others.</w:t>
      </w:r>
    </w:p>
    <w:p>
      <w:pPr>
        <w:spacing w:after="0" w:line="129"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including advance billings, contributed higher cash flow of $15.5 million for fiscal 2023, compared to fiscal 2022. Collections in accounts receivable, including advance billings was driven by revenue growth for fiscal 2023. This was partially offset by increase in our days sales outstanding which was 64 days as of December 31, 2023, compared to 61 days as of December 31, 2022.</w:t>
      </w:r>
    </w:p>
    <w:p>
      <w:pPr>
        <w:spacing w:after="0" w:line="12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tax payments, net of refunds, contributed higher cash payouts of $47.7 million, partially offset by provision for income tax and changes in deferred tax assets and liabilities of $20.6 million for fiscal 2023, compared to fiscal 2022.</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assets, accounts payables including other liabilities contributed higher cash payouts of $3.7 million for fiscal 2023, compared to fiscal 2022.</w:t>
      </w:r>
    </w:p>
    <w:p>
      <w:pPr>
        <w:spacing w:after="0" w:line="101" w:lineRule="exact"/>
        <w:rPr>
          <w:sz w:val="20"/>
          <w:szCs w:val="20"/>
          <w:color w:val="auto"/>
        </w:rPr>
      </w:pPr>
    </w:p>
    <w:p>
      <w:pPr>
        <w:jc w:val="both"/>
        <w:ind w:firstLine="39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were $12.0 million for fiscal 2023, compared to $96.5 million for fiscal 2022. The decrease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investing activities of $84.5 million year-over-year is primarily due to net redemption of investments of $40.7 million for fiscal 2023, compared to net purchase of investments of $48.1 million for fiscal 2022. The decrease was also due to acquisition-related payouts of $3.9 million for fiscal 2022 with no corresponding payouts for fiscal 2023. This was partially offset by higher capital expenditures in infrastructure, technology assets, software and product developments of $8.0 million for fiscal 2023, compared to fiscal 2022.</w:t>
      </w:r>
    </w:p>
    <w:p>
      <w:pPr>
        <w:spacing w:after="0" w:line="205"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were $181.4 million for fiscal 2023, compared to $81.7 million for fiscal 2022.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for financing activities of $99.7 million year-over-year was primarily due to net repayment of our borrowings under our revolving credit facility of $50.0 million for fiscal 2023, compared to $10.0 million for fiscal 2022. The increase was also due to higher purchases of treasury stock of $59.2 million under our share repurchase program for fiscal 2023, compared to fiscal 2022.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building new digital capabilities, including generative AI and purchase telecommunications equipment and computer hardware and software in connection with managing client operations.</w:t>
      </w:r>
    </w:p>
    <w:p>
      <w:pPr>
        <w:spacing w:after="0" w:line="14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incurred $52.8 million of capital expenditures during fiscal 2023. We expect to incur total capital expenditures of between $50 million to $55 million in fiscal 2024, primarily to meet our growth requirements, including additions to our facilities as well as investments in technology applications, product development, digital technology, advanced automation, robotics and infrastructure.</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consolidated financial statements under Part II, Item 8, “Financial Statements and Supplementary Data” for further details.</w:t>
      </w:r>
    </w:p>
    <w:p>
      <w:pPr>
        <w:spacing w:after="0" w:line="113"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stock repurchases under our board-authorized stock repurchase program, which may require the use of significant cash resources and/or additional financing. We anticipate that we will continue to rely upon cash from operating activities to finance most of our above mentioned requirements, although if we have significant growth through acquisitions, we may need to obtain additional financing.</w:t>
      </w:r>
    </w:p>
    <w:p>
      <w:pPr>
        <w:spacing w:after="0" w:line="219"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18-Borrowings, Note 20- Employee Benefit Plans, Note 21- Leases, Note 22- Income Taxes and Note 25- Commitments and Contingencies to our consolidated financial statements under Part II, Item 8, “Financial Statements and Supplementary Data” for further information on material cash requirements from known contractual and other obligations.</w:t>
      </w:r>
    </w:p>
    <w:p>
      <w:pPr>
        <w:spacing w:after="0" w:line="202"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December 31, 2023 and 2022,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4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660" w:type="dxa"/>
            <w:vAlign w:val="bottom"/>
            <w:tcBorders>
              <w:bottom w:val="single" w:sz="8" w:color="auto"/>
            </w:tcBorders>
          </w:tcPr>
          <w:p>
            <w:pPr>
              <w:spacing w:after="0"/>
              <w:rPr>
                <w:sz w:val="18"/>
                <w:szCs w:val="18"/>
                <w:color w:val="auto"/>
              </w:rPr>
            </w:pPr>
          </w:p>
        </w:tc>
      </w:tr>
      <w:tr>
        <w:trPr>
          <w:trHeight w:val="205"/>
        </w:trPr>
        <w:tc>
          <w:tcPr>
            <w:tcW w:w="40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60" w:type="dxa"/>
            <w:vAlign w:val="bottom"/>
            <w:tcBorders>
              <w:bottom w:val="single" w:sz="8" w:color="auto"/>
            </w:tcBorders>
          </w:tcPr>
          <w:p>
            <w:pPr>
              <w:spacing w:after="0"/>
              <w:rPr>
                <w:sz w:val="17"/>
                <w:szCs w:val="17"/>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81"/>
              <w:spacing w:after="0" w:line="178" w:lineRule="exact"/>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660" w:type="dxa"/>
            <w:vAlign w:val="bottom"/>
            <w:tcBorders>
              <w:bottom w:val="single" w:sz="8" w:color="auto"/>
            </w:tcBorders>
          </w:tcPr>
          <w:p>
            <w:pPr>
              <w:spacing w:after="0"/>
              <w:rPr>
                <w:sz w:val="15"/>
                <w:szCs w:val="15"/>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2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r>
      <w:tr>
        <w:trPr>
          <w:trHeight w:val="53"/>
        </w:trPr>
        <w:tc>
          <w:tcPr>
            <w:tcW w:w="4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220.0</w:t>
            </w:r>
          </w:p>
        </w:tc>
      </w:tr>
      <w:tr>
        <w:trPr>
          <w:trHeight w:val="177"/>
        </w:trPr>
        <w:tc>
          <w:tcPr>
            <w:tcW w:w="400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Total borrowings</w:t>
            </w:r>
          </w:p>
        </w:tc>
        <w:tc>
          <w:tcPr>
            <w:tcW w:w="1040" w:type="dxa"/>
            <w:vAlign w:val="bottom"/>
            <w:tcBorders>
              <w:bottom w:val="single" w:sz="8" w:color="auto"/>
            </w:tcBorders>
          </w:tcPr>
          <w:p>
            <w:pPr>
              <w:jc w:val="right"/>
              <w:ind w:right="861"/>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200.0</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1281"/>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ind w:right="1"/>
              <w:spacing w:after="0" w:line="178" w:lineRule="exact"/>
              <w:rPr>
                <w:sz w:val="20"/>
                <w:szCs w:val="20"/>
                <w:color w:val="auto"/>
              </w:rPr>
            </w:pPr>
            <w:r>
              <w:rPr>
                <w:rFonts w:ascii="Times New Roman" w:cs="Times New Roman" w:eastAsia="Times New Roman" w:hAnsi="Times New Roman"/>
                <w:sz w:val="16"/>
                <w:szCs w:val="16"/>
                <w:b w:val="1"/>
                <w:bCs w:val="1"/>
                <w:color w:val="auto"/>
              </w:rPr>
              <w:t>250.0</w:t>
            </w:r>
          </w:p>
        </w:tc>
      </w:tr>
      <w:tr>
        <w:trPr>
          <w:trHeight w:val="20"/>
        </w:trPr>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We held a $300.0 million revolving credit facility pursuant to our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207"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On April 18, 2022, we and each of our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is equal to $400.0 million; (b) extends the maturity date of the revolving credit facility from</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November 21, 2022 to April 18, 2027; and (c) replaces London Inter-Bank Offered Rate (“LIBOR”) with the Secured Overnight Financing Rate (“SOFR”) as the reference rate for the U.S. dollar borrowings.</w:t>
      </w:r>
    </w:p>
    <w:p>
      <w:pPr>
        <w:spacing w:after="0" w:line="194"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2022 Credit Agreement provides an option to increase the commitments by up to $200.0 million,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273"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Obligations under the 2022 Credit Agreement are guaranteed by our material domestic subsidiaries and are secured by all or substantially all of our and our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2022 Credit Agreement contains a covenant to not permit the interest coverage ratio or the total net leverage ratio, both, as defined, for the four consecutive quarter period ending on the last day of each fiscal quarter, to be less than 3.0 to 1.0 or more than 3.5 to 1.0, respectively.</w:t>
      </w:r>
    </w:p>
    <w:p>
      <w:pPr>
        <w:spacing w:after="0" w:line="130" w:lineRule="exact"/>
        <w:rPr>
          <w:sz w:val="20"/>
          <w:szCs w:val="20"/>
          <w:color w:val="auto"/>
        </w:rPr>
      </w:pPr>
    </w:p>
    <w:p>
      <w:pPr>
        <w:jc w:val="both"/>
        <w:ind w:firstLine="394"/>
        <w:spacing w:after="0" w:line="242" w:lineRule="auto"/>
        <w:rPr>
          <w:sz w:val="20"/>
          <w:szCs w:val="20"/>
          <w:color w:val="auto"/>
        </w:rPr>
      </w:pPr>
      <w:r>
        <w:rPr>
          <w:rFonts w:ascii="Times New Roman" w:cs="Times New Roman" w:eastAsia="Times New Roman" w:hAnsi="Times New Roman"/>
          <w:sz w:val="18"/>
          <w:szCs w:val="18"/>
          <w:color w:val="auto"/>
        </w:rPr>
        <w:t>The 2022 Credit Agreement bears interest at a rate equal to specified prime rate (alternate base rate) or adjusted SOFR, plus, in each case, an applicable margin. The applicable margin is tied to our total net leverage ratio and ranges from 0% to 0.75% per annum on loans pegged to the specified prime rate, and 0.88% to 1.75% per annum on loans pegged to the adjusted SOFR. The revolving credit commitments under the 2022 Credit Agreement are subject to a commitment fee which is also tied to our total net leverage ratio, and ranges from 0.13% to 0.28% per annum on the average daily amount by which the aggregate revolving commitments exceed the sum of outstanding revolving loans and letter of credit obligations.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revolving credit facility carried an effective interest rate as shown below:-</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140" w:type="dxa"/>
            <w:vAlign w:val="bottom"/>
            <w:tcBorders>
              <w:bottom w:val="single" w:sz="8" w:color="auto"/>
            </w:tcBorders>
          </w:tcPr>
          <w:p>
            <w:pPr>
              <w:spacing w:after="0"/>
              <w:rPr>
                <w:sz w:val="18"/>
                <w:szCs w:val="18"/>
                <w:color w:val="auto"/>
              </w:rPr>
            </w:pPr>
          </w:p>
        </w:tc>
      </w:tr>
      <w:tr>
        <w:trPr>
          <w:trHeight w:val="205"/>
        </w:trPr>
        <w:tc>
          <w:tcPr>
            <w:tcW w:w="49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126" w:lineRule="exact"/>
        <w:rPr>
          <w:sz w:val="20"/>
          <w:szCs w:val="20"/>
          <w:color w:val="auto"/>
        </w:rPr>
      </w:pPr>
    </w:p>
    <w:p>
      <w:pPr>
        <w:ind w:right="900" w:firstLine="434"/>
        <w:spacing w:after="0" w:line="426" w:lineRule="auto"/>
        <w:rPr>
          <w:sz w:val="20"/>
          <w:szCs w:val="20"/>
          <w:color w:val="auto"/>
        </w:rPr>
      </w:pPr>
      <w:r>
        <w:rPr>
          <w:rFonts w:ascii="Times New Roman" w:cs="Times New Roman" w:eastAsia="Times New Roman" w:hAnsi="Times New Roman"/>
          <w:sz w:val="18"/>
          <w:szCs w:val="18"/>
          <w:color w:val="auto"/>
        </w:rPr>
        <w:t xml:space="preserve">As of December 31, 2023 and 2022, we were in compliance with all financial and non-financial covenants under the 2022 Credit Agreement. </w:t>
      </w:r>
      <w:r>
        <w:rPr>
          <w:rFonts w:ascii="Times New Roman" w:cs="Times New Roman" w:eastAsia="Times New Roman" w:hAnsi="Times New Roman"/>
          <w:sz w:val="18"/>
          <w:szCs w:val="18"/>
          <w:b w:val="1"/>
          <w:bCs w:val="1"/>
          <w:color w:val="auto"/>
        </w:rPr>
        <w:t>Recent Accounting Pronouncements</w:t>
      </w:r>
    </w:p>
    <w:p>
      <w:pPr>
        <w:spacing w:after="0" w:line="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consolidated financial statements under 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Market risk is the volatility of future earnings and cash flows that may result from changes in interest rates and foreign currency exchange rates.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Our exposure to market risk is a function of our expenses and revenue generating activities in foreign currencies. The objective of market risk management is to avoid excessive exposure to our earnings and equity of such market driven losses. We manage market risk through our treasury operations using financial instruments. Our senior management and our board of directors approve our treasury operations’ objectives and policies. The responsibilities of our treasury operations include management of cash resources, including borrowing strategies, implementing hedging strategies for foreign currency exposures, and ensuring compliance with market risk limits and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161" w:lineRule="exact"/>
        <w:rPr>
          <w:sz w:val="20"/>
          <w:szCs w:val="20"/>
          <w:color w:val="auto"/>
        </w:rPr>
      </w:pPr>
    </w:p>
    <w:p>
      <w:pPr>
        <w:jc w:val="both"/>
        <w:ind w:firstLine="434"/>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Currency Risk. </w:t>
      </w:r>
      <w:r>
        <w:rPr>
          <w:rFonts w:ascii="Times New Roman" w:cs="Times New Roman" w:eastAsia="Times New Roman" w:hAnsi="Times New Roman"/>
          <w:sz w:val="16"/>
          <w:szCs w:val="16"/>
          <w:color w:val="auto"/>
        </w:rPr>
        <w:t>We are exposed to foreign currency exchange rate risk. Our revenues are primarily denominated in the U.S. dollar representing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86.2% of our total revenues and the U.K. pound sterling representing 10.1% of our total revenues for fiscal 2023. A significant portion of our expenses are incurred in the Indian rupee, the Philippine peso and the U.K. pound sterling, representing 28.5%, 8.2% and 3.1%, respectively, of our total expenses for fiscal 2023. We also incur expenses in the U.S. dollar and currencies of other countries where we have operations. The exchange rates among the Indian rupee, the Philippine peso, the U.K. pound sterling and the U.S. dollar have fluctuated within the fiscal 2023, over the recent years and may fluctuate in the future.</w:t>
      </w:r>
    </w:p>
    <w:p>
      <w:pPr>
        <w:spacing w:after="0" w:line="88"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8"/>
          <w:szCs w:val="18"/>
          <w:color w:val="auto"/>
        </w:rPr>
        <w:t>Our foreign currency exchange rate risk primarily arises from our foreign currency revenues, expenses incurred by our subsidiaries, including foreign subsidiaries in foreign currencies and foreign currency accounts receivable and payable. The average exchange rate of the U.S dollar against the Indian rupee increased from 78.81 for fiscal 2022 to 82.60 for fiscal 2023, representing a depreciation of 4.8% against the U.S dollar. The average exchange rate of the U.S dollar against the Philippine peso increased from 54.47 for fiscal 2022 to 55.56 for fiscal 2023, representing a depreciation of 2.0% against the U.S dollar. The average exchange rate of the U.K. pound sterling against the U.S. dollar increased from 1.23 for fiscal 2022 to 1.25 for fiscal 2023, representing an appreciation of 1.3% against the U.S dollar. Based upon our level of operations for fiscal 2023 and excluding any hedging arrangements that we had in place during that period, a 10% appreciation/depreciation in the Indian rupee, the Philippine peso and the U.K. pound sterling against the U.S. dollar would have increased/decreased our revenues by approximately $7.4 million, $0.6 million and $9.3 million, respectively and increased/decreased our expenses incurred by approximately $39.7 million, $11.4 million and $4.3 million, respectively for fiscal 2023.</w:t>
      </w:r>
    </w:p>
    <w:p>
      <w:pPr>
        <w:spacing w:after="0" w:line="147"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the foreign exchange currency risks. In addition, any such contracts may not perform effectively as a hedging mechanism. We may, in the future, make changes to our hedging policies, and have done so in the past. The principal foreign currencies that are hedged are the Indian rupee and the Philippine peso.</w:t>
      </w:r>
    </w:p>
    <w:p>
      <w:pPr>
        <w:spacing w:after="0" w:line="139"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impact related to these foreign currency forward contracts on earnings and/or cash flows is immaterial as the impact of the maturing cash flow hedges in respective periods are intended to primarily offset the foreign currency impact on the related expenses. Further, some of our client contracts include protection against foreign currency exchange rate fluctuations which minimizes the impact of volatility in the exchange rates on our operating results.</w:t>
      </w:r>
    </w:p>
    <w:p>
      <w:pPr>
        <w:spacing w:after="0" w:line="9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As of December 31, 2023 and 2022, we had outstanding cash flow hedges with notional amounts of $722.8 million and $841.6 million, respectively, with the maximum outstanding term of approximately 42 months and 45 months, respectively. The mark-to-market gain/(loss), net upon fair valuation of outstanding cash flow hedges as of December 31, 2023 and 2022 was $5.4 million and $(14.2) million, respectively, and is included in “Accumulated other comprehensive income/(loss)” on our consolidated balance sheets. For fiscal 2023 and 2022, we recognized $5.7 million and $4.3 million, respectively, as foreign exchange loss from maturing cash flow hedges, which was largely offset by the foreign exchange translation gain on the related expenses.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434"/>
        <w:spacing w:after="0" w:line="263" w:lineRule="auto"/>
        <w:rPr>
          <w:sz w:val="20"/>
          <w:szCs w:val="20"/>
          <w:color w:val="auto"/>
        </w:rPr>
      </w:pPr>
      <w:r>
        <w:rPr>
          <w:rFonts w:ascii="Times New Roman" w:cs="Times New Roman" w:eastAsia="Times New Roman" w:hAnsi="Times New Roman"/>
          <w:sz w:val="17"/>
          <w:szCs w:val="17"/>
          <w:color w:val="auto"/>
        </w:rPr>
        <w:t>We also enter into foreign currency forward contracts from time to time to hedge our intercompany balances and other monetary assets and liabilities denominated in currencies other than functional currencies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Changes in the fair value of these financial instruments are recognized in our consolidated statements of income and are included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exchange gain, net.” These financial instruments mitigate balance sheet risk due to foreign currency exchange rate movements as gains and losses on the settlement of these financial instruments are intended to offset the revaluation gains and losses on the foreign currency denominated monetary assets and monetary liabilities being hedged. Foreign currency forward contracts with notional amounts of the U. S. dollar (USD) 170.5 million, the U.K. pound sterling (GBP) 14.5 million, the Euro (EUR) 5.2 million, South African rand (ZAR) 150.2 million and the Australian dollar (AUD) 3.5 million were outstanding as of</w:t>
      </w:r>
    </w:p>
    <w:p>
      <w:pPr>
        <w:spacing w:after="0" w:line="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December 31, 2023 compared to USD 164.0 million, GBP 8.4 million, EUR 2.0 million and AUD 2.0 million outstanding as of December 31, 2022. The fair values of these financial instruments as of December 31, 2023 and 2022 were insignificant and are included in the “Foreign exchange gain, net” in our consolidated statements of income. As of December 31, 2023 and 2022, the outstanding derivative instruments had maturities of a maximum of 31 days, each.</w:t>
      </w:r>
    </w:p>
    <w:p>
      <w:pPr>
        <w:spacing w:after="0" w:line="75"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also exposed to interest rate risk arising from our indebtedness. In order to mitigate our exposure to fluctuations in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and minimize the earnings and cash flow volatility associated with floating rate indebtedness, we enter into interest rate swaps to hedge cash flow risks on our revolving credit facility having floating interest rate obligations. The swap transaction involves the exchange of fixed for floating interest payments. However, in circumstances where we believe additional fixed-rate debt would be beneficial, we may choose to terminate a previously executed swap, or swap certain floating interest payments to fixed.</w:t>
      </w:r>
    </w:p>
    <w:p>
      <w:pPr>
        <w:spacing w:after="0" w:line="130" w:lineRule="exact"/>
        <w:rPr>
          <w:sz w:val="20"/>
          <w:szCs w:val="20"/>
          <w:color w:val="auto"/>
        </w:rPr>
      </w:pPr>
    </w:p>
    <w:p>
      <w:pPr>
        <w:jc w:val="both"/>
        <w:ind w:firstLine="434"/>
        <w:spacing w:after="0" w:line="226" w:lineRule="auto"/>
        <w:rPr>
          <w:sz w:val="20"/>
          <w:szCs w:val="20"/>
          <w:color w:val="auto"/>
        </w:rPr>
      </w:pPr>
      <w:r>
        <w:rPr>
          <w:rFonts w:ascii="Times New Roman" w:cs="Times New Roman" w:eastAsia="Times New Roman" w:hAnsi="Times New Roman"/>
          <w:sz w:val="18"/>
          <w:szCs w:val="18"/>
          <w:color w:val="auto"/>
        </w:rPr>
        <w:t>As described in Part II, Item 7, “Management’s Discussion and Analysis of Financial Condition and Results of Operations,” we held our $300.0 million revolving credit facility and a letter of credit sub-facility pursuant to our Credit Agreement dated November 21, 2017. The revolving credit facility originally had a maturity date of November 21, 2022 and was voluntarily pre-payable from time to time without premium or penalty. On April 18, 2022, we entered into the 2022 Credit Agreement, that provides for a $400.0 million revolving credit facility and a letter of credit sub-facility. We have an option to increase the commitments under the 2022 Credit Agreement by up to an additional $200.0 million. The revolving credit facility has a maturity date of April 18, 2027 and is voluntarily pre-payable from time to time without premium or penalty.</w:t>
      </w:r>
    </w:p>
    <w:p>
      <w:pPr>
        <w:spacing w:after="0" w:line="119" w:lineRule="exact"/>
        <w:rPr>
          <w:sz w:val="20"/>
          <w:szCs w:val="20"/>
          <w:color w:val="auto"/>
        </w:rPr>
      </w:pPr>
    </w:p>
    <w:p>
      <w:pPr>
        <w:jc w:val="both"/>
        <w:ind w:firstLine="434"/>
        <w:spacing w:after="0" w:line="224" w:lineRule="auto"/>
        <w:rPr>
          <w:sz w:val="20"/>
          <w:szCs w:val="20"/>
          <w:color w:val="auto"/>
        </w:rPr>
      </w:pPr>
      <w:r>
        <w:rPr>
          <w:rFonts w:ascii="Times New Roman" w:cs="Times New Roman" w:eastAsia="Times New Roman" w:hAnsi="Times New Roman"/>
          <w:sz w:val="18"/>
          <w:szCs w:val="18"/>
          <w:color w:val="auto"/>
        </w:rPr>
        <w:t>The 2022 Credit Agreement bears interest at a rate equal to specified prime rate (alternate base rate) or adjusted SOFR plus, in each case, an applicable margin. The applicable margin is tied to our total net leverage ratio and ranges from 0% to 0.75% per annum on loans pegged to the specified prime rate, and 0.88% to 1.75% per annum on loans pegged to the adjusted SOFR. The revolving credit commitments under 2022 Credit Agreement are subject to a commitment fee which is also tied to our total net leverage ratio, and ranges from 0.13% to 0.28% per annum on the average daily amount by which the aggregate revolving commitments exceed the sum of outstanding revolving loans and letter of credit obligations. A 50 basis point increase or decrease in interest rates would have impacted our interest expense for fiscal 2023 by approximately $1.1 million.</w:t>
      </w:r>
    </w:p>
    <w:p>
      <w:pPr>
        <w:spacing w:after="0" w:line="129"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8"/>
          <w:szCs w:val="18"/>
          <w:color w:val="auto"/>
        </w:rPr>
        <w:t>We manage a portion of our interest rate risk related to our revolving credit facility having variable interest rate obligations by entering into interest rate swaps under which we receive floating rate payments based on SOFR and make payments based on a fixed rate. As of December 31, 2023 and 2022, we had outstanding interest rate swaps having a notional amount of $75.0 million, each.</w:t>
      </w:r>
    </w:p>
    <w:p>
      <w:pPr>
        <w:spacing w:after="0" w:line="115" w:lineRule="exact"/>
        <w:rPr>
          <w:sz w:val="20"/>
          <w:szCs w:val="20"/>
          <w:color w:val="auto"/>
        </w:rPr>
      </w:pPr>
    </w:p>
    <w:p>
      <w:pPr>
        <w:jc w:val="both"/>
        <w:ind w:firstLine="434"/>
        <w:spacing w:after="0" w:line="225" w:lineRule="auto"/>
        <w:rPr>
          <w:sz w:val="20"/>
          <w:szCs w:val="20"/>
          <w:color w:val="auto"/>
        </w:rPr>
      </w:pPr>
      <w:r>
        <w:rPr>
          <w:rFonts w:ascii="Times New Roman" w:cs="Times New Roman" w:eastAsia="Times New Roman" w:hAnsi="Times New Roman"/>
          <w:sz w:val="18"/>
          <w:szCs w:val="18"/>
          <w:color w:val="auto"/>
        </w:rPr>
        <w:t>We had cash, cash equivalents and short-term investments totaling $290.8 million and $297.7 million as of December 31, 2023 and 2022, respectively. These amounts were invested principally in a short-term investment portfolio primarily comprised of highly-rated debt mutual funds, money market funds and time deposits. We do not make such investments for trading or speculative purposes. The cash and cash equivalents are held for potential acquisitions of complementary businesses or assets, capital expenditures, working capital requirements and general corporate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would have impacted our interest and dividend income for fiscal 2023 by approximately $0.9 million.</w:t>
      </w:r>
    </w:p>
    <w:p>
      <w:pPr>
        <w:spacing w:after="0" w:line="123"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As of December 31, 2023 and 2022, we have accounts receivable, net $308.1 million and $259.2 million, respectively. We believe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our accounts receivable, net as on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42" w:lineRule="exact"/>
        <w:rPr>
          <w:sz w:val="20"/>
          <w:szCs w:val="20"/>
          <w:color w:val="auto"/>
        </w:rPr>
      </w:pPr>
    </w:p>
    <w:p>
      <w:pPr>
        <w:ind w:right="160" w:firstLine="434"/>
        <w:spacing w:after="0" w:line="253"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 list of the financial statements filed herewith can be found at Part IV, Item 15, “Exhibits and Financial Statement Schedules.”</w:t>
      </w:r>
    </w:p>
    <w:p>
      <w:pPr>
        <w:spacing w:after="0" w:line="3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 with Accountants on Accounting and Financial Disclosure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to allow timely decisions regarding required disclosure. In connection with the preparation of this Annual Report on Form 10-K, our management carried out an evaluation, under the supervision and with the participation of the CEO and CFO, of the effectiveness and operation of our disclosure controls and procedures as of December 31, 2023. Based upon that evaluation, our CEO and CFO have concluded that our disclosure controls and procedures, as of December 31, 2023, were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Financial Statements</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3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been retained to audit our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26"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our internal auditors and with management to review accounting, auditing, internal control and financial reporting matters.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130" w:lineRule="exact"/>
        <w:rPr>
          <w:sz w:val="20"/>
          <w:szCs w:val="20"/>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U.S. GAAP;</w:t>
      </w:r>
    </w:p>
    <w:p>
      <w:pPr>
        <w:spacing w:after="0" w:line="184" w:lineRule="exact"/>
        <w:rPr>
          <w:rFonts w:ascii="Times New Roman" w:cs="Times New Roman" w:eastAsia="Times New Roman" w:hAnsi="Times New Roman"/>
          <w:sz w:val="16"/>
          <w:szCs w:val="16"/>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the authorization of our management and our board of directors; and</w:t>
      </w:r>
    </w:p>
    <w:p>
      <w:pPr>
        <w:spacing w:after="0" w:line="11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1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assessed the effectiveness of our internal control over financial reporting as of December 31, 2023. In making this assessment, management used the criteria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2023. See Deloitte &amp; Touche LLP’s accompanying attestation report on their audit of our internal controls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5"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During the three months ended December 31, 2023,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0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65"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3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additional information required by this Item 10 will be set forth in the definitive proxy statement for our 2024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ended December 31, 2023.</w:t>
      </w:r>
    </w:p>
    <w:p>
      <w:pPr>
        <w:spacing w:after="0" w:line="200" w:lineRule="exact"/>
        <w:rPr>
          <w:sz w:val="20"/>
          <w:szCs w:val="20"/>
          <w:color w:val="auto"/>
        </w:rPr>
      </w:pPr>
    </w:p>
    <w:p>
      <w:pPr>
        <w:spacing w:after="0" w:line="3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“Executive Compensation — Compensation Discussion and Analysis,” “— Compensation and Talent Management Committee Report,” “— Summary Compensation Table for Fiscal Year 2023,” “— Grants of Plan-Based Awards Table for Fiscal Year 2023,” “Outstanding Equity Awards at Fiscal 2023 Year-End,” “Option Exercises and Stock Vested During Fiscal Year 2023,” “— Pension Benefits for Fiscal Year 2023,” “— Potential Payments upon Termination or Change in Control at Fiscal 2023 Year-End,” “— Director Compensation for Fiscal Year 2023,” “— Risk and Compensation Policies” and “Corporate Governance — Compensation and Talent Management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1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“Principal Stockholders.”</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1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63"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161" w:lineRule="exact"/>
        <w:rPr>
          <w:sz w:val="20"/>
          <w:szCs w:val="20"/>
          <w:color w:val="auto"/>
        </w:rPr>
      </w:pPr>
    </w:p>
    <w:p>
      <w:pPr>
        <w:ind w:left="800"/>
        <w:spacing w:after="0" w:line="268"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in the Annual Report on Form 10-K are listed on page F-1 hereof. The required financial statements appear on pages F-5 through F-58 hereof.</w:t>
      </w:r>
    </w:p>
    <w:p>
      <w:pPr>
        <w:spacing w:after="0" w:line="116" w:lineRule="exact"/>
        <w:rPr>
          <w:sz w:val="20"/>
          <w:szCs w:val="20"/>
          <w:color w:val="auto"/>
        </w:rPr>
      </w:pPr>
    </w:p>
    <w:p>
      <w:pPr>
        <w:ind w:left="800" w:hanging="401"/>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61" w:lineRule="exact"/>
        <w:rPr>
          <w:rFonts w:ascii="Times New Roman" w:cs="Times New Roman" w:eastAsia="Times New Roman" w:hAnsi="Times New Roman"/>
          <w:sz w:val="18"/>
          <w:szCs w:val="18"/>
          <w:color w:val="auto"/>
        </w:rPr>
      </w:pPr>
    </w:p>
    <w:p>
      <w:pPr>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116"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1" w:lineRule="exact"/>
        <w:rPr>
          <w:rFonts w:ascii="Times New Roman" w:cs="Times New Roman" w:eastAsia="Times New Roman" w:hAnsi="Times New Roman"/>
          <w:sz w:val="18"/>
          <w:szCs w:val="18"/>
          <w:color w:val="auto"/>
        </w:rPr>
      </w:pPr>
    </w:p>
    <w:p>
      <w:pPr>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116"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15(a)(3) above.</w:t>
      </w:r>
    </w:p>
    <w:p>
      <w:pPr>
        <w:spacing w:after="0" w:line="161"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06" w:lineRule="exact"/>
        <w:rPr>
          <w:sz w:val="20"/>
          <w:szCs w:val="20"/>
          <w:color w:val="auto"/>
        </w:rPr>
      </w:pPr>
    </w:p>
    <w:p>
      <w:pPr>
        <w:ind w:left="460"/>
        <w:spacing w:after="0"/>
        <w:tabs>
          <w:tab w:leader="none" w:pos="53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6"/>
          <w:szCs w:val="16"/>
          <w:b w:val="1"/>
          <w:bCs w:val="1"/>
          <w:color w:val="auto"/>
        </w:rPr>
        <w:t>EXLSERVICE HOLDINGS, INC.</w:t>
      </w:r>
    </w:p>
    <w:p>
      <w:pPr>
        <w:spacing w:after="0" w:line="257" w:lineRule="exact"/>
        <w:rPr>
          <w:sz w:val="20"/>
          <w:szCs w:val="20"/>
          <w:color w:val="auto"/>
        </w:rPr>
      </w:pPr>
    </w:p>
    <w:p>
      <w:pPr>
        <w:ind w:left="536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29210</wp:posOffset>
            </wp:positionV>
            <wp:extent cx="34169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MAURIZIO NICOLELLI</w:t>
      </w:r>
    </w:p>
    <w:p>
      <w:pPr>
        <w:ind w:left="5980"/>
        <w:spacing w:after="0" w:line="198"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598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21"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080" w:type="dxa"/>
            <w:vAlign w:val="bottom"/>
          </w:tcPr>
          <w:p>
            <w:pPr>
              <w:spacing w:after="0"/>
              <w:rPr>
                <w:sz w:val="13"/>
                <w:szCs w:val="1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2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144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2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w w:val="99"/>
              </w:rPr>
              <w:t>R</w:t>
            </w:r>
            <w:r>
              <w:rPr>
                <w:rFonts w:ascii="Times New Roman" w:cs="Times New Roman" w:eastAsia="Times New Roman" w:hAnsi="Times New Roman"/>
                <w:sz w:val="14"/>
                <w:szCs w:val="14"/>
                <w:color w:val="auto"/>
                <w:w w:val="99"/>
              </w:rPr>
              <w:t>OHIT</w:t>
            </w:r>
            <w:r>
              <w:rPr>
                <w:rFonts w:ascii="Times New Roman" w:cs="Times New Roman" w:eastAsia="Times New Roman" w:hAnsi="Times New Roman"/>
                <w:sz w:val="18"/>
                <w:szCs w:val="18"/>
                <w:color w:val="auto"/>
                <w:w w:val="99"/>
              </w:rPr>
              <w:t xml:space="preserve"> K</w:t>
            </w:r>
            <w:r>
              <w:rPr>
                <w:rFonts w:ascii="Times New Roman" w:cs="Times New Roman" w:eastAsia="Times New Roman" w:hAnsi="Times New Roman"/>
                <w:sz w:val="14"/>
                <w:szCs w:val="14"/>
                <w:color w:val="auto"/>
                <w:w w:val="99"/>
              </w:rPr>
              <w:t>APOOR</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Vice-Chairman and 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66"/>
        </w:trPr>
        <w:tc>
          <w:tcPr>
            <w:tcW w:w="1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8"/>
              </w:rPr>
              <w:t>Rohit Kapoor</w:t>
            </w:r>
          </w:p>
        </w:tc>
        <w:tc>
          <w:tcPr>
            <w:tcW w:w="434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4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294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color w:val="auto"/>
                <w:w w:val="99"/>
              </w:rPr>
              <w:t>M</w:t>
            </w:r>
            <w:r>
              <w:rPr>
                <w:rFonts w:ascii="Times New Roman" w:cs="Times New Roman" w:eastAsia="Times New Roman" w:hAnsi="Times New Roman"/>
                <w:sz w:val="14"/>
                <w:szCs w:val="14"/>
                <w:color w:val="auto"/>
                <w:w w:val="99"/>
              </w:rPr>
              <w:t>AURIZIO</w:t>
            </w:r>
            <w:r>
              <w:rPr>
                <w:rFonts w:ascii="Times New Roman" w:cs="Times New Roman" w:eastAsia="Times New Roman" w:hAnsi="Times New Roman"/>
                <w:sz w:val="18"/>
                <w:szCs w:val="18"/>
                <w:color w:val="auto"/>
                <w:w w:val="99"/>
              </w:rPr>
              <w:t xml:space="preserve"> N</w:t>
            </w:r>
            <w:r>
              <w:rPr>
                <w:rFonts w:ascii="Times New Roman" w:cs="Times New Roman" w:eastAsia="Times New Roman" w:hAnsi="Times New Roman"/>
                <w:sz w:val="14"/>
                <w:szCs w:val="14"/>
                <w:color w:val="auto"/>
                <w:w w:val="99"/>
              </w:rPr>
              <w:t>ICOLELLI</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66"/>
        </w:trPr>
        <w:tc>
          <w:tcPr>
            <w:tcW w:w="1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c>
          <w:tcPr>
            <w:tcW w:w="1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940" w:type="dxa"/>
            <w:vAlign w:val="bottom"/>
            <w:gridSpan w:val="4"/>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Maurizio Nicolelli</w:t>
            </w:r>
          </w:p>
        </w:tc>
        <w:tc>
          <w:tcPr>
            <w:tcW w:w="434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4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IKRAM</w:t>
            </w:r>
            <w:r>
              <w:rPr>
                <w:rFonts w:ascii="Times New Roman" w:cs="Times New Roman" w:eastAsia="Times New Roman" w:hAnsi="Times New Roman"/>
                <w:sz w:val="18"/>
                <w:szCs w:val="18"/>
                <w:color w:val="auto"/>
              </w:rPr>
              <w:t xml:space="preserve"> S. P</w:t>
            </w:r>
            <w:r>
              <w:rPr>
                <w:rFonts w:ascii="Times New Roman" w:cs="Times New Roman" w:eastAsia="Times New Roman" w:hAnsi="Times New Roman"/>
                <w:sz w:val="14"/>
                <w:szCs w:val="14"/>
                <w:color w:val="auto"/>
              </w:rPr>
              <w:t>ANDIT</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of the Board</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940" w:type="dxa"/>
            <w:vAlign w:val="bottom"/>
            <w:gridSpan w:val="4"/>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9"/>
              </w:rPr>
              <w:t>Vikram S. Pandit</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20" w:type="dxa"/>
            <w:vAlign w:val="bottom"/>
            <w:tcBorders>
              <w:bottom w:val="single" w:sz="8" w:color="auto"/>
            </w:tcBorders>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4"/>
                <w:szCs w:val="14"/>
                <w:color w:val="auto"/>
                <w:w w:val="99"/>
              </w:rPr>
              <w:t>NDREAS</w:t>
            </w:r>
            <w:r>
              <w:rPr>
                <w:rFonts w:ascii="Times New Roman" w:cs="Times New Roman" w:eastAsia="Times New Roman" w:hAnsi="Times New Roman"/>
                <w:sz w:val="18"/>
                <w:szCs w:val="18"/>
                <w:color w:val="auto"/>
                <w:w w:val="99"/>
              </w:rPr>
              <w:t xml:space="preserve"> F</w:t>
            </w:r>
            <w:r>
              <w:rPr>
                <w:rFonts w:ascii="Times New Roman" w:cs="Times New Roman" w:eastAsia="Times New Roman" w:hAnsi="Times New Roman"/>
                <w:sz w:val="14"/>
                <w:szCs w:val="14"/>
                <w:color w:val="auto"/>
                <w:w w:val="99"/>
              </w:rPr>
              <w:t>IBIG</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Andreas Fibig</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8"/>
                <w:szCs w:val="18"/>
                <w:color w:val="auto"/>
                <w:w w:val="96"/>
              </w:rPr>
              <w:t>S</w:t>
            </w:r>
            <w:r>
              <w:rPr>
                <w:rFonts w:ascii="Times New Roman" w:cs="Times New Roman" w:eastAsia="Times New Roman" w:hAnsi="Times New Roman"/>
                <w:sz w:val="14"/>
                <w:szCs w:val="14"/>
                <w:color w:val="auto"/>
                <w:w w:val="96"/>
              </w:rPr>
              <w:t>OM</w:t>
            </w:r>
            <w:r>
              <w:rPr>
                <w:rFonts w:ascii="Times New Roman" w:cs="Times New Roman" w:eastAsia="Times New Roman" w:hAnsi="Times New Roman"/>
                <w:sz w:val="18"/>
                <w:szCs w:val="18"/>
                <w:color w:val="auto"/>
                <w:w w:val="96"/>
              </w:rPr>
              <w:t xml:space="preserve"> M</w:t>
            </w:r>
            <w:r>
              <w:rPr>
                <w:rFonts w:ascii="Times New Roman" w:cs="Times New Roman" w:eastAsia="Times New Roman" w:hAnsi="Times New Roman"/>
                <w:sz w:val="14"/>
                <w:szCs w:val="14"/>
                <w:color w:val="auto"/>
                <w:w w:val="96"/>
              </w:rPr>
              <w:t>ITTAL</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Som Mittal</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20" w:type="dxa"/>
            <w:vAlign w:val="bottom"/>
            <w:tcBorders>
              <w:bottom w:val="single" w:sz="8" w:color="auto"/>
            </w:tcBorders>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K</w:t>
            </w:r>
            <w:r>
              <w:rPr>
                <w:rFonts w:ascii="Times New Roman" w:cs="Times New Roman" w:eastAsia="Times New Roman" w:hAnsi="Times New Roman"/>
                <w:sz w:val="14"/>
                <w:szCs w:val="14"/>
                <w:color w:val="auto"/>
                <w:w w:val="99"/>
              </w:rPr>
              <w:t>RISTY</w:t>
            </w:r>
            <w:r>
              <w:rPr>
                <w:rFonts w:ascii="Times New Roman" w:cs="Times New Roman" w:eastAsia="Times New Roman" w:hAnsi="Times New Roman"/>
                <w:sz w:val="18"/>
                <w:szCs w:val="18"/>
                <w:color w:val="auto"/>
                <w:w w:val="99"/>
              </w:rPr>
              <w:t xml:space="preserve"> P</w:t>
            </w:r>
            <w:r>
              <w:rPr>
                <w:rFonts w:ascii="Times New Roman" w:cs="Times New Roman" w:eastAsia="Times New Roman" w:hAnsi="Times New Roman"/>
                <w:sz w:val="14"/>
                <w:szCs w:val="14"/>
                <w:color w:val="auto"/>
                <w:w w:val="99"/>
              </w:rPr>
              <w:t>IPES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Kristy Pipes</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262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N</w:t>
            </w:r>
            <w:r>
              <w:rPr>
                <w:rFonts w:ascii="Times New Roman" w:cs="Times New Roman" w:eastAsia="Times New Roman" w:hAnsi="Times New Roman"/>
                <w:sz w:val="14"/>
                <w:szCs w:val="14"/>
                <w:color w:val="auto"/>
                <w:w w:val="99"/>
              </w:rPr>
              <w:t>ITIN</w:t>
            </w:r>
            <w:r>
              <w:rPr>
                <w:rFonts w:ascii="Times New Roman" w:cs="Times New Roman" w:eastAsia="Times New Roman" w:hAnsi="Times New Roman"/>
                <w:sz w:val="18"/>
                <w:szCs w:val="18"/>
                <w:color w:val="auto"/>
                <w:w w:val="99"/>
              </w:rPr>
              <w:t xml:space="preserve"> S</w:t>
            </w:r>
            <w:r>
              <w:rPr>
                <w:rFonts w:ascii="Times New Roman" w:cs="Times New Roman" w:eastAsia="Times New Roman" w:hAnsi="Times New Roman"/>
                <w:sz w:val="14"/>
                <w:szCs w:val="14"/>
                <w:color w:val="auto"/>
                <w:w w:val="99"/>
              </w:rPr>
              <w:t>AHNEY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Nitin Sahney</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4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8"/>
                <w:szCs w:val="18"/>
                <w:color w:val="auto"/>
                <w:w w:val="98"/>
              </w:rPr>
              <w:t>J</w:t>
            </w:r>
            <w:r>
              <w:rPr>
                <w:rFonts w:ascii="Times New Roman" w:cs="Times New Roman" w:eastAsia="Times New Roman" w:hAnsi="Times New Roman"/>
                <w:sz w:val="14"/>
                <w:szCs w:val="14"/>
                <w:color w:val="auto"/>
                <w:w w:val="98"/>
              </w:rPr>
              <w:t>AYNIE</w:t>
            </w:r>
            <w:r>
              <w:rPr>
                <w:rFonts w:ascii="Times New Roman" w:cs="Times New Roman" w:eastAsia="Times New Roman" w:hAnsi="Times New Roman"/>
                <w:sz w:val="18"/>
                <w:szCs w:val="18"/>
                <w:color w:val="auto"/>
                <w:w w:val="98"/>
              </w:rPr>
              <w:t xml:space="preserve"> M. S</w:t>
            </w:r>
            <w:r>
              <w:rPr>
                <w:rFonts w:ascii="Times New Roman" w:cs="Times New Roman" w:eastAsia="Times New Roman" w:hAnsi="Times New Roman"/>
                <w:sz w:val="14"/>
                <w:szCs w:val="14"/>
                <w:color w:val="auto"/>
                <w:w w:val="98"/>
              </w:rPr>
              <w:t>TUDENMUND</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940" w:type="dxa"/>
            <w:vAlign w:val="bottom"/>
            <w:gridSpan w:val="4"/>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Jaynie M. Studenmund</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4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4"/>
                <w:szCs w:val="14"/>
                <w:color w:val="auto"/>
                <w:w w:val="99"/>
              </w:rPr>
              <w:t>ARAH</w:t>
            </w:r>
            <w:r>
              <w:rPr>
                <w:rFonts w:ascii="Times New Roman" w:cs="Times New Roman" w:eastAsia="Times New Roman" w:hAnsi="Times New Roman"/>
                <w:sz w:val="18"/>
                <w:szCs w:val="18"/>
                <w:color w:val="auto"/>
                <w:w w:val="99"/>
              </w:rPr>
              <w:t xml:space="preserve"> K. W</w:t>
            </w:r>
            <w:r>
              <w:rPr>
                <w:rFonts w:ascii="Times New Roman" w:cs="Times New Roman" w:eastAsia="Times New Roman" w:hAnsi="Times New Roman"/>
                <w:sz w:val="14"/>
                <w:szCs w:val="14"/>
                <w:color w:val="auto"/>
                <w:w w:val="99"/>
              </w:rPr>
              <w:t>ILLIAMSON</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5"/>
              </w:rPr>
              <w:t>February 29, 2024</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940" w:type="dxa"/>
            <w:vAlign w:val="bottom"/>
            <w:gridSpan w:val="4"/>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Sarah K. Williamson</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320" w:top="356" w:right="8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2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21"/>
        </w:trPr>
        <w:tc>
          <w:tcPr>
            <w:tcW w:w="11360" w:type="dxa"/>
            <w:vAlign w:val="bottom"/>
            <w:gridSpan w:val="20"/>
          </w:tcPr>
          <w:p>
            <w:pPr>
              <w:ind w:left="4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tc>
      </w:tr>
      <w:tr>
        <w:trPr>
          <w:trHeight w:val="421"/>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w:t>
            </w:r>
          </w:p>
        </w:tc>
        <w:tc>
          <w:tcPr>
            <w:tcW w:w="9840" w:type="dxa"/>
            <w:vAlign w:val="bottom"/>
            <w:gridSpan w:val="19"/>
          </w:tcPr>
          <w:p>
            <w:pPr>
              <w:spacing w:after="0"/>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Restated Certificate of Incorporation of the Company (incorporated by reference to Exhibit 3.1 of the Company’s Quarterly Report on Form</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Q (File No. 1-33089) filed on October 26,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w:t>
            </w:r>
          </w:p>
        </w:tc>
        <w:tc>
          <w:tcPr>
            <w:tcW w:w="9840" w:type="dxa"/>
            <w:vAlign w:val="bottom"/>
            <w:gridSpan w:val="19"/>
          </w:tcPr>
          <w:p>
            <w:pPr>
              <w:spacing w:after="0"/>
              <w:rPr>
                <w:rFonts w:ascii="Times New Roman" w:cs="Times New Roman" w:eastAsia="Times New Roman" w:hAnsi="Times New Roman"/>
                <w:sz w:val="18"/>
                <w:szCs w:val="18"/>
                <w:color w:val="0000FF"/>
                <w:w w:val="97"/>
              </w:rPr>
            </w:pPr>
            <w:hyperlink r:id="rId76">
              <w:r>
                <w:rPr>
                  <w:rFonts w:ascii="Times New Roman" w:cs="Times New Roman" w:eastAsia="Times New Roman" w:hAnsi="Times New Roman"/>
                  <w:sz w:val="18"/>
                  <w:szCs w:val="18"/>
                  <w:color w:val="0000FF"/>
                  <w:w w:val="97"/>
                </w:rPr>
                <w:t>Sixth Amended and Restated By-laws of the Company (incorporated by reference to Exhibit 3.2 of the Company’s Current Report on Form</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(File No. 1-33089) filed on June 21,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9840" w:type="dxa"/>
            <w:vAlign w:val="bottom"/>
            <w:gridSpan w:val="19"/>
          </w:tcPr>
          <w:p>
            <w:pPr>
              <w:spacing w:after="0"/>
              <w:rPr>
                <w:rFonts w:ascii="Times New Roman" w:cs="Times New Roman" w:eastAsia="Times New Roman" w:hAnsi="Times New Roman"/>
                <w:sz w:val="18"/>
                <w:szCs w:val="18"/>
                <w:color w:val="0000FF"/>
                <w:w w:val="97"/>
              </w:rPr>
            </w:pPr>
            <w:hyperlink r:id="rId77">
              <w:r>
                <w:rPr>
                  <w:rFonts w:ascii="Times New Roman" w:cs="Times New Roman" w:eastAsia="Times New Roman" w:hAnsi="Times New Roman"/>
                  <w:sz w:val="18"/>
                  <w:szCs w:val="18"/>
                  <w:color w:val="0000FF"/>
                  <w:w w:val="97"/>
                </w:rPr>
                <w:t>Registration Rights Agreement (incorporated by reference to Exhibit 4.1 of the Company’s Current Report on Form 8-K (File No. 1-33089)</w:t>
              </w:r>
            </w:hyperlink>
          </w:p>
        </w:tc>
      </w:tr>
      <w:tr>
        <w:trPr>
          <w:trHeight w:val="151"/>
        </w:trPr>
        <w:tc>
          <w:tcPr>
            <w:tcW w:w="1520" w:type="dxa"/>
            <w:vAlign w:val="bottom"/>
          </w:tcPr>
          <w:p>
            <w:pPr>
              <w:spacing w:after="0"/>
              <w:rPr>
                <w:sz w:val="13"/>
                <w:szCs w:val="13"/>
                <w:color w:val="auto"/>
              </w:rPr>
            </w:pPr>
          </w:p>
        </w:tc>
        <w:tc>
          <w:tcPr>
            <w:tcW w:w="9800" w:type="dxa"/>
            <w:vAlign w:val="bottom"/>
            <w:tcBorders>
              <w:top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filed on October 25, 2006).</w:t>
              </w:r>
            </w:hyperlink>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2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Description of Common Stock.</w:t>
            </w:r>
          </w:p>
        </w:tc>
        <w:tc>
          <w:tcPr>
            <w:tcW w:w="7640" w:type="dxa"/>
            <w:vAlign w:val="bottom"/>
            <w:gridSpan w:val="15"/>
          </w:tcPr>
          <w:p>
            <w:pPr>
              <w:spacing w:after="0"/>
              <w:rPr>
                <w:sz w:val="23"/>
                <w:szCs w:val="23"/>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gridSpan w:val="19"/>
          </w:tcPr>
          <w:p>
            <w:pPr>
              <w:spacing w:after="0"/>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Form of ExlService Holdings, Inc. Employment Agreement (applicable to Executive Officers) (incorporated by reference to Exhibit 10.4 to</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w:t>
            </w:r>
          </w:p>
        </w:tc>
        <w:tc>
          <w:tcPr>
            <w:tcW w:w="9840" w:type="dxa"/>
            <w:vAlign w:val="bottom"/>
            <w:gridSpan w:val="19"/>
          </w:tcPr>
          <w:p>
            <w:pPr>
              <w:spacing w:after="0"/>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Second Amended and Restated Employment and Non-Competition Agreement, dated August 3, 2020, between the Company and Rohit Ka</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(incorporated by reference to Exhibit 10.1 to the Company’s Quarterly Report on Form 10-Q (File No. 1-33089) filed on October 29, 2020).</w:t>
              </w:r>
            </w:hyperlink>
          </w:p>
        </w:tc>
        <w:tc>
          <w:tcPr>
            <w:tcW w:w="20" w:type="dxa"/>
            <w:vAlign w:val="bottom"/>
            <w:tcBorders>
              <w:bottom w:val="single" w:sz="8" w:color="0000FF"/>
            </w:tcBorders>
          </w:tcPr>
          <w:p>
            <w:pPr>
              <w:spacing w:after="0"/>
              <w:rPr>
                <w:sz w:val="13"/>
                <w:szCs w:val="13"/>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10.3+</w:t>
            </w:r>
          </w:p>
        </w:tc>
        <w:tc>
          <w:tcPr>
            <w:tcW w:w="9840" w:type="dxa"/>
            <w:vAlign w:val="bottom"/>
            <w:gridSpan w:val="19"/>
          </w:tcPr>
          <w:p>
            <w:pPr>
              <w:spacing w:after="0"/>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Amendment to Second Amended and Restated Employment and Non-Competition Agreement, dated August 12, 2022, between the Comp</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and Rohit Kapoor (incorporated by reference to Exhibit 10.1 to the Company’s Quarterly Report on Form 10-Q (File No. 1-33089) file</w:t>
              </w:r>
            </w:hyperlink>
          </w:p>
        </w:tc>
        <w:tc>
          <w:tcPr>
            <w:tcW w:w="20" w:type="dxa"/>
            <w:vAlign w:val="bottom"/>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9820" w:type="dxa"/>
            <w:vAlign w:val="bottom"/>
            <w:gridSpan w:val="18"/>
          </w:tcPr>
          <w:p>
            <w:pPr>
              <w:spacing w:after="0" w:line="164"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October 27, 2022).</w:t>
              </w:r>
            </w:hyperlink>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19"/>
          </w:tcPr>
          <w:p>
            <w:pPr>
              <w:spacing w:after="0"/>
              <w:rPr>
                <w:rFonts w:ascii="Times New Roman" w:cs="Times New Roman" w:eastAsia="Times New Roman" w:hAnsi="Times New Roman"/>
                <w:sz w:val="18"/>
                <w:szCs w:val="18"/>
                <w:color w:val="0000FF"/>
                <w:w w:val="97"/>
              </w:rPr>
            </w:pPr>
            <w:hyperlink r:id="rId80">
              <w:r>
                <w:rPr>
                  <w:rFonts w:ascii="Times New Roman" w:cs="Times New Roman" w:eastAsia="Times New Roman" w:hAnsi="Times New Roman"/>
                  <w:sz w:val="18"/>
                  <w:szCs w:val="18"/>
                  <w:color w:val="0000FF"/>
                  <w:w w:val="97"/>
                </w:rPr>
                <w:t>Amendment No. 2 to Second Amended and Restated Employment and Non-Competition Agreement, effective February 16, 2023, between</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Company and Rohit Kapoor (incorporated by reference to Exhibit 10.1 to the Company’s Quarterly Report on Form 10-Q (File No. 1-33</w:t>
              </w:r>
            </w:hyperlink>
          </w:p>
        </w:tc>
        <w:tc>
          <w:tcPr>
            <w:tcW w:w="20" w:type="dxa"/>
            <w:vAlign w:val="bottom"/>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1720" w:type="dxa"/>
            <w:vAlign w:val="bottom"/>
            <w:tcBorders>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80">
              <w:r>
                <w:rPr>
                  <w:rFonts w:ascii="Times New Roman" w:cs="Times New Roman" w:eastAsia="Times New Roman" w:hAnsi="Times New Roman"/>
                  <w:sz w:val="18"/>
                  <w:szCs w:val="18"/>
                  <w:color w:val="0000FF"/>
                  <w:w w:val="96"/>
                </w:rPr>
                <w:t>filed on April 27, 2023).</w:t>
              </w:r>
            </w:hyperlink>
          </w:p>
        </w:tc>
        <w:tc>
          <w:tcPr>
            <w:tcW w:w="810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10.5+</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Employment Agreement, effective as of February 3, 2020, between ExlService Holdings, Inc. and Maurizio Nicolelli (incorporated</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reference to Exhibit 10.4 to the Company’s Annual Report on Form 10-K (File No. 1-33089) filed on February 25, 2021).</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10.6+</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Employment Agreement, effective as of April 18, 2022, between exl Service (India) Private Limited and Vikas Bhalla (incorporated</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reference to Exhibit 10.5 to the 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ExlService Holdings, Inc. 2006 Omnibus Plan (incorporated by reference to Exhibit 10.20 of Amendment 3 to the Company’s Registra</w:t>
              </w:r>
            </w:hyperlink>
          </w:p>
        </w:tc>
      </w:tr>
      <w:tr>
        <w:trPr>
          <w:trHeight w:val="151"/>
        </w:trPr>
        <w:tc>
          <w:tcPr>
            <w:tcW w:w="15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Statement on Form S-1 (Registration No. 333-121001) filed July 28, 2006).</w:t>
              </w:r>
            </w:hyperlink>
          </w:p>
        </w:tc>
        <w:tc>
          <w:tcPr>
            <w:tcW w:w="4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10.8+</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Non-Qualified Stock Option Agreement under the 2006 Omnibus Award Plan (incorporated by reference to Exhibit 10.3</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Amendment 5 to the Company’s Registration Statement on Form S-1 (Registration No. 333-121001) filed October 4, 2006).</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ExlService Holdings, Inc. 2006 Omnibus India Subplan 2 (incorporated by reference to Exhibit 10.38 of Amendment 6 to the Compa</w:t>
              </w:r>
            </w:hyperlink>
          </w:p>
        </w:tc>
      </w:tr>
      <w:tr>
        <w:trPr>
          <w:trHeight w:val="151"/>
        </w:trPr>
        <w:tc>
          <w:tcPr>
            <w:tcW w:w="152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11"/>
          </w:tcPr>
          <w:p>
            <w:pPr>
              <w:spacing w:after="0" w:line="151"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Registration Statement on Form S-1 (Registration No. 333-121001) filed October 17, 2006).</w:t>
              </w:r>
            </w:hyperlink>
          </w:p>
        </w:tc>
        <w:tc>
          <w:tcPr>
            <w:tcW w:w="33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Non-Qualified Stock Option Agreement under the 2006 Omnibus India Subplan 2 (incorporated by reference to Exhibit 10.3</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Amendment 5 to the Company’s Registration Statement on Form S-1 (Registration No. 333-121001) filed October 4, 2006).</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Amendment to ExlService Holdings, Inc. 2006 Omnibus Award Plan (incorporated by reference to Exhibit 10.43 of Amendment 5 to</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Company’s Registration Statement on Form S-1 (Registration No. 333-121001) filed October 4, 2006).</w:t>
              </w:r>
            </w:hyperlink>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19"/>
          </w:tcPr>
          <w:p>
            <w:pPr>
              <w:spacing w:after="0"/>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Amendment No. 2 to ExlService Holdings, Inc. 2006 Omnibus Award Plan (incorporated by reference to Exhibit 10.46 of Amendment 6 to</w:t>
              </w:r>
            </w:hyperlink>
          </w:p>
        </w:tc>
      </w:tr>
      <w:tr>
        <w:trPr>
          <w:trHeight w:val="151"/>
        </w:trPr>
        <w:tc>
          <w:tcPr>
            <w:tcW w:w="152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11"/>
          </w:tcPr>
          <w:p>
            <w:pPr>
              <w:spacing w:after="0" w:line="151"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Registration Statement on Form S-1 (Registration No. 333-121001) filed October 17, 2006).</w:t>
              </w:r>
            </w:hyperlink>
          </w:p>
        </w:tc>
        <w:tc>
          <w:tcPr>
            <w:tcW w:w="33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Amendment No. 3 to ExlService Holdings, Inc. 2006 Omnibus Award Plan (incorporated by reference to Exhibit 4.6 to the Compa</w:t>
              </w:r>
            </w:hyperlink>
          </w:p>
        </w:tc>
      </w:tr>
      <w:tr>
        <w:trPr>
          <w:trHeight w:val="151"/>
        </w:trPr>
        <w:tc>
          <w:tcPr>
            <w:tcW w:w="15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10"/>
          </w:tcPr>
          <w:p>
            <w:pPr>
              <w:spacing w:after="0" w:line="151"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Registration Statement on Form S-8 (Registration No. 333-157076) filed February 2, 2009).</w:t>
              </w:r>
            </w:hyperlink>
          </w:p>
        </w:tc>
        <w:tc>
          <w:tcPr>
            <w:tcW w:w="33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19"/>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Restricted Stock Unit Agreement (U.S.) under the 2006 Omnibus Award Plan (incorporated by reference to Exhibit 10.1 to</w:t>
              </w:r>
            </w:hyperlink>
          </w:p>
        </w:tc>
      </w:tr>
      <w:tr>
        <w:trPr>
          <w:trHeight w:val="151"/>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Company’s Quarterly Report on Form 10-Q (File No. 1-33089) filed on May 1, 2014).</w:t>
              </w:r>
            </w:hyperlink>
          </w:p>
        </w:tc>
        <w:tc>
          <w:tcPr>
            <w:tcW w:w="20" w:type="dxa"/>
            <w:vAlign w:val="bottom"/>
          </w:tcPr>
          <w:p>
            <w:pPr>
              <w:spacing w:after="0"/>
              <w:rPr>
                <w:sz w:val="13"/>
                <w:szCs w:val="13"/>
                <w:color w:val="auto"/>
              </w:rPr>
            </w:pPr>
          </w:p>
        </w:tc>
      </w:tr>
      <w:tr>
        <w:trPr>
          <w:trHeight w:val="913"/>
        </w:trPr>
        <w:tc>
          <w:tcPr>
            <w:tcW w:w="1520" w:type="dxa"/>
            <w:vAlign w:val="bottom"/>
          </w:tcPr>
          <w:p>
            <w:pPr>
              <w:spacing w:after="0"/>
              <w:rPr>
                <w:sz w:val="24"/>
                <w:szCs w:val="24"/>
                <w:color w:val="auto"/>
              </w:rPr>
            </w:pPr>
          </w:p>
        </w:tc>
        <w:tc>
          <w:tcPr>
            <w:tcW w:w="5300" w:type="dxa"/>
            <w:vAlign w:val="bottom"/>
            <w:tcBorders>
              <w:top w:val="single" w:sz="8" w:color="0000FF"/>
            </w:tcBorders>
            <w:gridSpan w:val="7"/>
          </w:tcPr>
          <w:p>
            <w:pPr>
              <w:ind w:left="402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5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82"/>
        </w:trPr>
        <w:tc>
          <w:tcPr>
            <w:tcW w:w="1320" w:type="dxa"/>
            <w:vAlign w:val="bottom"/>
            <w:tcBorders>
              <w:top w:val="single" w:sz="8" w:color="0000FF"/>
            </w:tcBorders>
          </w:tcPr>
          <w:p>
            <w:pPr>
              <w:ind w:left="46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ExlService Holdings, Inc. 2015 Amendment and Restatement of the 2006 Omnibus Award Plan (incorporated by reference to Exhibit 10.</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the Company’s Current Report on Form 8-K (File No. 1-33089) filed on June 25, 2015).</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Form of Restricted Stock Unit Agreement (U.S.) under the ExlService Holdings, Inc. 2015 Amendment and Restatement of the 2006 Omn</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Award Plan (incorporated by reference to Exhibit 10.1 to the Company’s Quarterly Report on Form 10-Q (File No. 1-33089) filed on Oct</w:t>
              </w:r>
            </w:hyperlink>
          </w:p>
        </w:tc>
        <w:tc>
          <w:tcPr>
            <w:tcW w:w="20" w:type="dxa"/>
            <w:vAlign w:val="bottom"/>
          </w:tcPr>
          <w:p>
            <w:pPr>
              <w:spacing w:after="0"/>
              <w:rPr>
                <w:sz w:val="13"/>
                <w:szCs w:val="13"/>
                <w:color w:val="auto"/>
              </w:rPr>
            </w:pPr>
          </w:p>
        </w:tc>
      </w:tr>
      <w:tr>
        <w:trPr>
          <w:trHeight w:val="164"/>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0000FF"/>
            </w:tcBorders>
            <w:gridSpan w:val="2"/>
          </w:tcPr>
          <w:p>
            <w:pPr>
              <w:spacing w:after="0" w:line="164" w:lineRule="exact"/>
              <w:rPr>
                <w:rFonts w:ascii="Times New Roman" w:cs="Times New Roman" w:eastAsia="Times New Roman" w:hAnsi="Times New Roman"/>
                <w:sz w:val="18"/>
                <w:szCs w:val="18"/>
                <w:color w:val="0000FF"/>
                <w:w w:val="95"/>
              </w:rPr>
            </w:pPr>
            <w:hyperlink r:id="rId94">
              <w:r>
                <w:rPr>
                  <w:rFonts w:ascii="Times New Roman" w:cs="Times New Roman" w:eastAsia="Times New Roman" w:hAnsi="Times New Roman"/>
                  <w:sz w:val="18"/>
                  <w:szCs w:val="18"/>
                  <w:color w:val="0000FF"/>
                  <w:w w:val="95"/>
                </w:rPr>
                <w:t>27, 2016).</w:t>
              </w:r>
            </w:hyperlink>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5"/>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Form of Restricted Stock Unit Agreement (U.S.) under the ExlService Holdings, Inc. 2015 Amendment and Restatement of the 2006 Omn</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Award Plan “(incorporated by reference to Exhibit 10.40 to the Company’s Annual Report on Form 10-K (File No. 1-33089) filed on March</w:t>
              </w:r>
            </w:hyperlink>
          </w:p>
        </w:tc>
        <w:tc>
          <w:tcPr>
            <w:tcW w:w="20" w:type="dxa"/>
            <w:vAlign w:val="bottom"/>
          </w:tcPr>
          <w:p>
            <w:pPr>
              <w:spacing w:after="0"/>
              <w:rPr>
                <w:sz w:val="13"/>
                <w:szCs w:val="13"/>
                <w:color w:val="auto"/>
              </w:rPr>
            </w:pPr>
          </w:p>
        </w:tc>
      </w:tr>
      <w:tr>
        <w:trPr>
          <w:trHeight w:val="164"/>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0000FF"/>
            </w:tcBorders>
          </w:tcPr>
          <w:p>
            <w:pPr>
              <w:spacing w:after="0" w:line="164" w:lineRule="exact"/>
              <w:rPr>
                <w:rFonts w:ascii="Times New Roman" w:cs="Times New Roman" w:eastAsia="Times New Roman" w:hAnsi="Times New Roman"/>
                <w:sz w:val="18"/>
                <w:szCs w:val="18"/>
                <w:color w:val="0000FF"/>
                <w:w w:val="94"/>
              </w:rPr>
            </w:pPr>
            <w:hyperlink r:id="rId95">
              <w:r>
                <w:rPr>
                  <w:rFonts w:ascii="Times New Roman" w:cs="Times New Roman" w:eastAsia="Times New Roman" w:hAnsi="Times New Roman"/>
                  <w:sz w:val="18"/>
                  <w:szCs w:val="18"/>
                  <w:color w:val="0000FF"/>
                  <w:w w:val="94"/>
                </w:rPr>
                <w:t>2017).</w:t>
              </w:r>
            </w:hyperlink>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2"/>
                <w:szCs w:val="22"/>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ExlService Holdings, Inc. 2018 Omnibus Incentive Plan (incorporated by reference to Exhibit 10.1 to the Company’s Current Report on F</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8-K (File No. 1-33089) filed on June 20, 2018).</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Restricted Stock Unit Agreement (applicable to U.S. Executive Officers) under the 2018 Omnibus Incentive Plan (incorporate</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reference to Exhibit 10.2 to the 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Restricted Stock Unit Agreement (applicable to International Executive Officers) under the 2018 Omnibus Incentive</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(incorporated by reference to Exhibit 10.3 to the Company’s Quarterly Report on Form 10-Q (File No. 1-33089) filed on April 27, 2023).</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Form of Restricted Stock Unit Agreement (Directors) under the 2018 Omnibus Incentive Plan (incorporated by reference to Exhibit 10.4 to</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0"/>
          </w:tcPr>
          <w:p>
            <w:pPr>
              <w:spacing w:after="0" w:line="151"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Company’s Quarterly Report on Form 10-Q (File No. 1-33089) filed on April 29, 2021).</w:t>
              </w:r>
            </w:hyperlink>
          </w:p>
        </w:tc>
        <w:tc>
          <w:tcPr>
            <w:tcW w:w="36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Option Agreement (applicable to U.S. Executive Officers) under the 2018 Omnibus Incentive Plan (incorporated by referenc</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Exhibit 10.1 to the Company’s Quarterly Report on Form 10-Q (File No. 1-33089) filed on July 27, 2023).</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Form of Option Agreement (applicable to International Executive Officers) under the 2018 Omnibus Incentive Plan (incorporated by refer</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to Exhibit 10.2 to the Company’s Quarterly Report on Form 10-Q (File No. 1-33089) filed on July 27, 2023).</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ExlService Holdings, Inc. 2022 Employee Stock Purchase Plan (incorporated by reference to Exhibit 10.1 to the Company’s Current Repor</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Form 8-K (File No. 1-33089) filed on June 22, 2022).</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tcPr>
          <w:p>
            <w:pPr>
              <w:spacing w:after="0"/>
              <w:rPr>
                <w:sz w:val="23"/>
                <w:szCs w:val="23"/>
                <w:color w:val="auto"/>
              </w:rPr>
            </w:pPr>
          </w:p>
        </w:tc>
        <w:tc>
          <w:tcPr>
            <w:tcW w:w="9840" w:type="dxa"/>
            <w:vAlign w:val="bottom"/>
            <w:gridSpan w:val="17"/>
          </w:tcPr>
          <w:p>
            <w:pPr>
              <w:spacing w:after="0"/>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Amendment and Restatement Agreement, dated April 18, 2022, by and among the Company and the other loan parties thereto, the lenders p</w:t>
              </w:r>
            </w:hyperlink>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thereto, and Citibank, N.A., as administrative agent (incorporated by reference to Exhibit 10.1 to the Company’s Current Report on Form</w:t>
              </w:r>
            </w:hyperlink>
          </w:p>
        </w:tc>
        <w:tc>
          <w:tcPr>
            <w:tcW w:w="20" w:type="dxa"/>
            <w:vAlign w:val="bottom"/>
          </w:tcPr>
          <w:p>
            <w:pPr>
              <w:spacing w:after="0"/>
              <w:rPr>
                <w:sz w:val="13"/>
                <w:szCs w:val="13"/>
                <w:color w:val="auto"/>
              </w:rPr>
            </w:pPr>
          </w:p>
        </w:tc>
      </w:tr>
      <w:tr>
        <w:trPr>
          <w:trHeight w:val="164"/>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Borders>
              <w:bottom w:val="single" w:sz="8" w:color="0000FF"/>
            </w:tcBorders>
            <w:gridSpan w:val="4"/>
          </w:tcPr>
          <w:p>
            <w:pPr>
              <w:spacing w:after="0" w:line="164" w:lineRule="exact"/>
              <w:rPr>
                <w:rFonts w:ascii="Times New Roman" w:cs="Times New Roman" w:eastAsia="Times New Roman" w:hAnsi="Times New Roman"/>
                <w:sz w:val="18"/>
                <w:szCs w:val="18"/>
                <w:color w:val="0000FF"/>
                <w:w w:val="96"/>
              </w:rPr>
            </w:pPr>
            <w:hyperlink r:id="rId103">
              <w:r>
                <w:rPr>
                  <w:rFonts w:ascii="Times New Roman" w:cs="Times New Roman" w:eastAsia="Times New Roman" w:hAnsi="Times New Roman"/>
                  <w:sz w:val="18"/>
                  <w:szCs w:val="18"/>
                  <w:color w:val="0000FF"/>
                  <w:w w:val="96"/>
                </w:rPr>
                <w:t>(File No. 1-33089) filed on April 20, 2022).</w:t>
              </w:r>
            </w:hyperlink>
          </w:p>
        </w:tc>
        <w:tc>
          <w:tcPr>
            <w:tcW w:w="67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r>
      <w:tr>
        <w:trPr>
          <w:trHeight w:val="295"/>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4"/>
                <w:szCs w:val="24"/>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Subsidiaries of the Company</w:t>
            </w:r>
            <w:r>
              <w:rPr>
                <w:rFonts w:ascii="Times New Roman" w:cs="Times New Roman" w:eastAsia="Times New Roman" w:hAnsi="Times New Roman"/>
                <w:sz w:val="18"/>
                <w:szCs w:val="18"/>
                <w:color w:val="000000"/>
              </w:rPr>
              <w:t>.</w:t>
            </w: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2"/>
                <w:szCs w:val="22"/>
                <w:color w:val="auto"/>
              </w:rPr>
            </w:pPr>
          </w:p>
        </w:tc>
        <w:tc>
          <w:tcPr>
            <w:tcW w:w="5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Consent of Deloitte &amp; Touche LLP, Independent Registered Public Accounting Firm.</w:t>
            </w:r>
          </w:p>
        </w:tc>
        <w:tc>
          <w:tcPr>
            <w:tcW w:w="3860" w:type="dxa"/>
            <w:vAlign w:val="bottom"/>
            <w:gridSpan w:val="9"/>
          </w:tcPr>
          <w:p>
            <w:pPr>
              <w:spacing w:after="0"/>
              <w:rPr>
                <w:sz w:val="22"/>
                <w:szCs w:val="22"/>
                <w:color w:val="auto"/>
              </w:rPr>
            </w:pPr>
          </w:p>
        </w:tc>
      </w:tr>
      <w:tr>
        <w:trPr>
          <w:trHeight w:val="256"/>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2"/>
                <w:szCs w:val="22"/>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6"/>
              </w:rPr>
              <w:t>Certification of the Chief Executive Officer of ExlService Holdings, pursuant to Rule 13a-14(a) of the Exchange Act, as adopted pursuant to</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3"/>
                <w:szCs w:val="23"/>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Certification of the Chief Financial Officer of ExlService Holdings, pursuant to Rule 13a-14(a) of the Exchange Act, as adopted pursuant to</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4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3"/>
                <w:szCs w:val="23"/>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Certification of the Chief Executive Officer pursuant to Rule 13a-14(b) of the Exchange Act and 18 U.S.C. Section 1350, as adopted pursua</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sz w:val="20"/>
                <w:szCs w:val="20"/>
                <w:color w:val="auto"/>
              </w:rPr>
            </w:pPr>
            <w:r>
              <w:rPr>
                <w:rFonts w:ascii="Times New Roman" w:cs="Times New Roman" w:eastAsia="Times New Roman" w:hAnsi="Times New Roman"/>
                <w:sz w:val="16"/>
                <w:szCs w:val="16"/>
                <w:color w:val="0000FF"/>
              </w:rPr>
              <w:t>to Section 906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r>
      <w:tr>
        <w:trPr>
          <w:trHeight w:val="269"/>
        </w:trPr>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3"/>
                <w:szCs w:val="23"/>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6"/>
              </w:rPr>
              <w:t>Certification of the Chief Financial Officer pursuant to Rule 13a-14(b) of the Exchange Act and 18 U.S.C. Section 1350, as adopted pursuan</w:t>
            </w:r>
          </w:p>
        </w:tc>
      </w:tr>
      <w:tr>
        <w:trPr>
          <w:trHeight w:val="15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1"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ind w:left="1520" w:hanging="1064"/>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ExlService Holdings, Inc. Clawback Policy.</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Inline XBRL Taxonomy Extension Calculation Linkbase*</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Inline XBRL Taxonomy Extension Definition Linkbase*</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bl>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4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15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13970</wp:posOffset>
            </wp:positionV>
            <wp:extent cx="608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325" w:lineRule="exact"/>
        <w:rPr>
          <w:sz w:val="20"/>
          <w:szCs w:val="20"/>
          <w:color w:val="auto"/>
        </w:rPr>
      </w:pPr>
    </w:p>
    <w:p>
      <w:pPr>
        <w:jc w:val="both"/>
        <w:ind w:left="80" w:hanging="78"/>
        <w:spacing w:after="0" w:line="250"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required to be filed as an Exhibit.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71"/>
        </w:trPr>
        <w:tc>
          <w:tcPr>
            <w:tcW w:w="3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6340" w:type="dxa"/>
            <w:vAlign w:val="bottom"/>
            <w:gridSpan w:val="7"/>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7"/>
              </w:rPr>
              <w:t>EXLSERVICE HOLDINGS, INC.</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20" w:type="dxa"/>
            <w:vAlign w:val="bottom"/>
            <w:gridSpan w:val="8"/>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INDEX TO CONSOLIDATED FINANCIAL STATEMENTS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80"/>
        </w:trPr>
        <w:tc>
          <w:tcPr>
            <w:tcW w:w="34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 34)</w:t>
            </w:r>
          </w:p>
        </w:tc>
        <w:tc>
          <w:tcPr>
            <w:tcW w:w="580" w:type="dxa"/>
            <w:vAlign w:val="bottom"/>
          </w:tcPr>
          <w:p>
            <w:pPr>
              <w:spacing w:after="0"/>
              <w:rPr>
                <w:sz w:val="24"/>
                <w:szCs w:val="24"/>
                <w:color w:val="auto"/>
              </w:rPr>
            </w:pPr>
          </w:p>
        </w:tc>
        <w:tc>
          <w:tcPr>
            <w:tcW w:w="8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661DE8"/>
                <w:w w:val="95"/>
              </w:rPr>
              <w:t>F-2</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580" w:type="dxa"/>
            <w:vAlign w:val="bottom"/>
          </w:tcPr>
          <w:p>
            <w:pPr>
              <w:spacing w:after="0"/>
              <w:rPr>
                <w:sz w:val="22"/>
                <w:szCs w:val="22"/>
                <w:color w:val="auto"/>
              </w:rPr>
            </w:pPr>
          </w:p>
        </w:tc>
        <w:tc>
          <w:tcPr>
            <w:tcW w:w="8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661DE8"/>
                <w:w w:val="95"/>
              </w:rPr>
              <w:t>F-5</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2023, 2022 and 2021</w:t>
            </w:r>
          </w:p>
        </w:tc>
        <w:tc>
          <w:tcPr>
            <w:tcW w:w="580" w:type="dxa"/>
            <w:vAlign w:val="bottom"/>
          </w:tcPr>
          <w:p>
            <w:pPr>
              <w:spacing w:after="0"/>
              <w:rPr>
                <w:sz w:val="22"/>
                <w:szCs w:val="22"/>
                <w:color w:val="auto"/>
              </w:rPr>
            </w:pPr>
          </w:p>
        </w:tc>
        <w:tc>
          <w:tcPr>
            <w:tcW w:w="8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661DE8"/>
                <w:w w:val="95"/>
              </w:rPr>
              <w:t>F-7</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2022 and 2021</w:t>
            </w:r>
          </w:p>
        </w:tc>
        <w:tc>
          <w:tcPr>
            <w:tcW w:w="580" w:type="dxa"/>
            <w:vAlign w:val="bottom"/>
          </w:tcPr>
          <w:p>
            <w:pPr>
              <w:spacing w:after="0"/>
              <w:rPr>
                <w:sz w:val="22"/>
                <w:szCs w:val="22"/>
                <w:color w:val="auto"/>
              </w:rPr>
            </w:pPr>
          </w:p>
        </w:tc>
        <w:tc>
          <w:tcPr>
            <w:tcW w:w="8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661DE8"/>
                <w:w w:val="95"/>
              </w:rPr>
              <w:t>F-8</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7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Consolidated Statements of Stockholders' Equity for the years ended December 31, 2023, 2022 and 2021</w:t>
            </w: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661DE8"/>
                <w:w w:val="95"/>
              </w:rPr>
              <w:t>F-9</w:t>
            </w: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7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204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661DE8"/>
                <w:w w:val="88"/>
              </w:rPr>
              <w:t>F-10</w:t>
            </w:r>
          </w:p>
        </w:tc>
      </w:tr>
      <w:tr>
        <w:trPr>
          <w:trHeight w:val="256"/>
        </w:trPr>
        <w:tc>
          <w:tcPr>
            <w:tcW w:w="340" w:type="dxa"/>
            <w:vAlign w:val="bottom"/>
          </w:tcPr>
          <w:p>
            <w:pPr>
              <w:spacing w:after="0"/>
              <w:rPr>
                <w:sz w:val="22"/>
                <w:szCs w:val="22"/>
                <w:color w:val="auto"/>
              </w:rPr>
            </w:pPr>
          </w:p>
        </w:tc>
        <w:tc>
          <w:tcPr>
            <w:tcW w:w="6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80" w:type="dxa"/>
            <w:vAlign w:val="bottom"/>
            <w:gridSpan w:val="3"/>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Borders>
              <w:top w:val="single" w:sz="8" w:color="661DE8"/>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661DE8"/>
                <w:w w:val="82"/>
              </w:rPr>
              <w:t>F-11</w:t>
            </w:r>
          </w:p>
        </w:tc>
        <w:tc>
          <w:tcPr>
            <w:tcW w:w="54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Borders>
              <w:right w:val="single" w:sz="8" w:color="661DE8"/>
            </w:tcBorders>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60" w:type="dxa"/>
            <w:vAlign w:val="bottom"/>
            <w:tcBorders>
              <w:left w:val="single" w:sz="8" w:color="661DE8"/>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40"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ExlService Holdings,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ExlService Holdings, Inc. (the “Company”) as of December 31, 2023 and 2022, the related consolidated statements of income,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22"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29, 2024, expressed an unqualified opinion on the Company's internal control over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3"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 Refer to Notes 2 and 4 to the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Description</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Revenue is recognized when services are provided to the Company’s customers, in an amount that reflects the consideration which the Company expects to be entitled to in exchange for the services provided. Revenue is measured based on consideration specified in a contract with a customer and excludes discounts and amounts collected on behalf of third parties. Revenues under time-and-material, transaction and outcome-based contracts are recognized as the services are performed.</w:t>
      </w:r>
    </w:p>
    <w:p>
      <w:pPr>
        <w:spacing w:after="0" w:line="130"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At the inception of a new contract with a customer, the Company evaluates the revenue recognition principles, including judgments in identifying performance obligations in a contract and determining the timing of revenue recognition. The Company’s contracts may be modified to add, remove or change existing performance obligations, which require judgment to evaluate and determine whether they are to be accounted for on a prospective basis either as a separate contract, or as a termination of existing contract and creation of a new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 xml:space="preserve">Auditing revenue recognition requires significant audit effort resulting from the number of customers and related contracts that require evaluation and auditor judgment as to whether revenue was recorded in accordance with the terms of the contracts and revenue recognition principles under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Our audit procedures related to whether revenue was recorded in accordance with the terms of the contracts with the Company’s customers and met the criteria for revenue recognition in accordance with ASC Topic 606 included the following, among others:</w:t>
      </w:r>
    </w:p>
    <w:p>
      <w:pPr>
        <w:spacing w:after="0" w:line="116" w:lineRule="exact"/>
        <w:rPr>
          <w:sz w:val="20"/>
          <w:szCs w:val="20"/>
          <w:color w:val="auto"/>
        </w:rPr>
      </w:pPr>
    </w:p>
    <w:p>
      <w:pPr>
        <w:jc w:val="both"/>
        <w:ind w:left="640" w:hanging="319"/>
        <w:spacing w:after="0" w:line="256"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revenue, specifically management’s controls over the identification of performance obligations within the customer contracts and determining timing of revenue recognition for new customer contracts and contracts with significant scope modifications.</w:t>
      </w:r>
    </w:p>
    <w:p>
      <w:pPr>
        <w:spacing w:after="0" w:line="126" w:lineRule="exact"/>
        <w:rPr>
          <w:rFonts w:ascii="Times New Roman" w:cs="Times New Roman" w:eastAsia="Times New Roman" w:hAnsi="Times New Roman"/>
          <w:sz w:val="18"/>
          <w:szCs w:val="18"/>
          <w:color w:val="auto"/>
        </w:rPr>
      </w:pPr>
    </w:p>
    <w:p>
      <w:pPr>
        <w:ind w:left="640" w:hanging="319"/>
        <w:spacing w:after="0" w:line="331" w:lineRule="auto"/>
        <w:tabs>
          <w:tab w:leader="none" w:pos="6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selected a sample of recorded revenue transactions from new customer contracts and evaluated the appropriateness of the performance obligations identified within the customer contracts and assessed if the revenue recognition principles applied are in accordance with ASC Topic 606.</w:t>
      </w:r>
    </w:p>
    <w:p>
      <w:pPr>
        <w:spacing w:after="0" w:line="70" w:lineRule="exact"/>
        <w:rPr>
          <w:rFonts w:ascii="Times New Roman" w:cs="Times New Roman" w:eastAsia="Times New Roman" w:hAnsi="Times New Roman"/>
          <w:sz w:val="16"/>
          <w:szCs w:val="16"/>
          <w:color w:val="auto"/>
        </w:rPr>
      </w:pPr>
    </w:p>
    <w:p>
      <w:pPr>
        <w:jc w:val="both"/>
        <w:ind w:left="640" w:hanging="319"/>
        <w:spacing w:after="0" w:line="252"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recorded revenue transactions related to the Company’s contracts that were modified to add, remove or change existing performance obligations and (1) assessed whether the services added to an existing contract are distinct and whether the pricing is at a standalone selling price; and (2) services added that are distinct and at standalone selling price are accounted for on a prospective basis either as a separate contract, or as a termination of existing contract and creation of a new contract.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ExlService Holdings,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67"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ExlService Holdings, Inc.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0"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29, 2024, expressed an unqualified opinion on those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80"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67" w:lineRule="exact"/>
        <w:rPr>
          <w:sz w:val="20"/>
          <w:szCs w:val="20"/>
          <w:color w:val="auto"/>
        </w:rPr>
      </w:pPr>
    </w:p>
    <w:p>
      <w:pPr>
        <w:jc w:val="both"/>
        <w:ind w:firstLine="394"/>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69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6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60" w:type="dxa"/>
            <w:vAlign w:val="bottom"/>
          </w:tcPr>
          <w:p>
            <w:pPr>
              <w:spacing w:after="0"/>
              <w:rPr>
                <w:sz w:val="17"/>
                <w:szCs w:val="17"/>
                <w:color w:val="auto"/>
              </w:rPr>
            </w:pPr>
          </w:p>
        </w:tc>
        <w:tc>
          <w:tcPr>
            <w:tcW w:w="1420" w:type="dxa"/>
            <w:vAlign w:val="bottom"/>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0" w:type="dxa"/>
            <w:vAlign w:val="bottom"/>
          </w:tcPr>
          <w:p>
            <w:pPr>
              <w:spacing w:after="0"/>
              <w:rPr>
                <w:sz w:val="1"/>
                <w:szCs w:val="1"/>
                <w:color w:val="auto"/>
              </w:rPr>
            </w:pPr>
          </w:p>
        </w:tc>
      </w:tr>
      <w:tr>
        <w:trPr>
          <w:trHeight w:val="178"/>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118,669</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Short-term investments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153,881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179,027</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Restricted cash</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4,897</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308,108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259,222</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assets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50,979</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679,673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612,794</w:t>
            </w: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82,828</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55,347</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2,055</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55,791</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405,637</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64,819</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34,779</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32,069</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1,346,119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7,789</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revenue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18,782</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employee costs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108,100</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95,352</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14,978</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Income taxes payable, net</w:t>
            </w: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2,945</w:t>
            </w:r>
          </w:p>
        </w:tc>
        <w:tc>
          <w:tcPr>
            <w:tcW w:w="0" w:type="dxa"/>
            <w:vAlign w:val="bottom"/>
          </w:tcPr>
          <w:p>
            <w:pPr>
              <w:spacing w:after="0"/>
              <w:rPr>
                <w:sz w:val="1"/>
                <w:szCs w:val="1"/>
                <w:color w:val="auto"/>
              </w:rPr>
            </w:pPr>
          </w:p>
        </w:tc>
      </w:tr>
      <w:tr>
        <w:trPr>
          <w:trHeight w:val="19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326,403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277,946</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220,000</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48,155</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31,462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41,292</w:t>
            </w: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552,535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587,940</w:t>
            </w: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ExlService Holdings, Inc. Stockholders’ equity:</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Preferred stock, $0.001 par value; 15,000,000 shares authorized, none issued</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6960" w:type="dxa"/>
            <w:vAlign w:val="bottom"/>
          </w:tcPr>
          <w:p>
            <w:pPr>
              <w:ind w:left="320"/>
              <w:spacing w:after="0" w:line="145" w:lineRule="exact"/>
              <w:rPr>
                <w:sz w:val="20"/>
                <w:szCs w:val="20"/>
                <w:color w:val="auto"/>
              </w:rPr>
            </w:pPr>
            <w:r>
              <w:rPr>
                <w:rFonts w:ascii="Times New Roman" w:cs="Times New Roman" w:eastAsia="Times New Roman" w:hAnsi="Times New Roman"/>
                <w:sz w:val="15"/>
                <w:szCs w:val="15"/>
                <w:color w:val="auto"/>
              </w:rPr>
              <w:t>Common stock, $0.001 par value; 400,000,000 shares authorized, 203,410,038 shares issued and 165,277,880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960" w:type="dxa"/>
            <w:vAlign w:val="bottom"/>
          </w:tcPr>
          <w:p>
            <w:pPr>
              <w:ind w:left="320"/>
              <w:spacing w:after="0" w:line="145" w:lineRule="exact"/>
              <w:rPr>
                <w:sz w:val="20"/>
                <w:szCs w:val="20"/>
                <w:color w:val="auto"/>
              </w:rPr>
            </w:pPr>
            <w:r>
              <w:rPr>
                <w:rFonts w:ascii="Times New Roman" w:cs="Times New Roman" w:eastAsia="Times New Roman" w:hAnsi="Times New Roman"/>
                <w:sz w:val="15"/>
                <w:szCs w:val="15"/>
                <w:color w:val="auto"/>
              </w:rPr>
              <w:t>shares outstanding as of December 31, 2023 and 199,939,880 shares issued and 166,172,220 shares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320"/>
              <w:spacing w:after="0" w:line="211" w:lineRule="exact"/>
              <w:rPr>
                <w:sz w:val="20"/>
                <w:szCs w:val="20"/>
                <w:color w:val="auto"/>
              </w:rPr>
            </w:pPr>
            <w:r>
              <w:rPr>
                <w:rFonts w:ascii="Times New Roman" w:cs="Times New Roman" w:eastAsia="Times New Roman" w:hAnsi="Times New Roman"/>
                <w:sz w:val="15"/>
                <w:szCs w:val="15"/>
                <w:color w:val="auto"/>
              </w:rPr>
              <w:t xml:space="preserve">outstanding as of December 31, 2022 </w:t>
            </w:r>
            <w:r>
              <w:rPr>
                <w:rFonts w:ascii="Times New Roman" w:cs="Times New Roman" w:eastAsia="Times New Roman" w:hAnsi="Times New Roman"/>
                <w:sz w:val="19"/>
                <w:szCs w:val="19"/>
                <w:color w:val="auto"/>
                <w:vertAlign w:val="superscript"/>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ind w:left="320"/>
              <w:spacing w:after="0" w:line="197" w:lineRule="exact"/>
              <w:rPr>
                <w:sz w:val="20"/>
                <w:szCs w:val="20"/>
                <w:color w:val="auto"/>
              </w:rPr>
            </w:pPr>
            <w:r>
              <w:rPr>
                <w:rFonts w:ascii="Times New Roman" w:cs="Times New Roman" w:eastAsia="Times New Roman" w:hAnsi="Times New Roman"/>
                <w:sz w:val="15"/>
                <w:szCs w:val="15"/>
                <w:color w:val="auto"/>
              </w:rPr>
              <w:t xml:space="preserve">Additional paid-in capital </w:t>
            </w:r>
            <w:r>
              <w:rPr>
                <w:rFonts w:ascii="Times New Roman" w:cs="Times New Roman" w:eastAsia="Times New Roman" w:hAnsi="Times New Roman"/>
                <w:sz w:val="19"/>
                <w:szCs w:val="19"/>
                <w:color w:val="auto"/>
                <w:vertAlign w:val="superscript"/>
              </w:rPr>
              <w:t>(1)</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508,028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444,948</w:t>
            </w:r>
          </w:p>
        </w:tc>
        <w:tc>
          <w:tcPr>
            <w:tcW w:w="0" w:type="dxa"/>
            <w:vAlign w:val="bottom"/>
          </w:tcPr>
          <w:p>
            <w:pPr>
              <w:spacing w:after="0"/>
              <w:rPr>
                <w:sz w:val="1"/>
                <w:szCs w:val="1"/>
                <w:color w:val="auto"/>
              </w:rPr>
            </w:pPr>
          </w:p>
        </w:tc>
      </w:tr>
      <w:tr>
        <w:trPr>
          <w:trHeight w:val="195"/>
        </w:trPr>
        <w:tc>
          <w:tcPr>
            <w:tcW w:w="69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1,083,663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899,105</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(144,143)</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1,464,854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1,200,110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56"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45"/>
        </w:trPr>
        <w:tc>
          <w:tcPr>
            <w:tcW w:w="70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Less: 38,132,158 shares as of December 31, 2023 and 33,767,660 shares as of December 31, 2022, held in treasury,</w:t>
            </w:r>
          </w:p>
        </w:tc>
        <w:tc>
          <w:tcPr>
            <w:tcW w:w="7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210"/>
        </w:trPr>
        <w:tc>
          <w:tcPr>
            <w:tcW w:w="706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 xml:space="preserve">at cost </w:t>
            </w:r>
            <w:r>
              <w:rPr>
                <w:rFonts w:ascii="Times New Roman" w:cs="Times New Roman" w:eastAsia="Times New Roman" w:hAnsi="Times New Roman"/>
                <w:sz w:val="19"/>
                <w:szCs w:val="19"/>
                <w:color w:val="auto"/>
                <w:vertAlign w:val="superscript"/>
              </w:rPr>
              <w:t>(1)</w:t>
            </w:r>
          </w:p>
        </w:tc>
        <w:tc>
          <w:tcPr>
            <w:tcW w:w="7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19</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(575,417)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(441,931)</w:t>
            </w:r>
          </w:p>
        </w:tc>
      </w:tr>
      <w:tr>
        <w:trPr>
          <w:trHeight w:val="190"/>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7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889,437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758,179</w:t>
            </w:r>
          </w:p>
        </w:tc>
      </w:tr>
      <w:tr>
        <w:trPr>
          <w:trHeight w:val="216"/>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7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1,346,119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 period information has been adjusted to reflect the 5-for-1 forward stock split of the Company’s common stock effected in August 2023. Refer to Note</w:t>
      </w:r>
    </w:p>
    <w:p>
      <w:pPr>
        <w:spacing w:after="0" w:line="46" w:lineRule="exact"/>
        <w:rPr>
          <w:rFonts w:ascii="Times New Roman" w:cs="Times New Roman" w:eastAsia="Times New Roman" w:hAnsi="Times New Roman"/>
          <w:sz w:val="16"/>
          <w:szCs w:val="16"/>
          <w:i w:val="1"/>
          <w:iCs w:val="1"/>
          <w:color w:val="auto"/>
        </w:rPr>
      </w:pPr>
    </w:p>
    <w:p>
      <w:pPr>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i w:val="1"/>
          <w:iCs w:val="1"/>
          <w:color w:val="auto"/>
        </w:rPr>
        <w:t>19 – Capital Structure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3, 4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1,630,668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1,412,044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1,122,293</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spacing w:after="0" w:line="210"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1,022,902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896,595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690,934</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607,766</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515,449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431,359</w:t>
            </w:r>
          </w:p>
        </w:tc>
        <w:tc>
          <w:tcPr>
            <w:tcW w:w="0" w:type="dxa"/>
            <w:vAlign w:val="bottom"/>
          </w:tcPr>
          <w:p>
            <w:pPr>
              <w:spacing w:after="0"/>
              <w:rPr>
                <w:sz w:val="1"/>
                <w:szCs w:val="1"/>
                <w:color w:val="auto"/>
              </w:rPr>
            </w:pPr>
          </w:p>
        </w:tc>
      </w:tr>
      <w:tr>
        <w:trPr>
          <w:trHeight w:val="188"/>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198,294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169,016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142,040</w:t>
            </w:r>
          </w:p>
        </w:tc>
        <w:tc>
          <w:tcPr>
            <w:tcW w:w="0" w:type="dxa"/>
            <w:vAlign w:val="bottom"/>
          </w:tcPr>
          <w:p>
            <w:pPr>
              <w:spacing w:after="0"/>
              <w:rPr>
                <w:sz w:val="1"/>
                <w:szCs w:val="1"/>
                <w:color w:val="auto"/>
              </w:rPr>
            </w:pPr>
          </w:p>
        </w:tc>
      </w:tr>
      <w:tr>
        <w:trPr>
          <w:trHeight w:val="208"/>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120,227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97,989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84,306</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9, 10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50,490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56,282</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49,132</w:t>
            </w:r>
          </w:p>
        </w:tc>
        <w:tc>
          <w:tcPr>
            <w:tcW w:w="0" w:type="dxa"/>
            <w:vAlign w:val="bottom"/>
          </w:tcPr>
          <w:p>
            <w:pPr>
              <w:spacing w:after="0"/>
              <w:rPr>
                <w:sz w:val="1"/>
                <w:szCs w:val="1"/>
                <w:color w:val="auto"/>
              </w:rPr>
            </w:pPr>
          </w:p>
        </w:tc>
      </w:tr>
      <w:tr>
        <w:trPr>
          <w:trHeight w:val="202"/>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369,011</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323,287</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275,478</w:t>
            </w:r>
          </w:p>
        </w:tc>
        <w:tc>
          <w:tcPr>
            <w:tcW w:w="0" w:type="dxa"/>
            <w:vAlign w:val="bottom"/>
          </w:tcPr>
          <w:p>
            <w:pPr>
              <w:spacing w:after="0"/>
              <w:rPr>
                <w:sz w:val="1"/>
                <w:szCs w:val="1"/>
                <w:color w:val="auto"/>
              </w:rPr>
            </w:pPr>
          </w:p>
        </w:tc>
      </w:tr>
      <w:tr>
        <w:trPr>
          <w:trHeight w:val="20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238,755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192,162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155,881</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gain, net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income/(expense),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settlement of convertible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 expense and earnings from equity affiliates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237,941</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190,099</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146,561</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53,536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47,565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31,850</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184,405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142,534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114,711</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from equity-method investment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ExlService Holdings, Inc. stockholders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184,558</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142,968</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114,758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 xml:space="preserve">Earnings per share attributable to ExlService Holdings, Inc. stockholders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80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0.86</w:t>
            </w:r>
          </w:p>
        </w:tc>
        <w:tc>
          <w:tcPr>
            <w:tcW w:w="14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158"/>
        </w:trPr>
        <w:tc>
          <w:tcPr>
            <w:tcW w:w="61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Weighted average number of shares used in computing earnings per share attributable to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ExlService Holdings, Inc. stockholders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166,341,213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166,651,585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167,746,375</w:t>
            </w:r>
          </w:p>
        </w:tc>
        <w:tc>
          <w:tcPr>
            <w:tcW w:w="0" w:type="dxa"/>
            <w:vAlign w:val="bottom"/>
          </w:tcPr>
          <w:p>
            <w:pPr>
              <w:spacing w:after="0"/>
              <w:rPr>
                <w:sz w:val="1"/>
                <w:szCs w:val="1"/>
                <w:color w:val="auto"/>
              </w:rPr>
            </w:pPr>
          </w:p>
        </w:tc>
      </w:tr>
      <w:tr>
        <w:trPr>
          <w:trHeight w:val="207"/>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168,161,371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169,169,290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171,222,390</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of depreciation and amortization expense.</w:t>
      </w:r>
    </w:p>
    <w:p>
      <w:pPr>
        <w:spacing w:after="0" w:line="23" w:lineRule="exact"/>
        <w:rPr>
          <w:rFonts w:ascii="Times New Roman" w:cs="Times New Roman" w:eastAsia="Times New Roman" w:hAnsi="Times New Roman"/>
          <w:sz w:val="18"/>
          <w:szCs w:val="18"/>
          <w:i w:val="1"/>
          <w:iCs w:val="1"/>
          <w:color w:val="auto"/>
        </w:rPr>
      </w:pPr>
    </w:p>
    <w:p>
      <w:pPr>
        <w:ind w:left="260" w:hanging="255"/>
        <w:spacing w:after="0"/>
        <w:tabs>
          <w:tab w:leader="none" w:pos="26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 period information has been adjusted to reflect the 5-for-1 forward stock split of the Company’s common stock effected in August 2023. Refer to Note</w:t>
      </w:r>
    </w:p>
    <w:p>
      <w:pPr>
        <w:spacing w:after="0" w:line="26" w:lineRule="exact"/>
        <w:rPr>
          <w:rFonts w:ascii="Times New Roman" w:cs="Times New Roman" w:eastAsia="Times New Roman" w:hAnsi="Times New Roman"/>
          <w:sz w:val="16"/>
          <w:szCs w:val="16"/>
          <w:i w:val="1"/>
          <w:iCs w:val="1"/>
          <w:color w:val="auto"/>
        </w:rPr>
      </w:pPr>
    </w:p>
    <w:p>
      <w:pPr>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i w:val="1"/>
          <w:iCs w:val="1"/>
          <w:color w:val="auto"/>
        </w:rPr>
        <w:t>19 – Capital Structure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5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1080" w:type="dxa"/>
            <w:vAlign w:val="bottom"/>
            <w:tcBorders>
              <w:bottom w:val="single" w:sz="8" w:color="auto"/>
            </w:tcBorders>
          </w:tcPr>
          <w:p>
            <w:pPr>
              <w:spacing w:after="0"/>
              <w:rPr>
                <w:sz w:val="18"/>
                <w:szCs w:val="18"/>
                <w:color w:val="auto"/>
              </w:rPr>
            </w:pPr>
          </w:p>
        </w:tc>
      </w:tr>
      <w:tr>
        <w:trPr>
          <w:trHeight w:val="205"/>
        </w:trPr>
        <w:tc>
          <w:tcPr>
            <w:tcW w:w="55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114,758</w:t>
            </w:r>
          </w:p>
        </w:tc>
      </w:tr>
      <w:tr>
        <w:trPr>
          <w:trHeight w:val="223"/>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r>
      <w:tr>
        <w:trPr>
          <w:trHeight w:val="22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on net investment hedges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r>
      <w:tr>
        <w:trPr>
          <w:trHeight w:val="22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Retirement benefits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550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(Gain)/loss on cash flow hedges </w:t>
            </w:r>
            <w:r>
              <w:rPr>
                <w:rFonts w:ascii="Times New Roman" w:cs="Times New Roman" w:eastAsia="Times New Roman" w:hAnsi="Times New Roman"/>
                <w:sz w:val="22"/>
                <w:szCs w:val="22"/>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23"/>
        </w:trPr>
        <w:tc>
          <w:tcPr>
            <w:tcW w:w="550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Retirement benefits </w:t>
            </w:r>
            <w:r>
              <w:rPr>
                <w:rFonts w:ascii="Times New Roman" w:cs="Times New Roman" w:eastAsia="Times New Roman" w:hAnsi="Times New Roman"/>
                <w:sz w:val="22"/>
                <w:szCs w:val="22"/>
                <w:color w:val="auto"/>
                <w:vertAlign w:val="superscript"/>
              </w:rPr>
              <w:t>(2)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5500" w:type="dxa"/>
            <w:vAlign w:val="bottom"/>
            <w:tcBorders>
              <w:bottom w:val="single" w:sz="8" w:color="CCEEFF"/>
            </w:tcBorders>
          </w:tcPr>
          <w:p>
            <w:pPr>
              <w:ind w:left="1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Income tax effects relating to above </w:t>
            </w:r>
            <w:r>
              <w:rPr>
                <w:rFonts w:ascii="Times New Roman" w:cs="Times New Roman" w:eastAsia="Times New Roman" w:hAnsi="Times New Roman"/>
                <w:sz w:val="22"/>
                <w:szCs w:val="22"/>
                <w:b w:val="1"/>
                <w:bCs w:val="1"/>
                <w:color w:val="auto"/>
                <w:vertAlign w:val="superscript"/>
              </w:rPr>
              <w:t>(3)</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17"/>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r>
      <w:tr>
        <w:trPr>
          <w:trHeight w:val="21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201,661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100,268</w:t>
            </w:r>
          </w:p>
        </w:tc>
      </w:tr>
      <w:tr>
        <w:trPr>
          <w:trHeight w:val="20"/>
        </w:trPr>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60" w:hanging="555"/>
        <w:spacing w:after="0" w:line="289" w:lineRule="auto"/>
        <w:tabs>
          <w:tab w:leader="none" w:pos="56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cost of revenues, operating expenses and interest expense, as applicable in the consolidated statements of income.</w:t>
      </w:r>
    </w:p>
    <w:p>
      <w:pPr>
        <w:spacing w:after="0" w:line="43" w:lineRule="exact"/>
        <w:rPr>
          <w:rFonts w:ascii="Times New Roman" w:cs="Times New Roman" w:eastAsia="Times New Roman" w:hAnsi="Times New Roman"/>
          <w:sz w:val="16"/>
          <w:szCs w:val="16"/>
          <w:i w:val="1"/>
          <w:iCs w:val="1"/>
          <w:color w:val="auto"/>
        </w:rPr>
      </w:pPr>
    </w:p>
    <w:p>
      <w:pPr>
        <w:ind w:left="560" w:hanging="555"/>
        <w:spacing w:after="0"/>
        <w:tabs>
          <w:tab w:leader="none" w:pos="56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income/(expense), net in the consolidated statements of income.</w:t>
      </w:r>
    </w:p>
    <w:p>
      <w:pPr>
        <w:spacing w:after="0" w:line="105" w:lineRule="exact"/>
        <w:rPr>
          <w:rFonts w:ascii="Times New Roman" w:cs="Times New Roman" w:eastAsia="Times New Roman" w:hAnsi="Times New Roman"/>
          <w:sz w:val="16"/>
          <w:szCs w:val="16"/>
          <w:i w:val="1"/>
          <w:iCs w:val="1"/>
          <w:color w:val="auto"/>
        </w:rPr>
      </w:pPr>
    </w:p>
    <w:p>
      <w:pPr>
        <w:ind w:left="560" w:hanging="555"/>
        <w:spacing w:after="0"/>
        <w:tabs>
          <w:tab w:leader="none" w:pos="56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foreign currency translation gain/(loss).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08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tcPr>
          <w:p>
            <w:pPr>
              <w:ind w:left="40"/>
              <w:spacing w:after="0" w:line="53" w:lineRule="exact"/>
              <w:rPr>
                <w:sz w:val="20"/>
                <w:szCs w:val="20"/>
                <w:color w:val="auto"/>
              </w:rPr>
            </w:pPr>
            <w:r>
              <w:rPr>
                <w:rFonts w:ascii="Times New Roman" w:cs="Times New Roman" w:eastAsia="Times New Roman" w:hAnsi="Times New Roman"/>
                <w:sz w:val="5"/>
                <w:szCs w:val="5"/>
                <w:b w:val="1"/>
                <w:bCs w:val="1"/>
                <w:color w:val="auto"/>
              </w:rPr>
              <w:t>Paid-in Capital</w:t>
            </w:r>
          </w:p>
        </w:tc>
        <w:tc>
          <w:tcPr>
            <w:tcW w:w="120" w:type="dxa"/>
            <w:vAlign w:val="bottom"/>
          </w:tcPr>
          <w:p>
            <w:pPr>
              <w:spacing w:after="0"/>
              <w:rPr>
                <w:sz w:val="4"/>
                <w:szCs w:val="4"/>
                <w:color w:val="auto"/>
              </w:rPr>
            </w:pPr>
          </w:p>
        </w:tc>
        <w:tc>
          <w:tcPr>
            <w:tcW w:w="82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5"/>
                <w:szCs w:val="5"/>
                <w:b w:val="1"/>
                <w:bCs w:val="1"/>
                <w:color w:val="auto"/>
              </w:rPr>
              <w:t>Retained</w:t>
            </w:r>
          </w:p>
        </w:tc>
        <w:tc>
          <w:tcPr>
            <w:tcW w:w="120" w:type="dxa"/>
            <w:vAlign w:val="bottom"/>
          </w:tcPr>
          <w:p>
            <w:pPr>
              <w:spacing w:after="0"/>
              <w:rPr>
                <w:sz w:val="4"/>
                <w:szCs w:val="4"/>
                <w:color w:val="auto"/>
              </w:rPr>
            </w:pPr>
          </w:p>
        </w:tc>
        <w:tc>
          <w:tcPr>
            <w:tcW w:w="122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6"/>
                <w:szCs w:val="16"/>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Income/(Loss)</w:t>
            </w:r>
          </w:p>
        </w:tc>
        <w:tc>
          <w:tcPr>
            <w:tcW w:w="1080" w:type="dxa"/>
            <w:vAlign w:val="bottom"/>
            <w:gridSpan w:val="2"/>
          </w:tcPr>
          <w:p>
            <w:pPr>
              <w:ind w:left="240"/>
              <w:spacing w:after="0" w:line="190"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6"/>
                <w:szCs w:val="16"/>
                <w:color w:val="auto"/>
              </w:rPr>
            </w:pPr>
          </w:p>
        </w:tc>
        <w:tc>
          <w:tcPr>
            <w:tcW w:w="880" w:type="dxa"/>
            <w:vAlign w:val="bottom"/>
            <w:gridSpan w:val="2"/>
          </w:tcPr>
          <w:p>
            <w:pPr>
              <w:ind w:left="40"/>
              <w:spacing w:after="0" w:line="190" w:lineRule="exact"/>
              <w:rPr>
                <w:sz w:val="20"/>
                <w:szCs w:val="20"/>
                <w:color w:val="auto"/>
              </w:rPr>
            </w:pP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17"/>
                <w:szCs w:val="17"/>
                <w:b w:val="1"/>
                <w:bCs w:val="1"/>
                <w:color w:val="auto"/>
                <w:vertAlign w:val="superscript"/>
              </w:rPr>
              <w:t>(2)</w:t>
            </w:r>
          </w:p>
        </w:tc>
        <w:tc>
          <w:tcPr>
            <w:tcW w:w="180" w:type="dxa"/>
            <w:vAlign w:val="bottom"/>
          </w:tcPr>
          <w:p>
            <w:pPr>
              <w:spacing w:after="0"/>
              <w:rPr>
                <w:sz w:val="16"/>
                <w:szCs w:val="16"/>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0"/>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194,840,260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420,820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641,379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(74,984)</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(27,043,090)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(268,238)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719,172</w:t>
            </w:r>
          </w:p>
        </w:tc>
        <w:tc>
          <w:tcPr>
            <w:tcW w:w="0" w:type="dxa"/>
            <w:vAlign w:val="bottom"/>
          </w:tcPr>
          <w:p>
            <w:pPr>
              <w:spacing w:after="0"/>
              <w:rPr>
                <w:sz w:val="1"/>
                <w:szCs w:val="1"/>
                <w:color w:val="auto"/>
              </w:rPr>
            </w:pPr>
          </w:p>
        </w:tc>
      </w:tr>
      <w:tr>
        <w:trPr>
          <w:trHeight w:val="131"/>
        </w:trPr>
        <w:tc>
          <w:tcPr>
            <w:tcW w:w="22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2,701,440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38,621</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(118,357)</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treasury stock</w:t>
            </w:r>
          </w:p>
        </w:tc>
        <w:tc>
          <w:tcPr>
            <w:tcW w:w="8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1,551,970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17,306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36,742</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convertible notes</w:t>
            </w:r>
          </w:p>
        </w:tc>
        <w:tc>
          <w:tcPr>
            <w:tcW w:w="8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(14,490)</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114,758</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197,541,700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395,584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756,137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(89,474)</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(31,084,290)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(369,289)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693,156</w:t>
            </w:r>
          </w:p>
        </w:tc>
        <w:tc>
          <w:tcPr>
            <w:tcW w:w="0" w:type="dxa"/>
            <w:vAlign w:val="bottom"/>
          </w:tcPr>
          <w:p>
            <w:pPr>
              <w:spacing w:after="0"/>
              <w:rPr>
                <w:sz w:val="1"/>
                <w:szCs w:val="1"/>
                <w:color w:val="auto"/>
              </w:rPr>
            </w:pPr>
          </w:p>
        </w:tc>
      </w:tr>
      <w:tr>
        <w:trPr>
          <w:trHeight w:val="131"/>
        </w:trPr>
        <w:tc>
          <w:tcPr>
            <w:tcW w:w="22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2,398,180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49,366</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(2,683,370)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(72,642)</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(54,669)</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142,968</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199,939,880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444,948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899,105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(144,143)</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(33,767,660)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(441,931)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758,179</w:t>
            </w:r>
          </w:p>
        </w:tc>
        <w:tc>
          <w:tcPr>
            <w:tcW w:w="0" w:type="dxa"/>
            <w:vAlign w:val="bottom"/>
          </w:tcPr>
          <w:p>
            <w:pPr>
              <w:spacing w:after="0"/>
              <w:rPr>
                <w:sz w:val="1"/>
                <w:szCs w:val="1"/>
                <w:color w:val="auto"/>
              </w:rPr>
            </w:pPr>
          </w:p>
        </w:tc>
      </w:tr>
      <w:tr>
        <w:trPr>
          <w:trHeight w:val="131"/>
        </w:trPr>
        <w:tc>
          <w:tcPr>
            <w:tcW w:w="22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3,470,158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(4,364,498)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(133,486)</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17,103</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184,558</w:t>
            </w:r>
          </w:p>
        </w:tc>
        <w:tc>
          <w:tcPr>
            <w:tcW w:w="0" w:type="dxa"/>
            <w:vAlign w:val="bottom"/>
          </w:tcPr>
          <w:p>
            <w:pPr>
              <w:spacing w:after="0"/>
              <w:rPr>
                <w:sz w:val="1"/>
                <w:szCs w:val="1"/>
                <w:color w:val="auto"/>
              </w:rPr>
            </w:pPr>
          </w:p>
        </w:tc>
      </w:tr>
      <w:tr>
        <w:trPr>
          <w:trHeight w:val="191"/>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5"/>
        <w:spacing w:after="0" w:line="272" w:lineRule="auto"/>
        <w:tabs>
          <w:tab w:leader="none" w:pos="237"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 period information has been adjusted to reflect the 5-for-1 forward stock split of the Company’s common stock effected in August 2023. Refer to Note 19 – Capital Structure to the consolidated financial statements for further details.</w:t>
      </w:r>
    </w:p>
    <w:p>
      <w:pPr>
        <w:spacing w:after="0" w:line="200" w:lineRule="exact"/>
        <w:rPr>
          <w:rFonts w:ascii="Times New Roman" w:cs="Times New Roman" w:eastAsia="Times New Roman" w:hAnsi="Times New Roman"/>
          <w:sz w:val="16"/>
          <w:szCs w:val="16"/>
          <w:i w:val="1"/>
          <w:iCs w:val="1"/>
          <w:color w:val="auto"/>
        </w:rPr>
      </w:pPr>
    </w:p>
    <w:p>
      <w:pPr>
        <w:ind w:left="220" w:hanging="215"/>
        <w:spacing w:after="0"/>
        <w:tabs>
          <w:tab w:leader="none" w:pos="220"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Inclusive of excise tax for the year ended December 31, 2023. Refer to Note 19 – Capital Structure to the consolidated financial statements for further details.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184,558</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142,968</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114,758</w:t>
            </w:r>
          </w:p>
        </w:tc>
      </w:tr>
      <w:tr>
        <w:trPr>
          <w:trHeight w:val="20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49,656</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38,621</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26,326</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mark-to-market of short-term investments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(20,326)</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Allowance/(reversal) for expected credit losses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settlement of convertible notes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12,845</w:t>
            </w:r>
          </w:p>
        </w:tc>
      </w:tr>
      <w:tr>
        <w:trPr>
          <w:trHeight w:val="223"/>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Fair value changes in contingent consideration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non-cash interest expense related to convertible notes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(37,684)</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(12,062)</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(12,733)</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46,475</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r>
      <w:tr>
        <w:trPr>
          <w:trHeight w:val="190"/>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(25,674)</w:t>
            </w:r>
          </w:p>
        </w:tc>
      </w:tr>
      <w:tr>
        <w:trPr>
          <w:trHeight w:val="19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211,198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166,141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184,387</w:t>
            </w:r>
          </w:p>
        </w:tc>
      </w:tr>
      <w:tr>
        <w:trPr>
          <w:trHeight w:val="33"/>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(37,248)</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 (net of cash and cash equivalents acquired)</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(76,831)</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(235,369)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(212,607)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(96,011)</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94,520</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(96,546)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(114,270)</w:t>
            </w:r>
          </w:p>
        </w:tc>
      </w:tr>
      <w:tr>
        <w:trPr>
          <w:trHeight w:val="190"/>
        </w:trPr>
        <w:tc>
          <w:tcPr>
            <w:tcW w:w="6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(130,000)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(329,031)</w:t>
            </w:r>
          </w:p>
        </w:tc>
      </w:tr>
      <w:tr>
        <w:trPr>
          <w:trHeight w:val="190"/>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(131,847)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(118,357)</w:t>
            </w:r>
          </w:p>
        </w:tc>
      </w:tr>
      <w:tr>
        <w:trPr>
          <w:trHeight w:val="190"/>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197"/>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(181,450)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(146,879)</w:t>
            </w:r>
          </w:p>
        </w:tc>
      </w:tr>
      <w:tr>
        <w:trPr>
          <w:trHeight w:val="18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(4,947)</w:t>
            </w:r>
          </w:p>
        </w:tc>
      </w:tr>
      <w:tr>
        <w:trPr>
          <w:trHeight w:val="19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(81,709)</w:t>
            </w:r>
          </w:p>
        </w:tc>
      </w:tr>
      <w:tr>
        <w:trPr>
          <w:trHeight w:val="19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143,810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225,519</w:t>
            </w:r>
          </w:p>
        </w:tc>
      </w:tr>
      <w:tr>
        <w:trPr>
          <w:trHeight w:val="21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125,621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143,810</w:t>
            </w:r>
          </w:p>
        </w:tc>
      </w:tr>
      <w:tr>
        <w:trPr>
          <w:trHeight w:val="23"/>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w:t>
            </w: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104,882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57,058</w:t>
            </w:r>
          </w:p>
        </w:tc>
        <w:tc>
          <w:tcPr>
            <w:tcW w:w="120" w:type="dxa"/>
            <w:vAlign w:val="bottom"/>
          </w:tcPr>
          <w:p>
            <w:pPr>
              <w:spacing w:after="0"/>
              <w:rPr>
                <w:sz w:val="18"/>
                <w:szCs w:val="18"/>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49,997</w:t>
            </w:r>
          </w:p>
        </w:tc>
      </w:tr>
      <w:tr>
        <w:trPr>
          <w:trHeight w:val="19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portion of convertible notes through issuance of treasury stock</w:t>
            </w: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36,742</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 under finance lease</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The Company partners with clients using a data and AI-led approach to reinvent business models, drive better business outcomes and unlock growth with speed. The Company harnesses the power of data, analytics, artificial intelligence (“AI”), and deep industry knowledge to transform operations for the world’s leading corporations in industries including insurance, healthcare, banking and financial services, media and retail, among others.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(“U.S.”) and the United Kingdom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Inc. and all of its subsidiaries and includes the Company's share in the results of its associates.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6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carrying amounts of assets and liabilities and disclosure of contingent assets and liabilities included in the consolidated financial statements. Although these estimates are based on management’s best assessment of the current business environment, actual results may be different from those estimates. The significant estimates that affect the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generation of economic benefits to calculate depreciation and amortization for long-lived assets and other intangible assets, and recoverability of long-lived assets, goodwill and other intangible assets.</w:t>
      </w:r>
    </w:p>
    <w:p>
      <w:pPr>
        <w:spacing w:after="0" w:line="112" w:lineRule="exact"/>
        <w:rPr>
          <w:sz w:val="20"/>
          <w:szCs w:val="20"/>
          <w:color w:val="auto"/>
        </w:rPr>
      </w:pPr>
    </w:p>
    <w:p>
      <w:pPr>
        <w:ind w:left="400" w:hanging="395"/>
        <w:spacing w:after="0"/>
        <w:tabs>
          <w:tab w:leader="none" w:pos="40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5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functional currency of each entity in the Company is the currency of the primary economic environment in which it operates.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at exchange rates that prevailed on the date of inception of the transaction. All foreign exchange gains and losses arising on re-measurement are recorded in the Company's consolidated statements of income.</w:t>
      </w:r>
    </w:p>
    <w:p>
      <w:pPr>
        <w:spacing w:after="0" w:line="13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Share capital and other equity items are translated at exchange rates that prevailed on the date of inception of the transaction. Resulting translation adjustments are included in “Accumulated other comprehensive income/(loss)” in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is recognized when services are provided to the Company's customers, in an amount that reflects the consideration which the Company expect to be entitled to in exchange for the services provided. The Company recognizes revenue when it satisfies a performance obligation by providing services to a customer.</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Services</w:t>
      </w:r>
    </w:p>
    <w:p>
      <w:pPr>
        <w:spacing w:after="0" w:line="165" w:lineRule="exact"/>
        <w:rPr>
          <w:sz w:val="20"/>
          <w:szCs w:val="20"/>
          <w:color w:val="auto"/>
        </w:rPr>
      </w:pPr>
    </w:p>
    <w:p>
      <w:pPr>
        <w:jc w:val="both"/>
        <w:ind w:firstLine="315"/>
        <w:spacing w:after="0" w:line="268" w:lineRule="auto"/>
        <w:rPr>
          <w:sz w:val="20"/>
          <w:szCs w:val="20"/>
          <w:color w:val="auto"/>
        </w:rPr>
      </w:pPr>
      <w:r>
        <w:rPr>
          <w:rFonts w:ascii="Times New Roman" w:cs="Times New Roman" w:eastAsia="Times New Roman" w:hAnsi="Times New Roman"/>
          <w:sz w:val="18"/>
          <w:szCs w:val="18"/>
          <w:color w:val="auto"/>
        </w:rPr>
        <w:t>The Company derives its revenues from digital operations and solutions and analytics services. The Company provides digital operations and solutions and analytics services helping businesses enhance revenue growth and improve profitability.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Contracts and Basis of Recognition</w:t>
      </w:r>
    </w:p>
    <w:p>
      <w:pPr>
        <w:spacing w:after="0" w:line="165" w:lineRule="exact"/>
        <w:rPr>
          <w:sz w:val="20"/>
          <w:szCs w:val="20"/>
          <w:color w:val="auto"/>
        </w:rPr>
      </w:pPr>
    </w:p>
    <w:p>
      <w:pPr>
        <w:jc w:val="both"/>
        <w:ind w:left="720" w:hanging="399"/>
        <w:spacing w:after="0" w:line="252" w:lineRule="auto"/>
        <w:tabs>
          <w:tab w:leader="none" w:pos="7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29" w:lineRule="exact"/>
        <w:rPr>
          <w:rFonts w:ascii="Times New Roman" w:cs="Times New Roman" w:eastAsia="Times New Roman" w:hAnsi="Times New Roman"/>
          <w:sz w:val="18"/>
          <w:szCs w:val="18"/>
          <w:color w:val="auto"/>
        </w:rPr>
      </w:pPr>
    </w:p>
    <w:p>
      <w:pPr>
        <w:jc w:val="both"/>
        <w:ind w:left="720" w:hanging="5"/>
        <w:spacing w:after="0" w:line="252" w:lineRule="auto"/>
        <w:tabs>
          <w:tab w:leader="none" w:pos="9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arrangements involving subcontracting, either in part or whole of the assigned work, are recognized after the Company’s assessment of “Principal versus agent considerations.” The Company evaluates whether it is in control of the services before the same are transferred to the customer to assess whether it is principal or agent in the arrangement. Revenues are recognized on a gross basis if the Company is in the capacity of principal and on a net basis if it falls in the capacity of an agent.</w:t>
      </w:r>
    </w:p>
    <w:p>
      <w:pPr>
        <w:spacing w:after="0" w:line="129" w:lineRule="exact"/>
        <w:rPr>
          <w:rFonts w:ascii="Times New Roman" w:cs="Times New Roman" w:eastAsia="Times New Roman" w:hAnsi="Times New Roman"/>
          <w:sz w:val="18"/>
          <w:szCs w:val="18"/>
          <w:color w:val="auto"/>
        </w:rPr>
      </w:pPr>
    </w:p>
    <w:p>
      <w:pPr>
        <w:jc w:val="both"/>
        <w:ind w:left="720" w:hanging="399"/>
        <w:spacing w:after="0" w:line="247" w:lineRule="auto"/>
        <w:tabs>
          <w:tab w:leader="none" w:pos="7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Company’s fixed-price contracts, which include business support services provided on a fixed price basis or implementation of applications or solutions, are recognized considering costs incurred to date relative to total estimated costs at completion to measure progress toward satisfying the Company’s performance obligations. Incurred cost represents work performed, which corresponds with, and thereby reasonably reflects transfer of control to the client. The use of this method requires significant judgment to estimate the stage of completion and/or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spacing w:after="0" w:line="268" w:lineRule="auto"/>
        <w:rPr>
          <w:sz w:val="20"/>
          <w:szCs w:val="20"/>
          <w:color w:val="auto"/>
        </w:rPr>
      </w:pPr>
      <w:r>
        <w:rPr>
          <w:rFonts w:ascii="Times New Roman" w:cs="Times New Roman" w:eastAsia="Times New Roman" w:hAnsi="Times New Roman"/>
          <w:sz w:val="18"/>
          <w:szCs w:val="18"/>
          <w:color w:val="auto"/>
        </w:rPr>
        <w:t>period in which a change in an estimate is determined. If a change in an estimate results in a projected loss on a project, such loss is recognized in the period in which it is first identified.</w:t>
      </w:r>
    </w:p>
    <w:p>
      <w:pPr>
        <w:spacing w:after="0" w:line="116" w:lineRule="exact"/>
        <w:rPr>
          <w:sz w:val="20"/>
          <w:szCs w:val="20"/>
          <w:color w:val="auto"/>
        </w:rPr>
      </w:pPr>
    </w:p>
    <w:p>
      <w:pPr>
        <w:jc w:val="both"/>
        <w:ind w:left="720" w:hanging="399"/>
        <w:spacing w:after="0" w:line="256" w:lineRule="auto"/>
        <w:tabs>
          <w:tab w:leader="none" w:pos="7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126" w:lineRule="exact"/>
        <w:rPr>
          <w:rFonts w:ascii="Times New Roman" w:cs="Times New Roman" w:eastAsia="Times New Roman" w:hAnsi="Times New Roman"/>
          <w:sz w:val="18"/>
          <w:szCs w:val="18"/>
          <w:color w:val="auto"/>
        </w:rPr>
      </w:pPr>
    </w:p>
    <w:p>
      <w:pPr>
        <w:jc w:val="both"/>
        <w:ind w:left="7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126" w:lineRule="exact"/>
        <w:rPr>
          <w:rFonts w:ascii="Times New Roman" w:cs="Times New Roman" w:eastAsia="Times New Roman" w:hAnsi="Times New Roman"/>
          <w:sz w:val="18"/>
          <w:szCs w:val="18"/>
          <w:color w:val="auto"/>
        </w:rPr>
      </w:pPr>
    </w:p>
    <w:p>
      <w:pPr>
        <w:ind w:left="7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distinct subscription based licenses is recognized over the period of service performed. Revenue from any associated maintenance or ongoing support services is recognized over the term of the contract.</w:t>
      </w:r>
    </w:p>
    <w:p>
      <w:pPr>
        <w:spacing w:after="0" w:line="102" w:lineRule="exact"/>
        <w:rPr>
          <w:rFonts w:ascii="Times New Roman" w:cs="Times New Roman" w:eastAsia="Times New Roman" w:hAnsi="Times New Roman"/>
          <w:sz w:val="18"/>
          <w:szCs w:val="18"/>
          <w:color w:val="auto"/>
        </w:rPr>
      </w:pPr>
    </w:p>
    <w:p>
      <w:pPr>
        <w:jc w:val="both"/>
        <w:ind w:left="720" w:hanging="399"/>
        <w:spacing w:after="0" w:line="234" w:lineRule="auto"/>
        <w:tabs>
          <w:tab w:leader="none" w:pos="706"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Revenues from reimbursement optimization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Contracts</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 Performance Obligations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recognized based upon the transaction price allocated to each performance obligation based on the relative standalone selling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Transaction Price to Performance Obligations</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volume discounts entailing variability in revenue earned, and contracts under the Company’s reimbursement optimization services whereby variability in revenue is attributable to the amount the Company enables its customers to recover.</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considers its historical experience, including trends with similar transactions and expectations regarding the contract in estimating the amount of variable consideration that should be recognized during a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w:t>
      </w:r>
    </w:p>
    <w:p>
      <w:pPr>
        <w:spacing w:after="0" w:line="16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Unbilled receivables represents revenues recognized for services rendered between the last billing date and the balance sheet date. Unbilled receivables also include revenues recognized from reimbursement optimization services where the Company identifies an overpayment claim. In such contracts, Company’s consideration is contingent upon and collectable only when the actual collections are made by its customers. Based on guidance on “variable consideration” in ASC Topic 606, Company use its historical experience and projections to determine the expected recoveries from its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 net.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Contract Fulfillment Costs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Contract liabilities (deferred revenue) consist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spacing w:after="0" w:line="113"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Further, the Company also defers any upfront payments collected from its customers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as (or when) the performance obligation is fulfilled under the contract with customer.</w:t>
      </w:r>
    </w:p>
    <w:p>
      <w:pPr>
        <w:spacing w:after="0" w:line="1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the consolidated statements of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04"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Upfront Payments Made to Customers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Out-of-Pocket Expenses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Reimbursements of out-of-pocket expenses received from customers are included as part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does not disclose the value of remaining performance obligations as a result of applying the practical expedient provided in ASC Topic 606, for contracts that meet any of the following criteria: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hanging="299"/>
        <w:spacing w:after="0"/>
        <w:tabs>
          <w:tab w:leader="none" w:pos="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 original expected length of one year or less as determined under ASC Topic 606,</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Company recognize revenue based on the right to invoice for service performed.</w:t>
      </w:r>
    </w:p>
    <w:p>
      <w:pPr>
        <w:spacing w:after="0" w:line="157"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funds and time deposits to reduce its exposure to market risk with regard to these funds.</w:t>
      </w:r>
    </w:p>
    <w:p>
      <w:pPr>
        <w:spacing w:after="0" w:line="126"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 xml:space="preserve">The Company’s investment in money market funds is considered as cash equivalents. These investments are accounted for in accordance with the fair value option under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is represented by original cost on the acquisition date and the net asset value (“NAV”) as quoted, at each reporting period and any changes in fair value are included in other income/(expense), net. Gain or loss on the disposal of these investments is calculated using the weighted average cost of the investments sold and is included in other income/(expense), net.</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cash includes any cash and cash equivalents that are legally restricted as to withdrawal or usage for the Company’s operations.</w:t>
      </w:r>
    </w:p>
    <w:p>
      <w:pPr>
        <w:spacing w:after="0" w:line="16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For purposes of the statements of cash flows, the Company includes in its cash and cash-equivalent balances those amounts that have been classified as restricted cash and restricted cash equivalents.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Short-Term and Long-Term Investments</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Company’s short-term investments consist of investments in mutual funds and those term deposits with more than three months of original maturity and less than twelve months of remaining maturity as of the reporting date, while long-term investments consist of term deposits with more than twelve months of remaining maturity as of the reporting date and investments in equity affiliate.</w:t>
      </w:r>
    </w:p>
    <w:p>
      <w:pPr>
        <w:spacing w:after="0" w:line="205"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Company’s investments in term deposits with financial institutions are measured and recognized at amortized cost. Interest earned on such investments is included in other income/(expense), net.</w:t>
      </w:r>
    </w:p>
    <w:p>
      <w:pPr>
        <w:spacing w:after="0" w:line="19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 xml:space="preserve">The Company’s mutual fund investments are in debt funds invested in India. These investments are accounted for in accordance with the fair value option under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is represented by original cost on the acquisition date and the net asset value (“NAV”) as quoted, at each reporting period and any changes in fair value are included in other income/(expense), net. Gain or loss on the disposal of these investments is calculated using the weighted average cost of the investments sold and is included in other income/(expense), net.</w:t>
      </w:r>
    </w:p>
    <w:p>
      <w:pPr>
        <w:spacing w:after="0" w:line="208"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r>
        <w:rPr>
          <w:rFonts w:ascii="Times New Roman" w:cs="Times New Roman" w:eastAsia="Times New Roman" w:hAnsi="Times New Roman"/>
          <w:sz w:val="18"/>
          <w:szCs w:val="18"/>
          <w:b w:val="1"/>
          <w:bCs w:val="1"/>
          <w:i w:val="1"/>
          <w:i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 and Allowance for Expected Credit Losses</w:t>
      </w:r>
    </w:p>
    <w:p>
      <w:pPr>
        <w:spacing w:after="0" w:line="165"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Accounts receivable are recorded net of allowances for expected credit losses.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Accounts receivable balances are written-off against the allowance for expected credit losses after all means of collection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Accounts receivable include unbilled accounts receivable which represent revenues on contracts to be billed, in subsequent periods, as per the terms of the related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which is generally comprised of the purchase price for such property or equipment, non-refundable duties and taxes, but excludes any discounts and/or rebates, less accumulated depreciation and impairment. Equipment held under finance leases are capitalized at the commencement of the lease at an amount equal to the lease liability, adjusted for any lease prepayments, initial direct costs and lease incentives, which usually approximate the fair value of the underlying asset. Expenditures for replacements and improvements are capitalized, if they enhance the production capacity and future benefits whereas the costs of maintenance and repairs are charged to earnings as incurred. Advances paid towards acquisition of property and equipment and the cost of property and equipment not yet placed in service before the end of the reporting period, net of impairment, if any, are classified as capital work in progress.</w:t>
      </w:r>
    </w:p>
    <w:p>
      <w:pPr>
        <w:spacing w:after="0" w:line="13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assets and is presented under “Depreciation and amortization expense” in the consolidated statements of income.</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Property and equipment which are abandoned and disposed other than by sale, are assessed for revision of their useful life, thereby revising the future depreciation to reflect the use of property and equipment over the remaining shortened life.</w:t>
      </w:r>
    </w:p>
    <w:p>
      <w:pPr>
        <w:spacing w:after="0" w:line="103" w:lineRule="exact"/>
        <w:rPr>
          <w:sz w:val="20"/>
          <w:szCs w:val="20"/>
          <w:color w:val="auto"/>
        </w:rPr>
      </w:pPr>
    </w:p>
    <w:p>
      <w:pPr>
        <w:jc w:val="both"/>
        <w:ind w:firstLine="394"/>
        <w:spacing w:after="0" w:line="314" w:lineRule="auto"/>
        <w:rPr>
          <w:sz w:val="20"/>
          <w:szCs w:val="20"/>
          <w:color w:val="auto"/>
        </w:rPr>
      </w:pPr>
      <w:r>
        <w:rPr>
          <w:rFonts w:ascii="Times New Roman" w:cs="Times New Roman" w:eastAsia="Times New Roman" w:hAnsi="Times New Roman"/>
          <w:sz w:val="16"/>
          <w:szCs w:val="16"/>
          <w:color w:val="auto"/>
        </w:rPr>
        <w:t>The Company reviews property and equipment for impairment whenever events or changes in circumstances indicate that the related carrying amounts may not be recoverable. The estimated useful life have been disclosed in Note 9 - Property and Equipment to the consolidated financial statements.</w:t>
      </w:r>
    </w:p>
    <w:p>
      <w:pPr>
        <w:spacing w:after="0" w:line="22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6"/>
          <w:szCs w:val="16"/>
          <w:b w:val="1"/>
          <w:bCs w:val="1"/>
          <w:i w:val="1"/>
          <w:iCs w:val="1"/>
          <w:color w:val="auto"/>
        </w:rPr>
        <w:t>Software Development Costs</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or enhancements to existing software products to be sold, leased or otherwise marketed and / or used for internal-use.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Costs incurred on internally developed software not yet ready for its intended use before the end of the reporting period, net of impairment, if any, are classified as capital work in progress. The Company exercises judgment in determining the point at which various projects may be capitalized, in assessing the ongoing value of the capitalized costs, and in determining the estimated useful lives over which the costs are amortized.</w:t>
      </w:r>
    </w:p>
    <w:p>
      <w:pPr>
        <w:spacing w:after="0" w:line="123"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Implementation costs in cloud computing arrangements (“CCAs”), such as software as a service and other hosting arrangements are evaluated to ascertain if the arrangement includes a license to internal-use software. If a CCA does not provide a contractual right to the Company to take possession of the software at any time during the hosting period without significant penalty, and it is not feasible to either run the software on the Company’s own hardware, then implementation costs incurred are accounted for as a service contract. In case of the existence of such a contractual right to take possession of the software and the Company is able to run the software on its own hardware, then such implementation costs are capitalized as software development costs. The Company amortizes capitalized implementation costs in a CCA over the life of the service contract.</w:t>
      </w:r>
    </w:p>
    <w:p>
      <w:pPr>
        <w:spacing w:after="0" w:line="20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Annual amortization of internally developed software products meant for sale, lease or otherwise marketing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 Annual amortization of internally developed software products meant for internal-use is based on the straight-line method over the estimated useful lives of the internally developed software products. Amortization of such internally developed software is presented under “Depreciation and amortization expense” in the consolidated statements of income.</w:t>
      </w:r>
    </w:p>
    <w:p>
      <w:pPr>
        <w:spacing w:after="0" w:line="1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6"/>
          <w:szCs w:val="16"/>
          <w:b w:val="1"/>
          <w:bCs w:val="1"/>
          <w:i w:val="1"/>
          <w:iCs w:val="1"/>
          <w:color w:val="auto"/>
        </w:rPr>
        <w:t>Business Combinations,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whereby such changes in fair value are recognized in earnings. Under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all assets and liabilities of the acquired businesses, including goodwill, are assigned to reporting units. Acquisition related costs are expensed as incurred under general and administrative expenses.</w:t>
      </w:r>
    </w:p>
    <w:p>
      <w:pPr>
        <w:spacing w:after="0" w:line="120"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In addition, assets acquired and liabilities assumed including uncertain tax positions and tax-related valuation allowances in connection with business combinations are initially estimated as of the acquisition date. The Company subsequently re-evaluates the assets acquired and liabilities assumed, including additional assets and liabilities identified subsequent to acquisition date, with any adjustments to its preliminary estimates being recorded to goodwill within the measurement period (up to one year from the acquisition date).</w:t>
      </w:r>
    </w:p>
    <w:p>
      <w:pPr>
        <w:spacing w:after="0" w:line="142"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in a business combination. The Company undertakes studies to determine the fair values of assets and liabilities acquired and allocate purchase consideration to assets and liabilities, including property and equipment, goodwill and other identifiable intangibles. Goodwill is not amortized but is tested for impairment at least on an annual basis, relying on a number of factors including operating results, business plans and estimated future cash flows of the reporting units to which it is assigned. The Company examines the carrying value and fair value of the reporting unit that includes goodwill as and when the circumstances warrant, to determine whether there are any impairment losses.</w:t>
      </w:r>
    </w:p>
    <w:p>
      <w:pPr>
        <w:spacing w:after="0" w:line="13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Refer to Note 10 - Goodwill and Other Intangible Assets to the consolidated financial statements for discussion of the Company's goodwill impairment testing.</w:t>
      </w:r>
    </w:p>
    <w:p>
      <w:pPr>
        <w:spacing w:after="0" w:line="11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performs an assessment of qualitative factors to determine whether the existence of events or circumstances leads to a determination that it is more likely than not that the fair value of a reporting unit is less than its carrying amount. Based on the assessment of events or circumstances, the Company performs a quantitative assessment of goodwill impairment if it determines that it is more likely than not that the fair value of a reporting unit is less than its carrying amount. If, based on the quantitative impairment analysis, the carrying value of the goodwill of a reporting unit exceeds the fair value of such goodwill, an impairment loss is recognized in an amount equal to the excess, limited to the total amount of goodwill allocated to that reporting unit. In addition, the Company performs a quantitative assessment of goodwill impairment between annual tests if an event occurs or circumstances change that would more likely than not reduce the fair value of a reporting unit below its carrying amount.</w:t>
      </w:r>
    </w:p>
    <w:p>
      <w:pPr>
        <w:spacing w:after="0" w:line="139" w:lineRule="exact"/>
        <w:rPr>
          <w:sz w:val="20"/>
          <w:szCs w:val="20"/>
          <w:color w:val="auto"/>
        </w:rPr>
      </w:pPr>
    </w:p>
    <w:p>
      <w:pPr>
        <w:jc w:val="both"/>
        <w:ind w:firstLine="394"/>
        <w:spacing w:after="0" w:line="285" w:lineRule="auto"/>
        <w:rPr>
          <w:sz w:val="20"/>
          <w:szCs w:val="20"/>
          <w:color w:val="auto"/>
        </w:rPr>
      </w:pPr>
      <w:r>
        <w:rPr>
          <w:rFonts w:ascii="Times New Roman" w:cs="Times New Roman" w:eastAsia="Times New Roman" w:hAnsi="Times New Roman"/>
          <w:sz w:val="16"/>
          <w:szCs w:val="16"/>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Amortization of intangible assets with definite lives is presented under “Depreciation and amortization expense” in the consolidated statements of income.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as listed below using a straight-line method: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-127635</wp:posOffset>
            </wp:positionV>
            <wp:extent cx="5833745" cy="150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5833745" cy="150495"/>
                    </a:xfrm>
                    <a:prstGeom prst="rect">
                      <a:avLst/>
                    </a:prstGeom>
                    <a:noFill/>
                  </pic:spPr>
                </pic:pic>
              </a:graphicData>
            </a:graphic>
          </wp:anchor>
        </w:drawing>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Developed technology</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Non-compete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-130175</wp:posOffset>
            </wp:positionV>
            <wp:extent cx="5833745" cy="158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5833745" cy="158750"/>
                    </a:xfrm>
                    <a:prstGeom prst="rect">
                      <a:avLst/>
                    </a:prstGeom>
                    <a:noFill/>
                  </pic:spPr>
                </pic:pic>
              </a:graphicData>
            </a:graphic>
          </wp:anchor>
        </w:drawing>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Trade names and trademarks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Useful Lives</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(in years)</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7-15</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3-10</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sz w:val="20"/>
          <w:szCs w:val="20"/>
          <w:color w:val="auto"/>
        </w:rPr>
      </w:pPr>
    </w:p>
    <w:p>
      <w:pPr>
        <w:sectPr>
          <w:pgSz w:w="11900" w:h="16838" w:orient="portrait"/>
          <w:cols w:equalWidth="0" w:num="2">
            <w:col w:w="7840" w:space="720"/>
            <w:col w:w="26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Impairment of Long-lived Assets</w:t>
      </w:r>
    </w:p>
    <w:p>
      <w:pPr>
        <w:spacing w:after="0" w:line="165"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follows the discounted cash flow approach and uses its internal cash flow estimates discounted at an appropriate discount rate and independent appraisals, as appropriate. The impairment amount to be recognized is measured as the amount by which the carrying value of the assets exceeds their fair value.</w:t>
      </w:r>
    </w:p>
    <w:p>
      <w:pPr>
        <w:spacing w:after="0" w:line="137" w:lineRule="exact"/>
        <w:rPr>
          <w:sz w:val="20"/>
          <w:szCs w:val="20"/>
          <w:color w:val="auto"/>
        </w:rPr>
      </w:pPr>
    </w:p>
    <w:p>
      <w:pPr>
        <w:ind w:left="360" w:hanging="355"/>
        <w:spacing w:after="0"/>
        <w:tabs>
          <w:tab w:leader="none" w:pos="3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65"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In the normal course of business, the Company uses derivative instruments to mitigate the exposure from risk of foreign currency and interest rate fluctuations.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adhere to the Company’s treasury operations’ objectives and policies to qualify as cash flow hedges, and are with counterparties that are highly rated financial institutions.</w:t>
      </w:r>
    </w:p>
    <w:p>
      <w:pPr>
        <w:spacing w:after="0" w:line="21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(“AOCI”), net of tax. The resultant foreign exchange gain/(loss) upon settlement of cash flow hedges of forecasted transactions are recorded in the consolidated statements of income along with the underlying hedged item in the same line as part of “Cost of revenues,” “General and administrative expenses,” “Selling and marketing expenses,” and “Depreciation and amortization expense,” as applicable. The accumulated changes in the fair value of interest rate swaps recognized in AOCI are reclassified to the consolidated statements of income and are presented as a part of “Interest expense” over the term of the contract.</w:t>
      </w:r>
    </w:p>
    <w:p>
      <w:pPr>
        <w:spacing w:after="0" w:line="214"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AOCI are reclassified to earnings.</w:t>
      </w:r>
    </w:p>
    <w:p>
      <w:pPr>
        <w:spacing w:after="0" w:line="205"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The Company also uses derivatives instruments consisting of foreign currency forward contracts to hedge intercompany balances and other monetary assets or liabilities denominated in currencies other than the functional currency, against the risk of foreign currency fluctuations associated with remeasurement of such assets and liabilities to functional currency. These derivatives do not qualify as fair value hedges under ASC Topic 815. Changes in the fair value of these derivatives are recognized in the consolidated statements of income and are included in foreign exchange gain, net.</w:t>
      </w:r>
    </w:p>
    <w:p>
      <w:pPr>
        <w:spacing w:after="0" w:line="195"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Company also uses foreign currency forward contracts designated as net investment hedges to hedge the foreign currency risks related to the Company's investment in foreign subsidiaries. Fair value changes on these forward contracts and gains and losses on settlement of such forward contracts are recognized in AOCI as part of the foreign currency translation adjustments and are reclassified to consolidated statements of income when a foreign operation is disposed or partially disposed.</w:t>
      </w:r>
    </w:p>
    <w:p>
      <w:pPr>
        <w:spacing w:after="0" w:line="208"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6"/>
          <w:szCs w:val="16"/>
          <w:color w:val="auto"/>
        </w:rPr>
        <w:t>All of the assets and liabilities related to the Company’s forward contracts are subject to master netting arrangements with each individual counterparty. These master netting arrangements generally provide for net settlement of all outstanding contracts with the counterparty in the case of an event of default or a termination event. The Company has presented all of the assets and liabilities related to these contracts on a gross basis, with no offsets, in its consolidated statements of financial position. There is no financial collateral (including cash collateral) provided or received by the Company related to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Employee Benefits</w:t>
      </w:r>
    </w:p>
    <w:p>
      <w:pPr>
        <w:spacing w:after="0" w:line="165"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consolidated statements of income in the period in which services are rendered by the covered employees. Current service costs for defined benefit plans are recognized in the period to which they relate. The liability in respect of defined benefit plans is calculated annually by the Company using the projected unit credit method.</w:t>
      </w:r>
    </w:p>
    <w:p>
      <w:pPr>
        <w:spacing w:after="0" w:line="12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records annual amounts relating to its defined benefit plans based on calculations that incorporate various actuarial and other assumptions, including discount rates, mortality, assumed rates of return on plan assets, future compensation increases and attrition rates. The Company reviews its assumptions on an annual basis and makes modifications to the assumptions based on current rates and trends when it is appropriate to do so. The effect of modifications to those assumptions is recorded in other comprehensive income (loss) (“OCI”) and amortized to net periodic benefit cost over the expected remaining period of service of the covered employees using the corridor method. The Company believes that the assumptions utilized in recording its obligations under its plans are reasonable based on its experience and market conditions. These assumptions may not be within the control of the Company and accordingly it is reasonably possible that these assumptions could change in future periods.</w:t>
      </w:r>
    </w:p>
    <w:p>
      <w:pPr>
        <w:spacing w:after="0" w:line="13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“Other income/(expense), net.” Refer to Note 20 - Employee Benefit Plans to the consolidated financial statements for details.</w:t>
      </w:r>
    </w:p>
    <w:p>
      <w:pPr>
        <w:spacing w:after="0" w:line="12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rights to compensated absences vest or accumulate and payment is probable and estimable.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Stock-Based Compensation</w:t>
      </w:r>
    </w:p>
    <w:p>
      <w:pPr>
        <w:spacing w:after="0" w:line="152"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Company recognizes stock-based compensation expense in the consolidated statements of income for awards of equity instruments to employees and non-employee directors based on the grant-date fair value of those awards. The Company recognizes these compensation costs on straight-line basis over the requisite service period of the award, or to the date on which retirement eligibility is achieved, if shorter. Forfeitures are accounted when the actual forfeitures occur.</w:t>
      </w:r>
    </w:p>
    <w:p>
      <w:pPr>
        <w:spacing w:after="0" w:line="142"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which was adopted by the Company's stockholders on June 15, 2018, which replaces and supersedes the 2015 Amendment and Restatement of the Company’s 2006 Omnibus Award Plan (the “Prior Plan”) and is effective upon the date approved by the Company’s stockholders, the Company grants performance-based restricted stock units (“PRSU”) to executive officers and other specified employees. Generally, the Company grants PRSUs that cliff vest based on an aggregated revenue target (“PU”) for a three-year period, and PRSUs that are based on market conditions (“MU”) and cliff vest upon meeting or exceeding the Company's total shareholder return relative to a group of peer companies specified under the 2018 Plan, and are measured over a three-year performance period. The award recipient may earn up to 200% of the PRSUs granted based on the actual achievement of the respective targets. However, the features of the equity incentive compensation program are subject to change by the Compensation and Talent Management Committee of the Company’s board of directors.</w:t>
      </w:r>
    </w:p>
    <w:p>
      <w:pPr>
        <w:spacing w:after="0" w:line="136"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common share of the Company on the day prior to the date of grant, and the associated compensation expense is calculated on the basis that performance targets at 100% are probable of being achieved. The compensation expense for the PU is recognized on a straight-line basis over the service period, which is through the end of the third year. Over this period, the number of shares that will be issued is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 as of December 31, 2023 was based on the Company's assessment of performance criteria for these grants that would most likely be met during the respective years of vesting against the targeted performance level.</w:t>
      </w:r>
    </w:p>
    <w:p>
      <w:pPr>
        <w:spacing w:after="0" w:line="139"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grant date fair value for the MUs is determined using a Monte Carlo simulation model and the related compensation expense is expensed on a straight-line basis over the vesting period. All compensation expense related to the MU will be recognized if the requisite performance period is fulfilled, regardless of the extent of the market condition achieved.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Stock-based compensation expense associated with the Company's 2022 Employee Stock Purchase Plan (“ESPP”) is measured at fair-value using a Black-Scholes option-pricing model at the commencement of each offering period and recognized over that offering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Forward Stock Split</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recognizes the effects of a forward stock split in the financial statements if there are changes in the total par value of the increased shares upon such forward stock split. The Company reclassifies an amount equal to the par value of the increased shares resulting from the forward stock split from “Additional paid-in capital” to “Common stock.” The Company presents the effects of a forward stock split on earnings per share in the financial statements retroactively for all the periods presented. The Company has an option to present other effects of the forward stock split, including changes in the total par value of the increased shares and count of shares of common stock, in the consolidated financial statements either retroactively for all the periods presented or only for the period in which the forward stock split of the common stock becomes effective. The Company has elected to present the effects of the forward stock split retroactively for all the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Income Taxes</w:t>
      </w:r>
    </w:p>
    <w:p>
      <w:pPr>
        <w:spacing w:after="0" w:line="152"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The Company releases (reclassifies) the tax effects from AOCI to the consolidated statements of income at the time of settlement of cash flows hedges and amortization of deferred actuarial gain/(loss) on retirement benefits. Deferred tax assets are reduced by a valuation allowance if, based on available evidence, it is more likely than not that some portion or all of the deferred tax assets will not be realized.</w:t>
      </w:r>
    </w:p>
    <w:p>
      <w:pPr>
        <w:spacing w:after="0" w:line="147"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intends to indefinitely reinvest earnings from its foreign subsidiaries and has not recorded deferred tax liabilities for the indefinitely reinvested earnings.</w:t>
      </w:r>
    </w:p>
    <w:p>
      <w:pPr>
        <w:spacing w:after="0" w:line="116" w:lineRule="exact"/>
        <w:rPr>
          <w:sz w:val="20"/>
          <w:szCs w:val="20"/>
          <w:color w:val="auto"/>
        </w:rPr>
      </w:pPr>
    </w:p>
    <w:p>
      <w:pPr>
        <w:ind w:right="1840" w:firstLine="394"/>
        <w:spacing w:after="0" w:line="426" w:lineRule="auto"/>
        <w:rPr>
          <w:sz w:val="20"/>
          <w:szCs w:val="20"/>
          <w:color w:val="auto"/>
        </w:rPr>
      </w:pPr>
      <w:r>
        <w:rPr>
          <w:rFonts w:ascii="Times New Roman" w:cs="Times New Roman" w:eastAsia="Times New Roman" w:hAnsi="Times New Roman"/>
          <w:sz w:val="18"/>
          <w:szCs w:val="18"/>
          <w:color w:val="auto"/>
        </w:rPr>
        <w:t xml:space="preserve">The Company recognizes the tax effects of Global Intangible Low-Taxed Income of certain foreign subsidiaries as a period cost. </w:t>
      </w:r>
      <w:r>
        <w:rPr>
          <w:rFonts w:ascii="Times New Roman" w:cs="Times New Roman" w:eastAsia="Times New Roman" w:hAnsi="Times New Roman"/>
          <w:sz w:val="18"/>
          <w:szCs w:val="18"/>
          <w:b w:val="1"/>
          <w:bCs w:val="1"/>
          <w:i w:val="1"/>
          <w:iCs w:val="1"/>
          <w:color w:val="auto"/>
        </w:rPr>
        <w:t>(q) Concentration of Credit Risk in Financial Instruments</w:t>
      </w:r>
    </w:p>
    <w:p>
      <w:pPr>
        <w:spacing w:after="0" w:line="1" w:lineRule="exact"/>
        <w:rPr>
          <w:sz w:val="20"/>
          <w:szCs w:val="20"/>
          <w:color w:val="auto"/>
        </w:rPr>
      </w:pPr>
    </w:p>
    <w:p>
      <w:pPr>
        <w:jc w:val="both"/>
        <w:ind w:firstLine="394"/>
        <w:spacing w:after="0" w:line="28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time deposits, mutual fund investments, accounts receivable and derivative financial instruments. By their nature, all such financial instruments involve risks including the credit risks of non-performance by counterparties. Pursuant to the Company’s investment policy, surplus funds are maintained as cash equivalents and short-term investments, and are invested in highly-rated mutual funds, money market funds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xml:space="preserve"> To mitigate this risk the Company evaluates the creditworthiness of its customers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Fair value measurements</w:t>
      </w:r>
    </w:p>
    <w:p>
      <w:pPr>
        <w:spacing w:after="0" w:line="163"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assumptions that market participants would use in pricing the asset or liability as against assumptions specific to the entity. In addition, the fair value of liabilities should include consideration of non-performance risk, including the Company’s own credit risk. The fair value hierarchy consists of the following three levels:</w:t>
      </w:r>
    </w:p>
    <w:p>
      <w:pPr>
        <w:spacing w:after="0" w:line="113" w:lineRule="exact"/>
        <w:rPr>
          <w:sz w:val="20"/>
          <w:szCs w:val="20"/>
          <w:color w:val="auto"/>
        </w:rPr>
      </w:pPr>
    </w:p>
    <w:p>
      <w:pPr>
        <w:ind w:left="640" w:hanging="319"/>
        <w:spacing w:after="0"/>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for identical instruments in active markets.</w:t>
      </w:r>
    </w:p>
    <w:p>
      <w:pPr>
        <w:spacing w:after="0" w:line="10" w:lineRule="exact"/>
        <w:rPr>
          <w:rFonts w:ascii="Times New Roman" w:cs="Times New Roman" w:eastAsia="Times New Roman" w:hAnsi="Times New Roman"/>
          <w:sz w:val="18"/>
          <w:szCs w:val="18"/>
          <w:color w:val="auto"/>
        </w:rPr>
      </w:pPr>
    </w:p>
    <w:p>
      <w:pPr>
        <w:ind w:left="640" w:hanging="319"/>
        <w:spacing w:after="0" w:line="228" w:lineRule="auto"/>
        <w:tabs>
          <w:tab w:leader="none" w:pos="6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Instruments whose significant value drivers are unobservable.</w:t>
      </w:r>
    </w:p>
    <w:p>
      <w:pPr>
        <w:spacing w:after="0" w:line="137" w:lineRule="exact"/>
        <w:rPr>
          <w:rFonts w:ascii="Times New Roman" w:cs="Times New Roman" w:eastAsia="Times New Roman" w:hAnsi="Times New Roman"/>
          <w:sz w:val="18"/>
          <w:szCs w:val="18"/>
          <w:color w:val="auto"/>
        </w:rPr>
      </w:pPr>
    </w:p>
    <w:p>
      <w:pPr>
        <w:ind w:left="300" w:hanging="295"/>
        <w:spacing w:after="0"/>
        <w:tabs>
          <w:tab w:leader="none" w:pos="30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52"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Company’s assessment is based on whether: (1) the contract involves the use of a distinct identified asset, (2) the Company obtains the right to substantially all the economic benefit from the use of the asset throughout the term of the contract, and (3) the Company has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w:t>
      </w:r>
    </w:p>
    <w:p>
      <w:pPr>
        <w:spacing w:after="0" w:line="127"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Operating leases are presented within “Operating lease right-of-use assets,” “Current portion of operating lease liabilities” and “Operating lease liabilities, less current portion” in the Company's consolidated balance sheets. Long-lived assets underlying finance leases are presented within “Property and equipment” and the current and non-current portion of finance lease liabilities are presented within “Accrued expenses and other current liabilities - others” and “other non-current liabilities - others,” respectively, in the Company's consolidated balance sheets.</w:t>
      </w:r>
    </w:p>
    <w:p>
      <w:pPr>
        <w:spacing w:after="0" w:line="129" w:lineRule="exact"/>
        <w:rPr>
          <w:sz w:val="20"/>
          <w:szCs w:val="20"/>
          <w:color w:val="auto"/>
        </w:rPr>
      </w:pPr>
    </w:p>
    <w:p>
      <w:pPr>
        <w:jc w:val="both"/>
        <w:ind w:firstLine="394"/>
        <w:spacing w:after="0" w:line="230"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during the lease term and lease liabilities represent the Company’s obligation to make lease payments arising from the lease arrangement. Lease liabilities are recognized at commencement date based on the present value of lease payments over the lease term. Operating lease ROU assets are recognized at commencement date in an amount equal to lease liability, adjusted for any lease prepayments, initial direct costs, and lease incentives. For leases in which the rate implicit in the lease is not readily determinable, the Company uses its incremental borrowing rate based on the information available at commencement date. The Company determines the incremental borrowing rate by adjusting the benchmark reference rates with appropriate financing spreads applicable to the respective geographies where the leases are entered and lease specific adjustments for the effects of collateral, if applicable. Lease terms includes the effects of options to extend or terminate the lease when it is reasonably certain at commencement of the lease that the Company will exercise that option. Lease expense for operating lease arrangements is recognized on a straight-line basis over the lease term reflecting single operating lease cost. The Company evaluates lease agreements to determine lease and non-lease components, which are accounted for separately.</w:t>
      </w:r>
    </w:p>
    <w:p>
      <w:pPr>
        <w:spacing w:after="0" w:line="22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Lease payments that depend on factors other than an index or rate are considered variable lease payments and are excluded from the operating lease assets and liabilities and are recognized as expense in the period in which the obligation is incurred. Lease payments include payments for common area maintenance, utilities such as electricity, heating and water, among others, and property taxes, and other similar payments paid to the landlord, which are treated as non-lease component.</w:t>
      </w:r>
    </w:p>
    <w:p>
      <w:pPr>
        <w:spacing w:after="0" w:line="128"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8"/>
          <w:szCs w:val="18"/>
          <w:color w:val="auto"/>
        </w:rPr>
        <w:t xml:space="preserve">The Company accounts for lease-related concessions in accordance with guidance in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determine, on a lease-by-lease basis, whether the concession provided by lessor should be accounted for as a lease modification.</w:t>
      </w:r>
    </w:p>
    <w:p>
      <w:pPr>
        <w:spacing w:after="0" w:line="11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Upon modification, the Company remeasures the lease liability to reflect changes to the remaining lease payments and discount rates and recognizes the amount of the remeasurement of the lease liability as an adjustment to the ROU assets. However, if the carrying amount of the ROU assets is reduced to zero as a result of modification, any remaining amount of the remeasurement is recognized as an expense in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reviews ROU assets for impairment whenever events or changes in circumstances indicate that the related carrying amount may not be recoverable.</w:t>
      </w:r>
    </w:p>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6"/>
          <w:szCs w:val="16"/>
          <w:b w:val="1"/>
          <w:bCs w:val="1"/>
          <w:i w:val="1"/>
          <w:iCs w:val="1"/>
          <w:color w:val="auto"/>
        </w:rPr>
        <w:t>Government Grants</w:t>
      </w:r>
    </w:p>
    <w:p>
      <w:pPr>
        <w:spacing w:after="0" w:line="152" w:lineRule="exact"/>
        <w:rPr>
          <w:sz w:val="20"/>
          <w:szCs w:val="20"/>
          <w:color w:val="auto"/>
        </w:rPr>
      </w:pPr>
    </w:p>
    <w:p>
      <w:pPr>
        <w:jc w:val="both"/>
        <w:ind w:firstLine="394"/>
        <w:spacing w:after="0" w:line="276" w:lineRule="auto"/>
        <w:rPr>
          <w:sz w:val="20"/>
          <w:szCs w:val="20"/>
          <w:color w:val="auto"/>
        </w:rPr>
      </w:pPr>
      <w:r>
        <w:rPr>
          <w:rFonts w:ascii="Times New Roman" w:cs="Times New Roman" w:eastAsia="Times New Roman" w:hAnsi="Times New Roman"/>
          <w:sz w:val="16"/>
          <w:szCs w:val="16"/>
          <w:color w:val="auto"/>
        </w:rPr>
        <w:t>Government grants are recognized at their fair value when there is a reasonable assurance that the conditions attached to them shall be complied with and the grants will be received. Government grants relating to income are recognized as a reduction of expenses in the consolidated statements of income. Government grants relating to a property and equipment are recognized as a reduction from the cost of acquisition of such property and equipment. The grant is subsequently measured in the consolidated statements of income over the life of the property and equipment in the form of reduced depreciation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Earnings per share</w:t>
      </w:r>
    </w:p>
    <w:p>
      <w:pPr>
        <w:spacing w:after="0" w:line="165"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 average number of common shares outstanding, adjusted for outstanding shares that are subject to repurchase during the period. Diluted earnings per share is computed using the weighted average number of common shares issued and outstanding during the period plus the potentially dilutive effect of common stock equivalents, including, outstanding stock options, restricted stock, restricted stock units and employee stock purchase plans. For the purposes of calculating diluted earnings per share, the treasury stock method is used for stock-based awards and outstanding convertible notes except where the results would be anti-dilutive.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39"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Company calculates the dilutive effect of convertible notes using the treasury stock method through the maturity date of the convertible notes, if it has the intent and ability to settle the principal amount of the outstanding convertible notes in cash. Under the treasury stock method, the convertible notes shall have a dilutive impact related to the conversion premium, if any, on diluted earnings per share to the extent the issuance is dilutive based on the average market price of the Company’s common stock for a reporting period being greater the conversion price.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Commitments and Contingencies</w:t>
      </w:r>
    </w:p>
    <w:p>
      <w:pPr>
        <w:spacing w:after="0" w:line="152"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recognized when it is probable that a liability has been incurred and the amount of the assessment and/or remediation can be reasonably estimated. A disclosure for a contingent liability is made when there is a possible obligation that may require an outflow of resources. When there is a possible obligation or a present obligation in respect of which the likelihood of outflow of resources is remote, no provision or disclosure is made. Legal costs incurred in connection with such liabilities are expensed as incurred. Capital commitments are disclosed in the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Recent Accounting Pronouncements</w:t>
      </w:r>
    </w:p>
    <w:p>
      <w:pPr>
        <w:spacing w:after="0" w:line="150"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 xml:space="preserve">In March 2023, the Financial Accounting Standard Board (“FASB”) issued Accounting Standard Update (“ASU”) No. 2023-01, </w:t>
      </w:r>
      <w:r>
        <w:rPr>
          <w:rFonts w:ascii="Times New Roman" w:cs="Times New Roman" w:eastAsia="Times New Roman" w:hAnsi="Times New Roman"/>
          <w:sz w:val="18"/>
          <w:szCs w:val="18"/>
          <w:i w:val="1"/>
          <w:iCs w:val="1"/>
          <w:color w:val="auto"/>
        </w:rPr>
        <w:t>Leases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Codification (“ASC”)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Common Control Arrangements</w:t>
      </w:r>
      <w:r>
        <w:rPr>
          <w:rFonts w:ascii="Times New Roman" w:cs="Times New Roman" w:eastAsia="Times New Roman" w:hAnsi="Times New Roman"/>
          <w:sz w:val="18"/>
          <w:szCs w:val="18"/>
          <w:color w:val="auto"/>
        </w:rPr>
        <w:t>. This ASU provides guidance in ASC Topic 842 that leasehold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does not have any lease arrangements with entities under common control and the adoption of this ASU is not expected to have a material impact on its consolidated financial statements.</w:t>
      </w:r>
    </w:p>
    <w:p>
      <w:pPr>
        <w:spacing w:after="0" w:line="131" w:lineRule="exact"/>
        <w:rPr>
          <w:sz w:val="20"/>
          <w:szCs w:val="20"/>
          <w:color w:val="auto"/>
        </w:rPr>
      </w:pPr>
    </w:p>
    <w:p>
      <w:pPr>
        <w:jc w:val="both"/>
        <w:ind w:firstLine="394"/>
        <w:spacing w:after="0" w:line="271" w:lineRule="auto"/>
        <w:rPr>
          <w:sz w:val="20"/>
          <w:szCs w:val="20"/>
          <w:color w:val="auto"/>
        </w:rPr>
      </w:pPr>
      <w:r>
        <w:rPr>
          <w:rFonts w:ascii="Times New Roman" w:cs="Times New Roman" w:eastAsia="Times New Roman" w:hAnsi="Times New Roman"/>
          <w:sz w:val="16"/>
          <w:szCs w:val="16"/>
          <w:color w:val="auto"/>
        </w:rPr>
        <w:t xml:space="preserve">In October 2023, the FASB issued ASU 2023-06, </w:t>
      </w:r>
      <w:r>
        <w:rPr>
          <w:rFonts w:ascii="Times New Roman" w:cs="Times New Roman" w:eastAsia="Times New Roman" w:hAnsi="Times New Roman"/>
          <w:sz w:val="16"/>
          <w:szCs w:val="16"/>
          <w:i w:val="1"/>
          <w:iCs w:val="1"/>
          <w:color w:val="auto"/>
        </w:rPr>
        <w:t>Disclosure Improvements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Codification Amendments in Response to the SEC’s Disclosure Update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Simplification Initiative</w:t>
      </w:r>
      <w:r>
        <w:rPr>
          <w:rFonts w:ascii="Times New Roman" w:cs="Times New Roman" w:eastAsia="Times New Roman" w:hAnsi="Times New Roman"/>
          <w:sz w:val="16"/>
          <w:szCs w:val="16"/>
          <w:color w:val="auto"/>
        </w:rPr>
        <w:t>. This ASU modifies the disclosure or presentation requirements of a variety of Topics in the Codification. Certain of the amendments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represent clarifications to or technical corrections of the current requirements. For entities subject to the SEC’s existing disclosure requirements and for entities required to file or furnish financial statements with or to the SEC in preparation for the sale of or for purposes of issuing securities that are not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subject to contractual restrictions on transfer, the effective date for each amendment will be the date on which the SEC’s removal of that related disclosure from Regulation S-X or Regulation S-K becomes effective, with early adoption prohibited. The amendments in this ASU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adoption of this ASU will not have a material impact on the Company’s consolidated financial statements. The Company will continue to monitor for SEC action, and plan accordingly for adoption.</w:t>
      </w:r>
    </w:p>
    <w:p>
      <w:pPr>
        <w:spacing w:after="0" w:line="103"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 xml:space="preserve">In November 2023, FASB issued ASU No. 2023-07, </w:t>
      </w:r>
      <w:r>
        <w:rPr>
          <w:rFonts w:ascii="Times New Roman" w:cs="Times New Roman" w:eastAsia="Times New Roman" w:hAnsi="Times New Roman"/>
          <w:sz w:val="18"/>
          <w:szCs w:val="18"/>
          <w:i w:val="1"/>
          <w:iCs w:val="1"/>
          <w:color w:val="auto"/>
        </w:rPr>
        <w:t>Segment Reporting (“ASC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This ASU improves reportable segment disclosure requirements on an annual and interim basis for all public entities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is effective for fiscal years beginning after December 15, 2023, and interim periods within fiscal years beginning after December 15, 2024, with early adoption permitted. The Company is currently evaluating the impact of this ASU on its consolidated financial statements.</w:t>
      </w:r>
    </w:p>
    <w:p>
      <w:pPr>
        <w:spacing w:after="0" w:line="14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FASB issued ASU No. 2023-09, </w:t>
      </w:r>
      <w:r>
        <w:rPr>
          <w:rFonts w:ascii="Times New Roman" w:cs="Times New Roman" w:eastAsia="Times New Roman" w:hAnsi="Times New Roman"/>
          <w:sz w:val="18"/>
          <w:szCs w:val="18"/>
          <w:i w:val="1"/>
          <w:iCs w:val="1"/>
          <w:color w:val="auto"/>
        </w:rPr>
        <w:t>Income Taxes (“ASC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This ASU expands disclosures relating to the entity’s income tax rate reconciliation, income taxes paid and certain other disclosures related to income taxes. The ASU will be effective for annual periods beginning after December 15, 2024. The Company is currently evaluating the impact of this ASU on its consolidated financial statements.</w:t>
      </w:r>
    </w:p>
    <w:p>
      <w:pPr>
        <w:spacing w:after="0" w:line="1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(x)</w:t>
      </w:r>
      <w:r>
        <w:rPr>
          <w:sz w:val="20"/>
          <w:szCs w:val="20"/>
          <w:color w:val="auto"/>
        </w:rPr>
        <w:tab/>
      </w:r>
      <w:r>
        <w:rPr>
          <w:rFonts w:ascii="Times New Roman" w:cs="Times New Roman" w:eastAsia="Times New Roman" w:hAnsi="Times New Roman"/>
          <w:sz w:val="16"/>
          <w:szCs w:val="16"/>
          <w:b w:val="1"/>
          <w:bCs w:val="1"/>
          <w:i w:val="1"/>
          <w:iCs w:val="1"/>
          <w:color w:val="auto"/>
        </w:rPr>
        <w:t>Recently Adopted Accounting Pronouncements</w:t>
      </w:r>
    </w:p>
    <w:p>
      <w:pPr>
        <w:spacing w:after="0" w:line="137"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 xml:space="preserve">In October 2021, FASB issued ASU No. 2021-08, </w:t>
      </w:r>
      <w:r>
        <w:rPr>
          <w:rFonts w:ascii="Times New Roman" w:cs="Times New Roman" w:eastAsia="Times New Roman" w:hAnsi="Times New Roman"/>
          <w:sz w:val="18"/>
          <w:szCs w:val="18"/>
          <w:i w:val="1"/>
          <w:iCs w:val="1"/>
          <w:color w:val="auto"/>
        </w:rPr>
        <w:t>Business Combinations (“ASC Topic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This ASU provides guidance in ASC Topic 805 to require the acquirer entity to recognize and measure contract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liabilities acquired in a business combination in accordance with ASC Topic 606, </w:t>
      </w:r>
      <w:r>
        <w:rPr>
          <w:rFonts w:ascii="Times New Roman" w:cs="Times New Roman" w:eastAsia="Times New Roman" w:hAnsi="Times New Roman"/>
          <w:sz w:val="18"/>
          <w:szCs w:val="18"/>
          <w:i w:val="1"/>
          <w:iCs w:val="1"/>
          <w:color w:val="auto"/>
        </w:rPr>
        <w:t>Revenue from Contract with Customers</w:t>
      </w:r>
      <w:r>
        <w:rPr>
          <w:rFonts w:ascii="Times New Roman" w:cs="Times New Roman" w:eastAsia="Times New Roman" w:hAnsi="Times New Roman"/>
          <w:sz w:val="18"/>
          <w:szCs w:val="18"/>
          <w:color w:val="auto"/>
        </w:rPr>
        <w:t>,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adoption of this ASU is applicable for future business combinations.</w:t>
      </w:r>
    </w:p>
    <w:p>
      <w:pPr>
        <w:spacing w:after="0" w:line="141" w:lineRule="exact"/>
        <w:rPr>
          <w:sz w:val="20"/>
          <w:szCs w:val="20"/>
          <w:color w:val="auto"/>
        </w:rPr>
      </w:pPr>
    </w:p>
    <w:p>
      <w:pPr>
        <w:jc w:val="both"/>
        <w:ind w:firstLine="394"/>
        <w:spacing w:after="0" w:line="287" w:lineRule="auto"/>
        <w:rPr>
          <w:sz w:val="20"/>
          <w:szCs w:val="20"/>
          <w:color w:val="auto"/>
        </w:rPr>
      </w:pPr>
      <w:r>
        <w:rPr>
          <w:rFonts w:ascii="Times New Roman" w:cs="Times New Roman" w:eastAsia="Times New Roman" w:hAnsi="Times New Roman"/>
          <w:sz w:val="16"/>
          <w:szCs w:val="16"/>
          <w:color w:val="auto"/>
        </w:rPr>
        <w:t xml:space="preserve">In July 2023, the FASB issued ASU No. 2023-03, </w:t>
      </w:r>
      <w:r>
        <w:rPr>
          <w:rFonts w:ascii="Times New Roman" w:cs="Times New Roman" w:eastAsia="Times New Roman" w:hAnsi="Times New Roman"/>
          <w:sz w:val="16"/>
          <w:szCs w:val="16"/>
          <w:i w:val="1"/>
          <w:iCs w:val="1"/>
          <w:color w:val="auto"/>
        </w:rPr>
        <w:t>Presentation of Financial Statements (“ASC Topic 205”)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Income Statement-Reporting Comprehensive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Income (“ASC Topic 220”)</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Distinguishing Liabilities from Equity (“ASC Topic 480”)</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Equity (“ASC Topic 505”)</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Compensation-Stock Compensation</w:t>
      </w: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(“ASC Topic 718”) </w:t>
      </w:r>
      <w:r>
        <w:rPr>
          <w:rFonts w:ascii="Times New Roman" w:cs="Times New Roman" w:eastAsia="Times New Roman" w:hAnsi="Times New Roman"/>
          <w:sz w:val="18"/>
          <w:szCs w:val="18"/>
          <w:color w:val="auto"/>
        </w:rPr>
        <w:t>pursuant to SEC Staff Accounting Bulletin No. 120 and amends various SEC paragraphs in the ASC. The ASU is effective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issuance and did not have a material impact on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is a provider of data analytics and digital operations and solutions.</w:t>
      </w:r>
    </w:p>
    <w:p>
      <w:pPr>
        <w:spacing w:after="0" w:line="161"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92" w:lineRule="exact"/>
        <w:rPr>
          <w:sz w:val="20"/>
          <w:szCs w:val="20"/>
          <w:color w:val="auto"/>
        </w:rPr>
      </w:pPr>
    </w:p>
    <w:p>
      <w:pPr>
        <w:jc w:val="both"/>
        <w:ind w:firstLine="315"/>
        <w:spacing w:after="0" w:line="268" w:lineRule="auto"/>
        <w:rPr>
          <w:sz w:val="20"/>
          <w:szCs w:val="20"/>
          <w:color w:val="auto"/>
        </w:rPr>
      </w:pPr>
      <w:r>
        <w:rPr>
          <w:rFonts w:ascii="Times New Roman" w:cs="Times New Roman" w:eastAsia="Times New Roman" w:hAnsi="Times New Roman"/>
          <w:sz w:val="18"/>
          <w:szCs w:val="18"/>
          <w:color w:val="auto"/>
        </w:rPr>
        <w:t>The CODM generally reviews financial information such as revenues, cost of revenues and gross profit, disaggregated by the operating segments to allocate an overall budget among the operating segments.</w:t>
      </w:r>
    </w:p>
    <w:p>
      <w:pPr>
        <w:spacing w:after="0" w:line="116" w:lineRule="exact"/>
        <w:rPr>
          <w:sz w:val="20"/>
          <w:szCs w:val="20"/>
          <w:color w:val="auto"/>
        </w:rPr>
      </w:pPr>
    </w:p>
    <w:p>
      <w:pPr>
        <w:jc w:val="both"/>
        <w:ind w:firstLine="315"/>
        <w:spacing w:after="0" w:line="268"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certain operating expenses, interest expense or income taxes by segment. Many of the Company’s assets are shared by multiple operating segments. The Company manages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these assets on a total Company basis, not by operating segment, and therefore asset information and capital expenditures by operating segment are not presented.</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Revenues and cost of revenues for the years ended December 31, 2023, 2022 and 2021, respectively, for each of the reportable segments,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10"/>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8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Emerging</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spacing w:after="0"/>
              <w:rPr>
                <w:sz w:val="11"/>
                <w:szCs w:val="11"/>
                <w:color w:val="auto"/>
              </w:rPr>
            </w:pPr>
          </w:p>
        </w:tc>
        <w:tc>
          <w:tcPr>
            <w:tcW w:w="4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80" w:type="dxa"/>
            <w:vAlign w:val="bottom"/>
            <w:tcBorders>
              <w:bottom w:val="single" w:sz="8" w:color="CCEEFF"/>
            </w:tcBorders>
            <w:shd w:val="clear" w:color="auto" w:fill="CCEEFF"/>
          </w:tcPr>
          <w:p>
            <w:pPr>
              <w:spacing w:after="0"/>
              <w:rPr>
                <w:sz w:val="7"/>
                <w:szCs w:val="7"/>
                <w:color w:val="auto"/>
              </w:rPr>
            </w:pPr>
          </w:p>
        </w:tc>
        <w:tc>
          <w:tcPr>
            <w:tcW w:w="43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gridSpan w:val="3"/>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529,855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265,692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729,127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1,630,668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341,785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150,943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460,901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1,022,902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188,070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114,749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268,226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Foreign exchange gain, net, interest expense and other income, net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from equity-method investment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Exclusive of depreciation and amortization expense.</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gridSpan w:val="1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12"/>
          </w:tcPr>
          <w:p>
            <w:pPr>
              <w:ind w:left="66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80" w:type="dxa"/>
            <w:vAlign w:val="bottom"/>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Insurance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80" w:type="dxa"/>
            <w:vAlign w:val="bottom"/>
          </w:tcPr>
          <w:p>
            <w:pPr>
              <w:spacing w:after="0"/>
              <w:rPr>
                <w:sz w:val="11"/>
                <w:szCs w:val="11"/>
                <w:color w:val="auto"/>
              </w:rPr>
            </w:pPr>
          </w:p>
        </w:tc>
        <w:tc>
          <w:tcPr>
            <w:tcW w:w="4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80" w:type="dxa"/>
            <w:vAlign w:val="bottom"/>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448,704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97,351</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218,638</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647,351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1,412,044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3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409,893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896,595</w:t>
            </w: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4320" w:type="dxa"/>
            <w:vAlign w:val="bottom"/>
          </w:tcPr>
          <w:p>
            <w:pPr>
              <w:spacing w:after="0" w:line="217"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160,970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237,458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515,449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323,287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480"/>
        <w:spacing w:after="0"/>
        <w:rPr>
          <w:sz w:val="20"/>
          <w:szCs w:val="20"/>
          <w:color w:val="auto"/>
        </w:rPr>
      </w:pPr>
      <w:r>
        <w:rPr>
          <w:rFonts w:ascii="Times New Roman" w:cs="Times New Roman" w:eastAsia="Times New Roman" w:hAnsi="Times New Roman"/>
          <w:sz w:val="16"/>
          <w:szCs w:val="16"/>
          <w:color w:val="auto"/>
        </w:rPr>
        <w:t>Foreign exchange gain, net, interest expense and other expense,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-127635</wp:posOffset>
            </wp:positionV>
            <wp:extent cx="6793865" cy="141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6793865" cy="141605"/>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Gain from equity-method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10795</wp:posOffset>
            </wp:positionV>
            <wp:extent cx="6793865" cy="167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6793865" cy="167005"/>
                    </a:xfrm>
                    <a:prstGeom prst="rect">
                      <a:avLst/>
                    </a:prstGeom>
                    <a:noFill/>
                  </pic:spPr>
                </pic:pic>
              </a:graphicData>
            </a:graphic>
          </wp:anchor>
        </w:drawing>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income</w:t>
      </w:r>
    </w:p>
    <w:p>
      <w:pPr>
        <w:spacing w:after="0" w:line="128" w:lineRule="exact"/>
        <w:rPr>
          <w:sz w:val="20"/>
          <w:szCs w:val="20"/>
          <w:color w:val="auto"/>
        </w:rPr>
      </w:pPr>
    </w:p>
    <w:p>
      <w:pPr>
        <w:ind w:left="200" w:hanging="195"/>
        <w:spacing w:after="0"/>
        <w:tabs>
          <w:tab w:leader="none" w:pos="20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Exclusive of depreciation and amortization expense.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(2,063)</w:t>
      </w:r>
    </w:p>
    <w:p>
      <w:pPr>
        <w:spacing w:after="0" w:line="2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47,565</w:t>
      </w:r>
    </w:p>
    <w:p>
      <w:pPr>
        <w:spacing w:after="0" w:line="1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434</w:t>
      </w:r>
    </w:p>
    <w:p>
      <w:pPr>
        <w:spacing w:after="0" w:line="25" w:lineRule="exact"/>
        <w:rPr>
          <w:sz w:val="20"/>
          <w:szCs w:val="20"/>
          <w:color w:val="auto"/>
        </w:rPr>
      </w:pPr>
    </w:p>
    <w:p>
      <w:pPr>
        <w:ind w:left="500" w:hanging="495"/>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9320" w:space="720"/>
            <w:col w:w="1200"/>
          </w:cols>
          <w:pgMar w:left="320" w:top="119"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9"/>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jc w:val="right"/>
              <w:ind w:right="232"/>
              <w:spacing w:after="0" w:line="152" w:lineRule="exact"/>
              <w:rPr>
                <w:sz w:val="20"/>
                <w:szCs w:val="20"/>
                <w:color w:val="auto"/>
              </w:rPr>
            </w:pPr>
            <w:r>
              <w:rPr>
                <w:rFonts w:ascii="Times New Roman" w:cs="Times New Roman" w:eastAsia="Times New Roman" w:hAnsi="Times New Roman"/>
                <w:sz w:val="16"/>
                <w:szCs w:val="16"/>
                <w:b w:val="1"/>
                <w:bCs w:val="1"/>
                <w:color w:val="auto"/>
              </w:rPr>
              <w:t>Emerging</w:t>
            </w:r>
          </w:p>
        </w:tc>
        <w:tc>
          <w:tcPr>
            <w:tcW w:w="100" w:type="dxa"/>
            <w:vAlign w:val="bottom"/>
            <w:shd w:val="clear" w:color="auto" w:fill="CCEEFF"/>
          </w:tcPr>
          <w:p>
            <w:pPr>
              <w:spacing w:after="0"/>
              <w:rPr>
                <w:sz w:val="13"/>
                <w:szCs w:val="13"/>
                <w:color w:val="auto"/>
              </w:rPr>
            </w:pPr>
          </w:p>
        </w:tc>
        <w:tc>
          <w:tcPr>
            <w:tcW w:w="1340" w:type="dxa"/>
            <w:vAlign w:val="bottom"/>
            <w:gridSpan w:val="4"/>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180" w:type="dxa"/>
            <w:vAlign w:val="bottom"/>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4"/>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shd w:val="clear" w:color="auto" w:fill="CCEEFF"/>
          </w:tcPr>
          <w:p>
            <w:pPr>
              <w:spacing w:after="0"/>
              <w:rPr>
                <w:sz w:val="11"/>
                <w:szCs w:val="11"/>
                <w:color w:val="auto"/>
              </w:rPr>
            </w:pPr>
          </w:p>
        </w:tc>
        <w:tc>
          <w:tcPr>
            <w:tcW w:w="1340" w:type="dxa"/>
            <w:vAlign w:val="bottom"/>
            <w:gridSpan w:val="4"/>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80" w:type="dxa"/>
            <w:vAlign w:val="bottom"/>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tcBorders>
              <w:bottom w:val="single" w:sz="8" w:color="auto"/>
            </w:tcBorders>
            <w:gridSpan w:val="4"/>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167,236</w:t>
            </w:r>
          </w:p>
        </w:tc>
        <w:tc>
          <w:tcPr>
            <w:tcW w:w="100" w:type="dxa"/>
            <w:vAlign w:val="bottom"/>
          </w:tcPr>
          <w:p>
            <w:pPr>
              <w:spacing w:after="0"/>
              <w:rPr>
                <w:sz w:val="18"/>
                <w:szCs w:val="18"/>
                <w:color w:val="auto"/>
              </w:rPr>
            </w:pPr>
          </w:p>
        </w:tc>
        <w:tc>
          <w:tcPr>
            <w:tcW w:w="680" w:type="dxa"/>
            <w:vAlign w:val="bottom"/>
          </w:tcPr>
          <w:p>
            <w:pPr>
              <w:jc w:val="center"/>
              <w:ind w:right="4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460,672</w:t>
            </w:r>
          </w:p>
        </w:tc>
        <w:tc>
          <w:tcPr>
            <w:tcW w:w="100" w:type="dxa"/>
            <w:vAlign w:val="bottom"/>
          </w:tcPr>
          <w:p>
            <w:pPr>
              <w:spacing w:after="0"/>
              <w:rPr>
                <w:sz w:val="18"/>
                <w:szCs w:val="18"/>
                <w:color w:val="auto"/>
              </w:rPr>
            </w:pPr>
          </w:p>
        </w:tc>
        <w:tc>
          <w:tcPr>
            <w:tcW w:w="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1,122,293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289,908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690,934</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406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142,470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42,626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75,499</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center"/>
              <w:ind w:right="4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170,764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431,359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275,478</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0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Loss on settlement of convertible notes, foreign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40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exchange gain, net, interest expense and other income,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31,850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from equity-method investment</w:t>
            </w: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114,758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8"/>
                <w:szCs w:val="18"/>
                <w:color w:val="auto"/>
              </w:rPr>
              <w:t xml:space="preserve"> Exclusive of depreciation and amortization expense.</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2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Revenues, net by service type, were as follows: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3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Digital operations and solutions</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661,621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729,127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647,351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460,672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1,630,668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1,412,044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1,122,293</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399"/>
        <w:spacing w:after="0" w:line="206" w:lineRule="auto"/>
        <w:tabs>
          <w:tab w:leader="none" w:pos="598"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Digital operations and solutions include revenues of the Company’s Insurance, Healthcare and Emerging Business reportable segments. Refer to the reportable segment disclosure above.</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United States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1,370,707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1,213,477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964,059</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United Kingdom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105,734</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r>
      <w:tr>
        <w:trPr>
          <w:trHeight w:val="217"/>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158,234</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1,122,293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203" w:lineRule="exact"/>
        <w:rPr>
          <w:sz w:val="20"/>
          <w:szCs w:val="20"/>
          <w:color w:val="auto"/>
        </w:rPr>
      </w:pPr>
    </w:p>
    <w:tbl>
      <w:tblPr>
        <w:tblLayout w:type="fixed"/>
        <w:tblInd w:w="780" w:type="dxa"/>
        <w:tblCellMar>
          <w:top w:w="0" w:type="dxa"/>
          <w:left w:w="0" w:type="dxa"/>
          <w:bottom w:w="0" w:type="dxa"/>
          <w:right w:w="0" w:type="dxa"/>
        </w:tblCellMar>
      </w:tblPr>
      <w:tr>
        <w:trPr>
          <w:trHeight w:val="211"/>
        </w:trPr>
        <w:tc>
          <w:tcPr>
            <w:tcW w:w="6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205"/>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4"/>
        </w:trPr>
        <w:tc>
          <w:tcPr>
            <w:tcW w:w="60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Long-lived assets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60,709</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50,118</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42"/>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Refer to Note 3 - Segment and Geographical Information to the consolidated financial statements for revenues disaggregated by reportable segments and geography.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9"/>
                <w:szCs w:val="19"/>
                <w:color w:val="auto"/>
              </w:rPr>
            </w:pPr>
          </w:p>
        </w:tc>
        <w:tc>
          <w:tcPr>
            <w:tcW w:w="16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259,222</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2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r>
      <w:tr>
        <w:trPr>
          <w:trHeight w:val="223"/>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r>
    </w:tbl>
    <w:p>
      <w:pPr>
        <w:spacing w:after="0" w:line="23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Accounts receivable includes $148,735 and $126,027 as of December 31, 2023 and 2022,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of contract assets as of December 31, 2023 and 2022.</w:t>
      </w:r>
    </w:p>
    <w:p>
      <w:pPr>
        <w:spacing w:after="0" w:line="16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recognized during the years ended December 31, 2023 and 2022, which was included in the contract liabilities balance at the beginning of the respective periods:</w:t>
      </w:r>
    </w:p>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5"/>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w:t>
            </w:r>
          </w:p>
        </w:tc>
      </w:tr>
      <w:tr>
        <w:trPr>
          <w:trHeight w:val="24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acquisition and fulfillment costs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the Company’s contract acquisition and fulfillment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Contract Acquisition Costs</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Contract Fulfillment Costs</w:t>
            </w:r>
          </w:p>
        </w:tc>
        <w:tc>
          <w:tcPr>
            <w:tcW w:w="600" w:type="dxa"/>
            <w:vAlign w:val="bottom"/>
            <w:tcBorders>
              <w:bottom w:val="single" w:sz="8" w:color="auto"/>
            </w:tcBorders>
          </w:tcPr>
          <w:p>
            <w:pPr>
              <w:spacing w:after="0"/>
              <w:rPr>
                <w:sz w:val="18"/>
                <w:szCs w:val="18"/>
                <w:color w:val="auto"/>
              </w:rPr>
            </w:pPr>
          </w:p>
        </w:tc>
      </w:tr>
      <w:tr>
        <w:trPr>
          <w:trHeight w:val="205"/>
        </w:trPr>
        <w:tc>
          <w:tcPr>
            <w:tcW w:w="358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9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r>
      <w:tr>
        <w:trPr>
          <w:trHeight w:val="204"/>
        </w:trPr>
        <w:tc>
          <w:tcPr>
            <w:tcW w:w="358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shd w:val="clear" w:color="auto" w:fill="CCEEFF"/>
          </w:tcPr>
          <w:p>
            <w:pPr>
              <w:spacing w:after="0"/>
              <w:rPr>
                <w:sz w:val="17"/>
                <w:szCs w:val="17"/>
                <w:color w:val="auto"/>
              </w:rPr>
            </w:pPr>
          </w:p>
        </w:tc>
      </w:tr>
      <w:tr>
        <w:trPr>
          <w:trHeight w:val="21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1160" w:type="dxa"/>
            <w:vAlign w:val="bottom"/>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tcPr>
          <w:p>
            <w:pPr>
              <w:spacing w:after="0"/>
              <w:rPr>
                <w:sz w:val="18"/>
                <w:szCs w:val="18"/>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13,605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(2,803)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42"/>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December 31, 2023 and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p>
      <w:pPr>
        <w:spacing w:after="0" w:line="177"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79"/>
        </w:trPr>
        <w:tc>
          <w:tcPr>
            <w:tcW w:w="6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6"/>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260,554</w:t>
            </w:r>
          </w:p>
        </w:tc>
      </w:tr>
      <w:tr>
        <w:trPr>
          <w:trHeight w:val="223"/>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(1,332)</w:t>
            </w:r>
          </w:p>
        </w:tc>
      </w:tr>
      <w:tr>
        <w:trPr>
          <w:trHeight w:val="250"/>
        </w:trPr>
        <w:tc>
          <w:tcPr>
            <w:tcW w:w="620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00" w:type="dxa"/>
            <w:vAlign w:val="bottom"/>
            <w:tcBorders>
              <w:bottom w:val="single" w:sz="8" w:color="auto"/>
            </w:tcBorders>
            <w:gridSpan w:val="2"/>
            <w:shd w:val="clear" w:color="auto" w:fill="CCEEFF"/>
          </w:tcPr>
          <w:p>
            <w:pPr>
              <w:jc w:val="right"/>
              <w:ind w:right="1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gridSpan w:val="3"/>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308,108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line="190"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gridSpan w:val="2"/>
            <w:shd w:val="clear" w:color="auto" w:fill="CCEEFF"/>
          </w:tcPr>
          <w:p>
            <w:pPr>
              <w:jc w:val="right"/>
              <w:ind w:right="80"/>
              <w:spacing w:after="0" w:line="190" w:lineRule="exact"/>
              <w:rPr>
                <w:sz w:val="20"/>
                <w:szCs w:val="20"/>
                <w:color w:val="auto"/>
              </w:rPr>
            </w:pPr>
            <w:r>
              <w:rPr>
                <w:rFonts w:ascii="Times New Roman" w:cs="Times New Roman" w:eastAsia="Times New Roman" w:hAnsi="Times New Roman"/>
                <w:sz w:val="18"/>
                <w:szCs w:val="18"/>
                <w:b w:val="1"/>
                <w:bCs w:val="1"/>
                <w:color w:val="auto"/>
              </w:rPr>
              <w:t>259,222</w:t>
            </w:r>
          </w:p>
        </w:tc>
      </w:tr>
      <w:tr>
        <w:trPr>
          <w:trHeight w:val="81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movement in “Allowance for expected credit losses” was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3"/>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7"/>
          </w:tcPr>
          <w:p>
            <w:pPr>
              <w:jc w:val="right"/>
              <w:ind w:right="1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9"/>
        </w:trPr>
        <w:tc>
          <w:tcPr>
            <w:tcW w:w="61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96"/>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95"/>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5"/>
                <w:szCs w:val="15"/>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19"/>
                <w:szCs w:val="19"/>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r>
      <w:tr>
        <w:trPr>
          <w:trHeight w:val="202"/>
        </w:trPr>
        <w:tc>
          <w:tcPr>
            <w:tcW w:w="6180" w:type="dxa"/>
            <w:vAlign w:val="bottom"/>
            <w:tcBorders>
              <w:top w:val="single" w:sz="8" w:color="CCEEFF"/>
              <w:bottom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Closing Balance</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3,703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1,332</w:t>
            </w:r>
          </w:p>
        </w:tc>
        <w:tc>
          <w:tcPr>
            <w:tcW w:w="240" w:type="dxa"/>
            <w:vAlign w:val="bottom"/>
          </w:tcPr>
          <w:p>
            <w:pPr>
              <w:spacing w:after="0"/>
              <w:rPr>
                <w:sz w:val="17"/>
                <w:szCs w:val="17"/>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58"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December 31, 2023 and 2022.</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00" w:lineRule="exact"/>
        <w:rPr>
          <w:sz w:val="20"/>
          <w:szCs w:val="20"/>
          <w:color w:val="auto"/>
        </w:rPr>
      </w:pP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3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Numerators: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114,758</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Denominators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166,341,213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166,651,585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167,746,375</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2,043,465</w:t>
            </w:r>
          </w:p>
        </w:tc>
        <w:tc>
          <w:tcPr>
            <w:tcW w:w="0" w:type="dxa"/>
            <w:vAlign w:val="bottom"/>
          </w:tcPr>
          <w:p>
            <w:pPr>
              <w:spacing w:after="0"/>
              <w:rPr>
                <w:sz w:val="1"/>
                <w:szCs w:val="1"/>
                <w:color w:val="auto"/>
              </w:rPr>
            </w:pPr>
          </w:p>
        </w:tc>
      </w:tr>
      <w:tr>
        <w:trPr>
          <w:trHeight w:val="250"/>
        </w:trPr>
        <w:tc>
          <w:tcPr>
            <w:tcW w:w="6300" w:type="dxa"/>
            <w:vAlign w:val="bottom"/>
          </w:tcPr>
          <w:p>
            <w:pPr>
              <w:ind w:left="340"/>
              <w:spacing w:after="0" w:line="249" w:lineRule="exact"/>
              <w:rPr>
                <w:sz w:val="20"/>
                <w:szCs w:val="20"/>
                <w:color w:val="auto"/>
              </w:rPr>
            </w:pPr>
            <w:r>
              <w:rPr>
                <w:rFonts w:ascii="Times New Roman" w:cs="Times New Roman" w:eastAsia="Times New Roman" w:hAnsi="Times New Roman"/>
                <w:sz w:val="18"/>
                <w:szCs w:val="18"/>
                <w:color w:val="auto"/>
              </w:rPr>
              <w:t xml:space="preserve">Dilutive effect of conversion premium on the Notes </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1,432,550</w:t>
            </w:r>
          </w:p>
        </w:tc>
        <w:tc>
          <w:tcPr>
            <w:tcW w:w="0" w:type="dxa"/>
            <w:vAlign w:val="bottom"/>
          </w:tcPr>
          <w:p>
            <w:pPr>
              <w:spacing w:after="0"/>
              <w:rPr>
                <w:sz w:val="1"/>
                <w:szCs w:val="1"/>
                <w:color w:val="auto"/>
              </w:rPr>
            </w:pPr>
          </w:p>
        </w:tc>
      </w:tr>
      <w:tr>
        <w:trPr>
          <w:trHeight w:val="242"/>
        </w:trPr>
        <w:tc>
          <w:tcPr>
            <w:tcW w:w="6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168,161,371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169,169,290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171,222,390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Earnings per share attributable to ExlService Holdings, Inc. stockholders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23"/>
        </w:trPr>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Weighted average potentially dilutive shares considered anti-dilutive and not included in</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30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 xml:space="preserve">computing diluted earnings per share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1,628,932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399"/>
        <w:spacing w:after="0" w:line="268"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information has been adjusted to reflect the 5-for-1 forward stock split of the Company’s common stock effected in August 2023. Refer to Note 19 – Capital Structure to the consolidated financial statements for further details.</w:t>
      </w:r>
    </w:p>
    <w:p>
      <w:pPr>
        <w:spacing w:after="0" w:line="194" w:lineRule="exact"/>
        <w:rPr>
          <w:rFonts w:ascii="Times New Roman" w:cs="Times New Roman" w:eastAsia="Times New Roman" w:hAnsi="Times New Roman"/>
          <w:sz w:val="18"/>
          <w:szCs w:val="18"/>
          <w:color w:val="auto"/>
        </w:rPr>
      </w:pPr>
    </w:p>
    <w:p>
      <w:pPr>
        <w:jc w:val="both"/>
        <w:ind w:right="100" w:firstLine="399"/>
        <w:spacing w:after="0" w:line="256" w:lineRule="auto"/>
        <w:tabs>
          <w:tab w:leader="none" w:pos="6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dilution effect related to the conversion premium of the convertible senior notes in the calculation of diluted weighted average shares outstanding for the portion of the period until actual settlement during the third quarter of 2021. Refer to Note 18 – Borrowings to the consolidated financial statements for further details.</w:t>
      </w:r>
    </w:p>
    <w:p>
      <w:pPr>
        <w:sectPr>
          <w:pgSz w:w="11900" w:h="16838" w:orient="portrait"/>
          <w:cols w:equalWidth="0" w:num="1">
            <w:col w:w="11340"/>
          </w:cols>
          <w:pgMar w:left="320" w:top="119" w:right="2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right="1900"/>
        <w:spacing w:after="0" w:line="274" w:lineRule="auto"/>
        <w:rPr>
          <w:sz w:val="20"/>
          <w:szCs w:val="20"/>
          <w:color w:val="auto"/>
        </w:rPr>
      </w:pPr>
      <w:r>
        <w:rPr>
          <w:rFonts w:ascii="Times New Roman" w:cs="Times New Roman" w:eastAsia="Times New Roman" w:hAnsi="Times New Roman"/>
          <w:sz w:val="18"/>
          <w:szCs w:val="18"/>
          <w:color w:val="auto"/>
        </w:rPr>
        <w:t>Gain on sale and fair value mark-to-market on investments Interest and dividend income</w:t>
      </w:r>
    </w:p>
    <w:p>
      <w:pPr>
        <w:ind w:left="420"/>
        <w:spacing w:after="0" w:line="231" w:lineRule="auto"/>
        <w:rPr>
          <w:sz w:val="20"/>
          <w:szCs w:val="20"/>
          <w:color w:val="auto"/>
        </w:rPr>
      </w:pPr>
      <w:r>
        <w:rPr>
          <w:rFonts w:ascii="Times New Roman" w:cs="Times New Roman" w:eastAsia="Times New Roman" w:hAnsi="Times New Roman"/>
          <w:sz w:val="18"/>
          <w:szCs w:val="18"/>
          <w:color w:val="auto"/>
        </w:rPr>
        <w:t xml:space="preserve">Fair value changes of contingent consideration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Others, net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240"/>
        </w:trPr>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23"/>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17"/>
        </w:trPr>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-775335</wp:posOffset>
            </wp:positionV>
            <wp:extent cx="6947535" cy="150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947535" cy="15049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-466725</wp:posOffset>
            </wp:positionV>
            <wp:extent cx="6947535" cy="141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6947535" cy="14160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-182880</wp:posOffset>
            </wp:positionV>
            <wp:extent cx="6947535" cy="167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694753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180"/>
          </w:cols>
          <w:pgMar w:left="320" w:top="119" w:right="239" w:bottom="1440" w:gutter="0" w:footer="0" w:header="0"/>
          <w:type w:val="continuous"/>
        </w:sectPr>
      </w:pP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 Refer to Note 16 - Fair Value Measurements to the consolidated financial statements for further details.</w:t>
      </w:r>
    </w:p>
    <w:p>
      <w:pPr>
        <w:sectPr>
          <w:pgSz w:w="11900" w:h="16838" w:orient="portrait"/>
          <w:cols w:equalWidth="0" w:num="1">
            <w:col w:w="11340"/>
          </w:cols>
          <w:pgMar w:left="32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Cash, Cash Equivalents and Restricted Cash</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statements of cash flows, cash, cash equivalents and restricted cash consist of the following:</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05"/>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7"/>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135,337</w:t>
            </w: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143,810</w:t>
            </w: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(non-current) represents amounts on deposit with banks against bank guarantees issued through banks in favor of relevant statutory authorities for equipment imports, deposits for obtaining indirect tax registrations and for demands against pending income tax assessments. These deposits with banks will mature one year after the balance sheet date.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4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5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52,650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110,964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101,231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68,063</w:t>
            </w:r>
          </w:p>
        </w:tc>
        <w:tc>
          <w:tcPr>
            <w:tcW w:w="0" w:type="dxa"/>
            <w:vAlign w:val="bottom"/>
          </w:tcPr>
          <w:p>
            <w:pPr>
              <w:spacing w:after="0"/>
              <w:rPr>
                <w:sz w:val="1"/>
                <w:szCs w:val="1"/>
                <w:color w:val="auto"/>
              </w:rPr>
            </w:pPr>
          </w:p>
        </w:tc>
      </w:tr>
      <w:tr>
        <w:trPr>
          <w:trHeight w:val="21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153,881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179,027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31,341</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4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34,779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16 - Fair Value Measurements to the consolidated financial statements for further details.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9"/>
        </w:trPr>
        <w:tc>
          <w:tcPr>
            <w:tcW w:w="4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w w:val="98"/>
              </w:rPr>
              <w:t>Estimated useful lives</w:t>
            </w:r>
          </w:p>
        </w:tc>
        <w:tc>
          <w:tcPr>
            <w:tcW w:w="180" w:type="dxa"/>
            <w:vAlign w:val="bottom"/>
          </w:tcPr>
          <w:p>
            <w:pPr>
              <w:spacing w:after="0"/>
              <w:rPr>
                <w:sz w:val="12"/>
                <w:szCs w:val="12"/>
                <w:color w:val="auto"/>
              </w:rPr>
            </w:pPr>
          </w:p>
        </w:tc>
        <w:tc>
          <w:tcPr>
            <w:tcW w:w="1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2"/>
                <w:szCs w:val="12"/>
                <w:color w:val="auto"/>
              </w:rPr>
            </w:pPr>
          </w:p>
        </w:tc>
        <w:tc>
          <w:tcPr>
            <w:tcW w:w="162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0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88,487</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17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298,460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(216,132)</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82,328</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ROU assets under finance leases: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2023 and 2022, there were no material changes in estimated useful lives of property and equipment during the ordinary course of operations.</w:t>
      </w:r>
    </w:p>
    <w:p>
      <w:pPr>
        <w:spacing w:after="0" w:line="1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consolidated statements of income was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340" w:type="dxa"/>
            <w:vAlign w:val="bottom"/>
            <w:tcBorders>
              <w:bottom w:val="single" w:sz="8" w:color="auto"/>
            </w:tcBorders>
          </w:tcPr>
          <w:p>
            <w:pPr>
              <w:spacing w:after="0"/>
              <w:rPr>
                <w:sz w:val="18"/>
                <w:szCs w:val="18"/>
                <w:color w:val="auto"/>
              </w:rPr>
            </w:pPr>
          </w:p>
        </w:tc>
      </w:tr>
      <w:tr>
        <w:trPr>
          <w:trHeight w:val="166"/>
        </w:trPr>
        <w:tc>
          <w:tcPr>
            <w:tcW w:w="5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effect of foreign exchange gain/(loss) upon settlement of cash flow hedges recorded under depreciation and amortization expense, was as follows:</w:t>
      </w:r>
    </w:p>
    <w:p>
      <w:pPr>
        <w:spacing w:after="0" w:line="2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gain/(loss)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211"/>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r>
      <w:tr>
        <w:trPr>
          <w:trHeight w:val="205"/>
        </w:trPr>
        <w:tc>
          <w:tcPr>
            <w:tcW w:w="6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7"/>
                <w:szCs w:val="17"/>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7"/>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6"/>
              </w:rPr>
              <w:t>46,625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6"/>
              </w:rPr>
              <w:t>31,544</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7"/>
              </w:rPr>
              <w:t>(25,413)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w w:val="97"/>
              </w:rPr>
              <w:t>(16,134)</w:t>
            </w:r>
          </w:p>
        </w:tc>
      </w:tr>
      <w:tr>
        <w:trPr>
          <w:trHeight w:val="24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6"/>
              </w:rPr>
              <w:t>21,212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6"/>
              </w:rPr>
              <w:t>15,410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consolidated statements of income was as follows: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360" w:type="dxa"/>
            <w:vAlign w:val="bottom"/>
            <w:tcBorders>
              <w:bottom w:val="single" w:sz="8" w:color="auto"/>
            </w:tcBorders>
          </w:tcPr>
          <w:p>
            <w:pPr>
              <w:spacing w:after="0"/>
              <w:rPr>
                <w:sz w:val="18"/>
                <w:szCs w:val="18"/>
                <w:color w:val="auto"/>
              </w:rPr>
            </w:pPr>
          </w:p>
        </w:tc>
      </w:tr>
      <w:tr>
        <w:trPr>
          <w:trHeight w:val="205"/>
        </w:trPr>
        <w:tc>
          <w:tcPr>
            <w:tcW w:w="46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315"/>
        <w:spacing w:after="0" w:line="235" w:lineRule="auto"/>
        <w:rPr>
          <w:sz w:val="20"/>
          <w:szCs w:val="20"/>
          <w:color w:val="auto"/>
        </w:rPr>
      </w:pPr>
      <w:r>
        <w:rPr>
          <w:rFonts w:ascii="Times New Roman" w:cs="Times New Roman" w:eastAsia="Times New Roman" w:hAnsi="Times New Roman"/>
          <w:sz w:val="18"/>
          <w:szCs w:val="18"/>
          <w:color w:val="auto"/>
        </w:rPr>
        <w:t>As of December 31, 2023 and 2022,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It is reasonably possible that the judgments and estimates described above could change in future periods.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179"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8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Emerging</w:t>
            </w:r>
          </w:p>
        </w:tc>
        <w:tc>
          <w:tcPr>
            <w:tcW w:w="140" w:type="dxa"/>
            <w:vAlign w:val="bottom"/>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20" w:type="dxa"/>
            <w:vAlign w:val="bottom"/>
          </w:tcPr>
          <w:p>
            <w:pPr>
              <w:spacing w:after="0"/>
              <w:rPr>
                <w:sz w:val="16"/>
                <w:szCs w:val="16"/>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282,512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403,902</w:t>
            </w:r>
          </w:p>
        </w:tc>
        <w:tc>
          <w:tcPr>
            <w:tcW w:w="0" w:type="dxa"/>
            <w:vAlign w:val="bottom"/>
          </w:tcPr>
          <w:p>
            <w:pPr>
              <w:spacing w:after="0"/>
              <w:rPr>
                <w:sz w:val="1"/>
                <w:szCs w:val="1"/>
                <w:color w:val="auto"/>
              </w:rPr>
            </w:pPr>
          </w:p>
        </w:tc>
      </w:tr>
      <w:tr>
        <w:trPr>
          <w:trHeight w:val="223"/>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2022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405,637</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During 2023 and 2022, the Company performed an assessment to determine whether events or circumstances exist that may lead to a determination that it is more likely than not that the fair value of a reporting unit is less than its carrying amount. Based on such assessment, the Company concluded that it is not more likely than not that the fair values of any of the Company’s reporting units are less than their carrying amounts.</w:t>
      </w:r>
    </w:p>
    <w:p>
      <w:pPr>
        <w:spacing w:after="0" w:line="273"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customers. The Company believes there are significant opportunities for adding new customers and additional growth and expansion within its existing customers by:</w:t>
      </w:r>
    </w:p>
    <w:p>
      <w:pPr>
        <w:spacing w:after="0" w:line="142" w:lineRule="exact"/>
        <w:rPr>
          <w:sz w:val="20"/>
          <w:szCs w:val="20"/>
          <w:color w:val="auto"/>
        </w:rPr>
      </w:pPr>
    </w:p>
    <w:p>
      <w:pPr>
        <w:ind w:left="640" w:hanging="319"/>
        <w:spacing w:after="0" w:line="268"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depth and breadth of the services, including adoption of new technology, for instance, generative AI, the Company provides across its customers’ value chains and geographies;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hanging="3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the full suite of the Company's services, which includes AI-powered digital operations and solutions and data and analytics;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Company's customers’ geographic expansion leveraging its global footprint.</w:t>
      </w:r>
    </w:p>
    <w:p>
      <w:pPr>
        <w:spacing w:after="0" w:line="161"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Company also considers selective strategic relationships with industry leaders that add new long-term client relationships, enhance the depth and breadth of its services and solutions, and complement its business strategy. Through its various partnership programs, the Company expands its technology and innovation ecosystem with select partnerships, alliances or investments that the Company expects will enhance go-to-market opportunities and expand the scope and effectiveness of the Company’s services and solutions by adding digital assets and intellectual property, which will help the Company to win new customers or allowing it to enter new industry verticals and geographic markets.</w:t>
      </w:r>
    </w:p>
    <w:p>
      <w:pPr>
        <w:spacing w:after="0" w:line="13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of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significant changes in key assumptions that could result in future period impairment charges.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153"/>
        </w:trPr>
        <w:tc>
          <w:tcPr>
            <w:tcW w:w="8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220" w:type="dxa"/>
            <w:vAlign w:val="bottom"/>
          </w:tcPr>
          <w:p>
            <w:pPr>
              <w:jc w:val="center"/>
              <w:ind w:right="114"/>
              <w:spacing w:after="0" w:line="153"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400" w:type="dxa"/>
            <w:vAlign w:val="bottom"/>
          </w:tcPr>
          <w:p>
            <w:pPr>
              <w:spacing w:after="0"/>
              <w:rPr>
                <w:sz w:val="13"/>
                <w:szCs w:val="13"/>
                <w:color w:val="auto"/>
              </w:rPr>
            </w:pPr>
          </w:p>
        </w:tc>
      </w:tr>
      <w:tr>
        <w:trPr>
          <w:trHeight w:val="209"/>
        </w:trPr>
        <w:tc>
          <w:tcPr>
            <w:tcW w:w="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Carrying 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4"/>
        </w:trPr>
        <w:tc>
          <w:tcPr>
            <w:tcW w:w="84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r>
      <w:tr>
        <w:trPr>
          <w:trHeight w:val="223"/>
        </w:trPr>
        <w:tc>
          <w:tcPr>
            <w:tcW w:w="8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47,965</w:t>
            </w:r>
          </w:p>
        </w:tc>
        <w:tc>
          <w:tcPr>
            <w:tcW w:w="40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0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spacing w:after="0"/>
              <w:rPr>
                <w:sz w:val="19"/>
                <w:szCs w:val="19"/>
                <w:color w:val="auto"/>
              </w:rPr>
            </w:pPr>
          </w:p>
        </w:tc>
      </w:tr>
      <w:tr>
        <w:trPr>
          <w:trHeight w:val="217"/>
        </w:trPr>
        <w:tc>
          <w:tcPr>
            <w:tcW w:w="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w:t>
            </w:r>
          </w:p>
        </w:tc>
        <w:tc>
          <w:tcPr>
            <w:tcW w:w="400" w:type="dxa"/>
            <w:vAlign w:val="bottom"/>
          </w:tcPr>
          <w:p>
            <w:pPr>
              <w:spacing w:after="0"/>
              <w:rPr>
                <w:sz w:val="18"/>
                <w:szCs w:val="18"/>
                <w:color w:val="auto"/>
              </w:rPr>
            </w:pPr>
          </w:p>
        </w:tc>
      </w:tr>
      <w:tr>
        <w:trPr>
          <w:trHeight w:val="223"/>
        </w:trPr>
        <w:tc>
          <w:tcPr>
            <w:tcW w:w="84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tcPr>
          <w:p>
            <w:pPr>
              <w:spacing w:after="0"/>
              <w:rPr>
                <w:sz w:val="19"/>
                <w:szCs w:val="19"/>
                <w:color w:val="auto"/>
              </w:rPr>
            </w:pPr>
          </w:p>
        </w:tc>
      </w:tr>
      <w:tr>
        <w:trPr>
          <w:trHeight w:val="242"/>
        </w:trPr>
        <w:tc>
          <w:tcPr>
            <w:tcW w:w="840" w:type="dxa"/>
            <w:vAlign w:val="bottom"/>
          </w:tcPr>
          <w:p>
            <w:pPr>
              <w:spacing w:after="0"/>
              <w:rPr>
                <w:sz w:val="20"/>
                <w:szCs w:val="20"/>
                <w:color w:val="auto"/>
              </w:rPr>
            </w:pPr>
          </w:p>
        </w:tc>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40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39"/>
        </w:trPr>
        <w:tc>
          <w:tcPr>
            <w:tcW w:w="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8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color w:val="auto"/>
              </w:rPr>
              <w:t>F-32</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2"/>
        </w:trPr>
        <w:tc>
          <w:tcPr>
            <w:tcW w:w="8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53"/>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center"/>
              <w:ind w:left="117"/>
              <w:spacing w:after="0" w:line="153"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8"/>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Carrying Amount</w:t>
            </w:r>
          </w:p>
        </w:tc>
        <w:tc>
          <w:tcPr>
            <w:tcW w:w="136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4"/>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99,146</w:t>
            </w:r>
          </w:p>
        </w:tc>
        <w:tc>
          <w:tcPr>
            <w:tcW w:w="12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w w:val="94"/>
              </w:rPr>
              <w:t>(39,848)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59,298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(20,902)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7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126,060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w w:val="94"/>
              </w:rPr>
              <w:t>(62,141)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2"/>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126,960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(62,141)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0"/>
        </w:trPr>
        <w:tc>
          <w:tcPr>
            <w:tcW w:w="360" w:type="dxa"/>
            <w:vAlign w:val="bottom"/>
          </w:tcPr>
          <w:p>
            <w:pPr>
              <w:spacing w:after="0"/>
              <w:rPr>
                <w:sz w:val="24"/>
                <w:szCs w:val="24"/>
                <w:color w:val="auto"/>
              </w:rPr>
            </w:pPr>
          </w:p>
        </w:tc>
        <w:tc>
          <w:tcPr>
            <w:tcW w:w="742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The amortization expense recognized in the consolidated statements of income was as follows: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3"/>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42"/>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14,678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12,778</w:t>
            </w:r>
          </w:p>
        </w:tc>
        <w:tc>
          <w:tcPr>
            <w:tcW w:w="18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4"/>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9"/>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December 31, 2023 was as follows: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4"/>
        </w:trPr>
        <w:tc>
          <w:tcPr>
            <w:tcW w:w="36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63"/>
        </w:trPr>
        <w:tc>
          <w:tcPr>
            <w:tcW w:w="5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8"/>
        </w:trPr>
        <w:tc>
          <w:tcPr>
            <w:tcW w:w="360" w:type="dxa"/>
            <w:vAlign w:val="bottom"/>
          </w:tcPr>
          <w:p>
            <w:pPr>
              <w:spacing w:after="0"/>
              <w:rPr>
                <w:sz w:val="24"/>
                <w:szCs w:val="24"/>
                <w:color w:val="auto"/>
              </w:rPr>
            </w:pPr>
          </w:p>
        </w:tc>
        <w:tc>
          <w:tcPr>
            <w:tcW w:w="4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6"/>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7"/>
        </w:trPr>
        <w:tc>
          <w:tcPr>
            <w:tcW w:w="360" w:type="dxa"/>
            <w:vAlign w:val="bottom"/>
          </w:tcPr>
          <w:p>
            <w:pPr>
              <w:spacing w:after="0"/>
              <w:rPr>
                <w:sz w:val="18"/>
                <w:szCs w:val="18"/>
                <w:color w:val="auto"/>
              </w:rPr>
            </w:pPr>
          </w:p>
        </w:tc>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5,716</w:t>
            </w:r>
          </w:p>
        </w:tc>
      </w:tr>
      <w:tr>
        <w:trPr>
          <w:trHeight w:val="223"/>
        </w:trPr>
        <w:tc>
          <w:tcPr>
            <w:tcW w:w="360" w:type="dxa"/>
            <w:vAlign w:val="bottom"/>
          </w:tcPr>
          <w:p>
            <w:pPr>
              <w:spacing w:after="0"/>
              <w:rPr>
                <w:sz w:val="19"/>
                <w:szCs w:val="19"/>
                <w:color w:val="auto"/>
              </w:rPr>
            </w:pPr>
          </w:p>
        </w:tc>
        <w:tc>
          <w:tcPr>
            <w:tcW w:w="4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15,724</w:t>
            </w:r>
          </w:p>
        </w:tc>
      </w:tr>
      <w:tr>
        <w:trPr>
          <w:trHeight w:val="223"/>
        </w:trPr>
        <w:tc>
          <w:tcPr>
            <w:tcW w:w="360" w:type="dxa"/>
            <w:vAlign w:val="bottom"/>
          </w:tcPr>
          <w:p>
            <w:pPr>
              <w:spacing w:after="0"/>
              <w:rPr>
                <w:sz w:val="19"/>
                <w:szCs w:val="19"/>
                <w:color w:val="auto"/>
              </w:rPr>
            </w:pPr>
          </w:p>
        </w:tc>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18,132</w:t>
            </w:r>
          </w:p>
        </w:tc>
      </w:tr>
      <w:tr>
        <w:trPr>
          <w:trHeight w:val="223"/>
        </w:trPr>
        <w:tc>
          <w:tcPr>
            <w:tcW w:w="360" w:type="dxa"/>
            <w:vAlign w:val="bottom"/>
          </w:tcPr>
          <w:p>
            <w:pPr>
              <w:spacing w:after="0"/>
              <w:rPr>
                <w:sz w:val="19"/>
                <w:szCs w:val="19"/>
                <w:color w:val="auto"/>
              </w:rPr>
            </w:pPr>
          </w:p>
        </w:tc>
        <w:tc>
          <w:tcPr>
            <w:tcW w:w="4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1,526</w:t>
            </w:r>
          </w:p>
        </w:tc>
      </w:tr>
      <w:tr>
        <w:trPr>
          <w:trHeight w:val="223"/>
        </w:trPr>
        <w:tc>
          <w:tcPr>
            <w:tcW w:w="360" w:type="dxa"/>
            <w:vAlign w:val="bottom"/>
          </w:tcPr>
          <w:p>
            <w:pPr>
              <w:spacing w:after="0"/>
              <w:rPr>
                <w:sz w:val="19"/>
                <w:szCs w:val="19"/>
                <w:color w:val="auto"/>
              </w:rPr>
            </w:pPr>
          </w:p>
        </w:tc>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w:t>
            </w:r>
          </w:p>
        </w:tc>
      </w:tr>
      <w:tr>
        <w:trPr>
          <w:trHeight w:val="223"/>
        </w:trPr>
        <w:tc>
          <w:tcPr>
            <w:tcW w:w="360" w:type="dxa"/>
            <w:vAlign w:val="bottom"/>
          </w:tcPr>
          <w:p>
            <w:pPr>
              <w:spacing w:after="0"/>
              <w:rPr>
                <w:sz w:val="19"/>
                <w:szCs w:val="19"/>
                <w:color w:val="auto"/>
              </w:rPr>
            </w:pPr>
          </w:p>
        </w:tc>
        <w:tc>
          <w:tcPr>
            <w:tcW w:w="4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360" w:type="dxa"/>
            <w:vAlign w:val="bottom"/>
          </w:tcPr>
          <w:p>
            <w:pPr>
              <w:spacing w:after="0"/>
              <w:rPr>
                <w:sz w:val="19"/>
                <w:szCs w:val="19"/>
                <w:color w:val="auto"/>
              </w:rPr>
            </w:pPr>
          </w:p>
        </w:tc>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360" w:type="dxa"/>
            <w:vAlign w:val="bottom"/>
          </w:tcPr>
          <w:p>
            <w:pPr>
              <w:spacing w:after="0"/>
              <w:rPr>
                <w:sz w:val="19"/>
                <w:szCs w:val="19"/>
                <w:color w:val="auto"/>
              </w:rPr>
            </w:pPr>
          </w:p>
        </w:tc>
        <w:tc>
          <w:tcPr>
            <w:tcW w:w="4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5,855</w:t>
            </w:r>
          </w:p>
        </w:tc>
      </w:tr>
      <w:tr>
        <w:trPr>
          <w:trHeight w:val="242"/>
        </w:trPr>
        <w:tc>
          <w:tcPr>
            <w:tcW w:w="360" w:type="dxa"/>
            <w:vAlign w:val="bottom"/>
          </w:tcPr>
          <w:p>
            <w:pPr>
              <w:spacing w:after="0"/>
              <w:rPr>
                <w:sz w:val="20"/>
                <w:szCs w:val="20"/>
                <w:color w:val="auto"/>
              </w:rPr>
            </w:pPr>
          </w:p>
        </w:tc>
        <w:tc>
          <w:tcPr>
            <w:tcW w:w="4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50,979</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119" w:right="6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Assets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66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66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1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02"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Cumulative changes in the fair values of cash flow hedges are recognized in AOCI on the Company’s consolidated balance sheets. The fair value changes are reclassified from AOCI to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consolidated statements of income when a foreign operation is disposed or partially disposed. The following table sets forth the changes in AOCI during the years ended December 31, 2023,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8"/>
          </w:tcPr>
          <w:p>
            <w:pPr>
              <w:ind w:left="158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Income/(Loss)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6"/>
                <w:szCs w:val="16"/>
                <w:b w:val="1"/>
                <w:bCs w:val="1"/>
                <w:color w:val="auto"/>
                <w:w w:val="97"/>
              </w:rPr>
              <w:t>Foreign currency</w:t>
            </w:r>
          </w:p>
        </w:tc>
        <w:tc>
          <w:tcPr>
            <w:tcW w:w="186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Unrealized gain/(loss) on</w:t>
            </w: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Retirement benefits</w:t>
            </w:r>
          </w:p>
        </w:tc>
        <w:tc>
          <w:tcPr>
            <w:tcW w:w="34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translation gain/(loss)</w:t>
            </w:r>
          </w:p>
        </w:tc>
        <w:tc>
          <w:tcPr>
            <w:tcW w:w="220" w:type="dxa"/>
            <w:vAlign w:val="bottom"/>
          </w:tcPr>
          <w:p>
            <w:pPr>
              <w:spacing w:after="0"/>
              <w:rPr>
                <w:sz w:val="11"/>
                <w:szCs w:val="11"/>
                <w:color w:val="auto"/>
              </w:rPr>
            </w:pPr>
          </w:p>
        </w:tc>
        <w:tc>
          <w:tcPr>
            <w:tcW w:w="16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cash flow hedges</w:t>
            </w:r>
          </w:p>
        </w:tc>
        <w:tc>
          <w:tcPr>
            <w:tcW w:w="16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13,799</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(74,984)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 (losses) recognized during the year</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net investment hedges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157"/>
        </w:trPr>
        <w:tc>
          <w:tcPr>
            <w:tcW w:w="440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income/(loss) as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(95,437)</w:t>
            </w:r>
          </w:p>
        </w:tc>
        <w:tc>
          <w:tcPr>
            <w:tcW w:w="100" w:type="dxa"/>
            <w:vAlign w:val="bottom"/>
          </w:tcPr>
          <w:p>
            <w:pPr>
              <w:spacing w:after="0"/>
              <w:rPr>
                <w:sz w:val="13"/>
                <w:szCs w:val="13"/>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8,420</w:t>
            </w:r>
          </w:p>
        </w:tc>
        <w:tc>
          <w:tcPr>
            <w:tcW w:w="120" w:type="dxa"/>
            <w:vAlign w:val="bottom"/>
          </w:tcPr>
          <w:p>
            <w:pPr>
              <w:spacing w:after="0"/>
              <w:rPr>
                <w:sz w:val="13"/>
                <w:szCs w:val="13"/>
                <w:color w:val="auto"/>
              </w:rPr>
            </w:pPr>
          </w:p>
        </w:tc>
        <w:tc>
          <w:tcPr>
            <w:tcW w:w="520" w:type="dxa"/>
            <w:vAlign w:val="bottom"/>
            <w:vMerge w:val="restart"/>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0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(89,474)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 (losses) recognized during the year</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0" w:type="dxa"/>
            <w:vAlign w:val="bottom"/>
          </w:tcPr>
          <w:p>
            <w:pPr>
              <w:spacing w:after="0"/>
              <w:rPr>
                <w:sz w:val="1"/>
                <w:szCs w:val="1"/>
                <w:color w:val="auto"/>
              </w:rPr>
            </w:pPr>
          </w:p>
        </w:tc>
      </w:tr>
      <w:tr>
        <w:trPr>
          <w:trHeight w:val="157"/>
        </w:trPr>
        <w:tc>
          <w:tcPr>
            <w:tcW w:w="440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income/(loss) as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(133,139)</w:t>
            </w:r>
          </w:p>
        </w:tc>
        <w:tc>
          <w:tcPr>
            <w:tcW w:w="100" w:type="dxa"/>
            <w:vAlign w:val="bottom"/>
          </w:tcPr>
          <w:p>
            <w:pPr>
              <w:spacing w:after="0"/>
              <w:rPr>
                <w:sz w:val="13"/>
                <w:szCs w:val="13"/>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(11,303)</w:t>
            </w:r>
          </w:p>
        </w:tc>
        <w:tc>
          <w:tcPr>
            <w:tcW w:w="120" w:type="dxa"/>
            <w:vAlign w:val="bottom"/>
          </w:tcPr>
          <w:p>
            <w:pPr>
              <w:spacing w:after="0"/>
              <w:rPr>
                <w:sz w:val="13"/>
                <w:szCs w:val="13"/>
                <w:color w:val="auto"/>
              </w:rPr>
            </w:pPr>
          </w:p>
        </w:tc>
        <w:tc>
          <w:tcPr>
            <w:tcW w:w="520" w:type="dxa"/>
            <w:vAlign w:val="bottom"/>
            <w:vMerge w:val="restart"/>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(144,143)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during the year</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157"/>
        </w:trPr>
        <w:tc>
          <w:tcPr>
            <w:tcW w:w="440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income/(loss) as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(132,643)</w:t>
            </w:r>
          </w:p>
        </w:tc>
        <w:tc>
          <w:tcPr>
            <w:tcW w:w="100" w:type="dxa"/>
            <w:vAlign w:val="bottom"/>
          </w:tcPr>
          <w:p>
            <w:pPr>
              <w:spacing w:after="0"/>
              <w:rPr>
                <w:sz w:val="13"/>
                <w:szCs w:val="13"/>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4,198</w:t>
            </w:r>
          </w:p>
        </w:tc>
        <w:tc>
          <w:tcPr>
            <w:tcW w:w="120" w:type="dxa"/>
            <w:vAlign w:val="bottom"/>
          </w:tcPr>
          <w:p>
            <w:pPr>
              <w:spacing w:after="0"/>
              <w:rPr>
                <w:sz w:val="13"/>
                <w:szCs w:val="13"/>
                <w:color w:val="auto"/>
              </w:rPr>
            </w:pPr>
          </w:p>
        </w:tc>
        <w:tc>
          <w:tcPr>
            <w:tcW w:w="520" w:type="dxa"/>
            <w:vAlign w:val="bottom"/>
            <w:vMerge w:val="restart"/>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10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(127,040)</w:t>
            </w: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hanging="335"/>
        <w:spacing w:after="0"/>
        <w:tabs>
          <w:tab w:leader="none" w:pos="34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Refer to Note 17 - Derivatives and Hedge Accounting and Note 20 - Employee Benefit Plans to the consolidated financial statements for reclassification to net income.</w:t>
      </w:r>
    </w:p>
    <w:p>
      <w:pPr>
        <w:spacing w:after="0" w:line="249" w:lineRule="exact"/>
        <w:rPr>
          <w:rFonts w:ascii="Times New Roman" w:cs="Times New Roman" w:eastAsia="Times New Roman" w:hAnsi="Times New Roman"/>
          <w:sz w:val="16"/>
          <w:szCs w:val="16"/>
          <w:i w:val="1"/>
          <w:iCs w:val="1"/>
          <w:color w:val="auto"/>
        </w:rPr>
      </w:pPr>
    </w:p>
    <w:p>
      <w:pPr>
        <w:ind w:firstLine="5"/>
        <w:spacing w:after="0" w:line="272" w:lineRule="auto"/>
        <w:tabs>
          <w:tab w:leader="none" w:pos="412"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foreign currency translation gain/(loss). Refer to Note 22 -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23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6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20" w:type="dxa"/>
            <w:vAlign w:val="bottom"/>
          </w:tcPr>
          <w:p>
            <w:pPr>
              <w:spacing w:after="0"/>
              <w:rPr>
                <w:sz w:val="16"/>
                <w:szCs w:val="16"/>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20" w:type="dxa"/>
            <w:vAlign w:val="bottom"/>
          </w:tcPr>
          <w:p>
            <w:pPr>
              <w:spacing w:after="0"/>
              <w:rPr>
                <w:sz w:val="6"/>
                <w:szCs w:val="6"/>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 Inputs</w:t>
            </w: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4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0" w:type="dxa"/>
            <w:vAlign w:val="bottom"/>
          </w:tcPr>
          <w:p>
            <w:pPr>
              <w:spacing w:after="0"/>
              <w:rPr>
                <w:sz w:val="1"/>
                <w:szCs w:val="1"/>
                <w:color w:val="auto"/>
              </w:rPr>
            </w:pPr>
          </w:p>
        </w:tc>
      </w:tr>
      <w:tr>
        <w:trPr>
          <w:trHeight w:val="24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420" w:type="dxa"/>
            <w:vAlign w:val="bottom"/>
          </w:tcPr>
          <w:p>
            <w:pPr>
              <w:spacing w:after="0"/>
              <w:rPr>
                <w:sz w:val="24"/>
                <w:szCs w:val="24"/>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60" w:type="dxa"/>
            <w:vAlign w:val="bottom"/>
          </w:tcPr>
          <w:p>
            <w:pPr>
              <w:spacing w:after="0"/>
              <w:rPr>
                <w:sz w:val="24"/>
                <w:szCs w:val="2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20" w:type="dxa"/>
            <w:vAlign w:val="bottom"/>
          </w:tcPr>
          <w:p>
            <w:pPr>
              <w:spacing w:after="0"/>
              <w:rPr>
                <w:sz w:val="24"/>
                <w:szCs w:val="24"/>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20" w:type="dxa"/>
            <w:vAlign w:val="bottom"/>
          </w:tcPr>
          <w:p>
            <w:pPr>
              <w:spacing w:after="0"/>
              <w:rPr>
                <w:sz w:val="6"/>
                <w:szCs w:val="6"/>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 Inputs</w:t>
            </w: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110,964</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4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0" w:type="dxa"/>
            <w:vAlign w:val="bottom"/>
          </w:tcPr>
          <w:p>
            <w:pPr>
              <w:spacing w:after="0"/>
              <w:rPr>
                <w:sz w:val="1"/>
                <w:szCs w:val="1"/>
                <w:color w:val="auto"/>
              </w:rPr>
            </w:pPr>
          </w:p>
        </w:tc>
      </w:tr>
      <w:tr>
        <w:trPr>
          <w:trHeight w:val="21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Represents money market funds which are carried at the fair value option under ASC Topic 825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79" w:lineRule="exact"/>
        <w:rPr>
          <w:rFonts w:ascii="Times New Roman" w:cs="Times New Roman" w:eastAsia="Times New Roman" w:hAnsi="Times New Roman"/>
          <w:sz w:val="18"/>
          <w:szCs w:val="18"/>
          <w:i w:val="1"/>
          <w:iCs w:val="1"/>
          <w:color w:val="auto"/>
        </w:rPr>
      </w:pPr>
    </w:p>
    <w:p>
      <w:pPr>
        <w:ind w:left="260" w:hanging="255"/>
        <w:spacing w:after="0"/>
        <w:tabs>
          <w:tab w:leader="none" w:pos="2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Represents those short-term investments which are carried at the fair value option under ASC Topic 825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53" w:lineRule="exact"/>
        <w:rPr>
          <w:rFonts w:ascii="Times New Roman" w:cs="Times New Roman" w:eastAsia="Times New Roman" w:hAnsi="Times New Roman"/>
          <w:sz w:val="18"/>
          <w:szCs w:val="18"/>
          <w:i w:val="1"/>
          <w:iCs w:val="1"/>
          <w:color w:val="auto"/>
        </w:rPr>
      </w:pPr>
    </w:p>
    <w:p>
      <w:pPr>
        <w:ind w:right="80" w:firstLine="5"/>
        <w:spacing w:after="0" w:line="270" w:lineRule="auto"/>
        <w:tabs>
          <w:tab w:leader="none" w:pos="248"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Contingent consideration is presented under “Accrued Expenses and Other Current Liabilities” and “Other Non-Current Liabilities,” as applicable, in the consolidated balance sheets.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Financial Instruments</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and interest rate swaps. Fair values for derivative financial instruments are based on independent sources including highly rated financial institutions and are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Level 2. Refer to Note 17 - Derivatives and Hedge Accounting to the consolidated financial statements for further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280" w:type="dxa"/>
            <w:vAlign w:val="bottom"/>
            <w:tcBorders>
              <w:bottom w:val="single" w:sz="8" w:color="auto"/>
            </w:tcBorders>
          </w:tcPr>
          <w:p>
            <w:pPr>
              <w:spacing w:after="0"/>
              <w:rPr>
                <w:sz w:val="18"/>
                <w:szCs w:val="18"/>
                <w:color w:val="auto"/>
              </w:rPr>
            </w:pPr>
          </w:p>
        </w:tc>
      </w:tr>
      <w:tr>
        <w:trPr>
          <w:trHeight w:val="205"/>
        </w:trPr>
        <w:tc>
          <w:tcPr>
            <w:tcW w:w="56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among Level 1, Level 2 and Level 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 of Assets:</w:t>
      </w:r>
    </w:p>
    <w:p>
      <w:pPr>
        <w:spacing w:after="0" w:line="242" w:lineRule="exact"/>
        <w:rPr>
          <w:sz w:val="20"/>
          <w:szCs w:val="20"/>
          <w:color w:val="auto"/>
        </w:rPr>
      </w:pPr>
    </w:p>
    <w:p>
      <w:pPr>
        <w:jc w:val="both"/>
        <w:ind w:firstLine="434"/>
        <w:spacing w:after="0" w:line="238" w:lineRule="auto"/>
        <w:rPr>
          <w:sz w:val="20"/>
          <w:szCs w:val="20"/>
          <w:color w:val="auto"/>
        </w:rPr>
      </w:pPr>
      <w:r>
        <w:rPr>
          <w:rFonts w:ascii="Times New Roman" w:cs="Times New Roman" w:eastAsia="Times New Roman" w:hAnsi="Times New Roman"/>
          <w:sz w:val="18"/>
          <w:szCs w:val="18"/>
          <w:color w:val="auto"/>
        </w:rPr>
        <w:t>Nonrecurring fair value measurements include impairment tests of goodwill conducted by the Company during the years ended December 31, 2023 and 2022, as applicable. The fair value determination of the Company's reporting units was based on a combination of the income approach, using a DCF model, which are Level 3 inputs, and also the market approach, as applicable, using market multiples for reporting units, which are Level 2 inputs. During the years ended December 31, 2023 and 2022, the Company did not recognize any impairment charges on goodwill as the fair values of the reporting units exceeded their carrying value. Refer to Note 10 - Goodwill and Other Intangible Assets to the consolidated financial statements for further details.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63" w:lineRule="exact"/>
        <w:rPr>
          <w:sz w:val="20"/>
          <w:szCs w:val="20"/>
          <w:color w:val="auto"/>
        </w:rPr>
      </w:pPr>
    </w:p>
    <w:p>
      <w:pPr>
        <w:jc w:val="both"/>
        <w:ind w:firstLine="434"/>
        <w:spacing w:after="0" w:line="239"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are with counterparties that are highly rated financial institutions. For derivatives in cash flow hedging relationships as of December 31, 2023 and December 31, 2022, the Company had outstanding foreign currency forward contracts totaling $722,800 and $841,620, respectively and interest rate swaps totaling $75,000, each.</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estimates that approximately $2,357 of derivative gains, net, excluding tax effects, included in AOCI, representing changes in the value of cash flow hedges based on exchange rates prevailing as of December 31, 2023, could be reclassified into earnings within the next twelve months. As of December 31, 2023, the maximum outstanding term of the cash flow hedges was approximately 42 months.</w:t>
      </w:r>
    </w:p>
    <w:p>
      <w:pPr>
        <w:spacing w:after="0" w:line="113"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consolidated statements of income and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foreign exchange gain/(loss) line item. The Company’s primary exchange rate exposure is with the Indian rupee (INR), the Philippine peso (PHP), the U.K. pound sterling (GBP) and South African rand (ZAR). The Company also has exposure to Colombian pesos (COP), the Euro (EUR), the Australian dollar (AUD), the Canadian dollar (CAD) and other local currencies in which it operates.</w:t>
      </w:r>
    </w:p>
    <w:p>
      <w:pPr>
        <w:spacing w:after="0" w:line="197"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50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 S. dollar (USD)</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163,990</w:t>
            </w: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pound sterling (GBP)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(EUR)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Australian dollar (AUD)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African rand (ZAR)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8"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interest rate swaps and their location on the consolidated balance sheets:</w:t>
      </w:r>
    </w:p>
    <w:p>
      <w:pPr>
        <w:sectPr>
          <w:pgSz w:w="11900" w:h="16838" w:orient="portrait"/>
          <w:cols w:equalWidth="0" w:num="1">
            <w:col w:w="11240"/>
          </w:cols>
          <w:pgMar w:left="320" w:top="119" w:right="339" w:bottom="1440" w:gutter="0" w:footer="0" w:header="0"/>
        </w:sectPr>
      </w:pPr>
    </w:p>
    <w:p>
      <w:pPr>
        <w:spacing w:after="0" w:line="171"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18415</wp:posOffset>
            </wp:positionV>
            <wp:extent cx="23368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spacing w:after="0" w:line="19"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18415</wp:posOffset>
            </wp:positionV>
            <wp:extent cx="23368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spacing w:after="0" w:line="19" w:lineRule="exact"/>
        <w:rPr>
          <w:sz w:val="20"/>
          <w:szCs w:val="20"/>
          <w:color w:val="auto"/>
        </w:rPr>
      </w:pPr>
    </w:p>
    <w:p>
      <w:pPr>
        <w:ind w:left="3760"/>
        <w:spacing w:after="0"/>
        <w:tabs>
          <w:tab w:leader="none" w:pos="5620" w:val="left"/>
        </w:tabs>
        <w:rPr>
          <w:sz w:val="20"/>
          <w:szCs w:val="20"/>
          <w:color w:val="auto"/>
        </w:rPr>
      </w:pPr>
      <w:r>
        <w:rPr>
          <w:rFonts w:ascii="Times New Roman" w:cs="Times New Roman" w:eastAsia="Times New Roman" w:hAnsi="Times New Roman"/>
          <w:sz w:val="16"/>
          <w:szCs w:val="16"/>
          <w:b w:val="1"/>
          <w:bCs w:val="1"/>
          <w:color w:val="auto"/>
        </w:rPr>
        <w:t>December 31, 2023</w:t>
      </w:r>
      <w:r>
        <w:rPr>
          <w:sz w:val="20"/>
          <w:szCs w:val="20"/>
          <w:color w:val="auto"/>
        </w:rPr>
        <w:tab/>
      </w:r>
      <w:r>
        <w:rPr>
          <w:rFonts w:ascii="Times New Roman" w:cs="Times New Roman" w:eastAsia="Times New Roman" w:hAnsi="Times New Roman"/>
          <w:sz w:val="15"/>
          <w:szCs w:val="15"/>
          <w:b w:val="1"/>
          <w:bCs w:val="1"/>
          <w:color w:val="auto"/>
        </w:rPr>
        <w:t>December 31,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26035</wp:posOffset>
            </wp:positionV>
            <wp:extent cx="2362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18415</wp:posOffset>
            </wp:positionV>
            <wp:extent cx="2362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9" w:lineRule="exact"/>
        <w:rPr>
          <w:sz w:val="20"/>
          <w:szCs w:val="20"/>
          <w:color w:val="auto"/>
        </w:rPr>
      </w:pPr>
    </w:p>
    <w:p>
      <w:pPr>
        <w:ind w:left="100"/>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December 31, 2023</w:t>
      </w:r>
      <w:r>
        <w:rPr>
          <w:sz w:val="20"/>
          <w:szCs w:val="20"/>
          <w:color w:val="auto"/>
        </w:rPr>
        <w:tab/>
      </w:r>
      <w:r>
        <w:rPr>
          <w:rFonts w:ascii="Times New Roman" w:cs="Times New Roman" w:eastAsia="Times New Roman" w:hAnsi="Times New Roman"/>
          <w:sz w:val="15"/>
          <w:szCs w:val="15"/>
          <w:b w:val="1"/>
          <w:bCs w:val="1"/>
          <w:color w:val="auto"/>
        </w:rPr>
        <w:t>December 31, 2022</w:t>
      </w:r>
    </w:p>
    <w:p>
      <w:pPr>
        <w:spacing w:after="0" w:line="25" w:lineRule="exact"/>
        <w:rPr>
          <w:sz w:val="20"/>
          <w:szCs w:val="20"/>
          <w:color w:val="auto"/>
        </w:rPr>
      </w:pPr>
    </w:p>
    <w:p>
      <w:pPr>
        <w:sectPr>
          <w:pgSz w:w="11900" w:h="16838" w:orient="portrait"/>
          <w:cols w:equalWidth="0" w:num="2">
            <w:col w:w="6920" w:space="520"/>
            <w:col w:w="3800"/>
          </w:cols>
          <w:pgMar w:left="320" w:top="119" w:right="339" w:bottom="1440" w:gutter="0" w:footer="0" w:header="0"/>
          <w:type w:val="continuous"/>
        </w:sectPr>
      </w:pPr>
    </w:p>
    <w:tbl>
      <w:tblPr>
        <w:tblLayout w:type="fixed"/>
        <w:tblInd w:w="680" w:type="dxa"/>
        <w:tblCellMar>
          <w:top w:w="0" w:type="dxa"/>
          <w:left w:w="0" w:type="dxa"/>
          <w:bottom w:w="0" w:type="dxa"/>
          <w:right w:w="0" w:type="dxa"/>
        </w:tblCellMar>
      </w:tblPr>
      <w:tr>
        <w:trPr>
          <w:trHeight w:val="221"/>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1"/>
        </w:trPr>
        <w:tc>
          <w:tcPr>
            <w:tcW w:w="28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effect of foreign currency forward contracts and interest rate swaps on AOCI and the consolidated statements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106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05"/>
        </w:trPr>
        <w:tc>
          <w:tcPr>
            <w:tcW w:w="640" w:type="dxa"/>
            <w:vAlign w:val="bottom"/>
          </w:tcPr>
          <w:p>
            <w:pPr>
              <w:spacing w:after="0"/>
              <w:rPr>
                <w:sz w:val="17"/>
                <w:szCs w:val="17"/>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gain/(loss) recognized in OCI</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6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640" w:type="dxa"/>
            <w:vAlign w:val="bottom"/>
          </w:tcPr>
          <w:p>
            <w:pPr>
              <w:spacing w:after="0"/>
              <w:rPr>
                <w:sz w:val="19"/>
                <w:szCs w:val="19"/>
                <w:color w:val="auto"/>
              </w:rPr>
            </w:pPr>
          </w:p>
        </w:tc>
      </w:tr>
      <w:tr>
        <w:trPr>
          <w:trHeight w:val="92"/>
        </w:trPr>
        <w:tc>
          <w:tcPr>
            <w:tcW w:w="640" w:type="dxa"/>
            <w:vAlign w:val="bottom"/>
          </w:tcPr>
          <w:p>
            <w:pPr>
              <w:spacing w:after="0"/>
              <w:rPr>
                <w:sz w:val="8"/>
                <w:szCs w:val="8"/>
                <w:color w:val="auto"/>
              </w:rPr>
            </w:pPr>
          </w:p>
        </w:tc>
        <w:tc>
          <w:tcPr>
            <w:tcW w:w="44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40" w:type="dxa"/>
            <w:vAlign w:val="bottom"/>
          </w:tcPr>
          <w:p>
            <w:pPr>
              <w:spacing w:after="0"/>
              <w:rPr>
                <w:sz w:val="8"/>
                <w:szCs w:val="8"/>
                <w:color w:val="auto"/>
              </w:rPr>
            </w:pPr>
          </w:p>
        </w:tc>
      </w:tr>
      <w:tr>
        <w:trPr>
          <w:trHeight w:val="209"/>
        </w:trPr>
        <w:tc>
          <w:tcPr>
            <w:tcW w:w="64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consolidated statements of income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4"/>
        </w:trPr>
        <w:tc>
          <w:tcPr>
            <w:tcW w:w="6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40" w:type="dxa"/>
            <w:vAlign w:val="bottom"/>
          </w:tcPr>
          <w:p>
            <w:pPr>
              <w:spacing w:after="0"/>
              <w:rPr>
                <w:sz w:val="19"/>
                <w:szCs w:val="19"/>
                <w:color w:val="auto"/>
              </w:rPr>
            </w:pPr>
          </w:p>
        </w:tc>
      </w:tr>
      <w:tr>
        <w:trPr>
          <w:trHeight w:val="867"/>
        </w:trPr>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F-38</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2"/>
        </w:trPr>
        <w:tc>
          <w:tcPr>
            <w:tcW w:w="64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firstLine="39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consolidated statements of income for derivatives in cash flow hedging relationships and derivatives not designated as hedging instruments: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gridSpan w:val="8"/>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r>
      <w:tr>
        <w:trPr>
          <w:trHeight w:val="203"/>
        </w:trPr>
        <w:tc>
          <w:tcPr>
            <w:tcW w:w="3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52"/>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rPr>
              <w:t>As per</w:t>
            </w:r>
          </w:p>
        </w:tc>
        <w:tc>
          <w:tcPr>
            <w:tcW w:w="1100" w:type="dxa"/>
            <w:vAlign w:val="bottom"/>
            <w:gridSpan w:val="2"/>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As per</w:t>
            </w:r>
          </w:p>
        </w:tc>
        <w:tc>
          <w:tcPr>
            <w:tcW w:w="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As per</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72"/>
              <w:spacing w:after="0" w:line="152" w:lineRule="exact"/>
              <w:rPr>
                <w:sz w:val="20"/>
                <w:szCs w:val="20"/>
                <w:color w:val="auto"/>
              </w:rPr>
            </w:pPr>
            <w:r>
              <w:rPr>
                <w:rFonts w:ascii="Times New Roman" w:cs="Times New Roman" w:eastAsia="Times New Roman" w:hAnsi="Times New Roman"/>
                <w:sz w:val="16"/>
                <w:szCs w:val="16"/>
                <w:b w:val="1"/>
                <w:bCs w:val="1"/>
                <w:color w:val="auto"/>
                <w:w w:val="94"/>
              </w:rPr>
              <w:t>Gain</w:t>
            </w:r>
          </w:p>
        </w:tc>
      </w:tr>
      <w:tr>
        <w:trPr>
          <w:trHeight w:val="158"/>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6"/>
              </w:rPr>
              <w:t>derivative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derivative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w w:val="98"/>
              </w:rPr>
              <w:t>on derivative</w:t>
            </w:r>
          </w:p>
        </w:tc>
      </w:tr>
      <w:tr>
        <w:trPr>
          <w:trHeight w:val="158"/>
        </w:trPr>
        <w:tc>
          <w:tcPr>
            <w:tcW w:w="3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financial</w:t>
            </w:r>
          </w:p>
        </w:tc>
      </w:tr>
      <w:tr>
        <w:trPr>
          <w:trHeight w:val="210"/>
        </w:trPr>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03"/>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172"/>
        </w:trPr>
        <w:tc>
          <w:tcPr>
            <w:tcW w:w="3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3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reclassified from AOCI</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92"/>
        </w:trPr>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896,595</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(1,304)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169,016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7,734</w:t>
            </w:r>
          </w:p>
        </w:tc>
      </w:tr>
      <w:tr>
        <w:trPr>
          <w:trHeight w:val="83"/>
        </w:trPr>
        <w:tc>
          <w:tcPr>
            <w:tcW w:w="35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09"/>
        </w:trPr>
        <w:tc>
          <w:tcPr>
            <w:tcW w:w="366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2"/>
        </w:trPr>
        <w:tc>
          <w:tcPr>
            <w:tcW w:w="3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Location in consolidated statements of income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3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105"/>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(9,571)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36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net investment hedges on OCI:</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17"/>
        </w:trPr>
        <w:tc>
          <w:tcPr>
            <w:tcW w:w="3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Amount of loss recognized in OCI</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4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hedging relationships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0"/>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6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summarizes the Company’s debt position: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1180"/>
        <w:spacing w:after="0" w:line="425" w:lineRule="auto"/>
        <w:rPr>
          <w:sz w:val="20"/>
          <w:szCs w:val="20"/>
          <w:color w:val="auto"/>
        </w:rPr>
      </w:pPr>
      <w:r>
        <w:rPr>
          <w:rFonts w:ascii="Times New Roman" w:cs="Times New Roman" w:eastAsia="Times New Roman" w:hAnsi="Times New Roman"/>
          <w:sz w:val="18"/>
          <w:szCs w:val="18"/>
          <w:color w:val="auto"/>
        </w:rPr>
        <w:t>Current portion of long-term borrowings Long-term borrowings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40" w:type="dxa"/>
            <w:vAlign w:val="bottom"/>
            <w:tcBorders>
              <w:bottom w:val="single" w:sz="8" w:color="auto"/>
            </w:tcBorders>
          </w:tcPr>
          <w:p>
            <w:pPr>
              <w:spacing w:after="0"/>
              <w:rPr>
                <w:sz w:val="18"/>
                <w:szCs w:val="18"/>
                <w:color w:val="auto"/>
              </w:rPr>
            </w:pPr>
          </w:p>
        </w:tc>
      </w:tr>
      <w:tr>
        <w:trPr>
          <w:trHeight w:val="179"/>
        </w:trPr>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1"/>
              <w:spacing w:after="0" w:line="180" w:lineRule="exact"/>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177"/>
        </w:trPr>
        <w:tc>
          <w:tcPr>
            <w:tcW w:w="3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01"/>
              <w:spacing w:after="0" w:line="178" w:lineRule="exact"/>
              <w:rPr>
                <w:sz w:val="20"/>
                <w:szCs w:val="20"/>
                <w:color w:val="auto"/>
              </w:rPr>
            </w:pPr>
            <w:r>
              <w:rPr>
                <w:rFonts w:ascii="Times New Roman" w:cs="Times New Roman" w:eastAsia="Times New Roman" w:hAnsi="Times New Roman"/>
                <w:sz w:val="16"/>
                <w:szCs w:val="16"/>
                <w:b w:val="1"/>
                <w:bCs w:val="1"/>
                <w:color w:val="auto"/>
              </w:rPr>
              <w:t>Revolving credit facility</w:t>
            </w:r>
          </w:p>
        </w:tc>
      </w:tr>
      <w:tr>
        <w:trPr>
          <w:trHeight w:val="200"/>
        </w:trPr>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tcPr>
          <w:p>
            <w:pPr>
              <w:spacing w:after="0"/>
              <w:rPr>
                <w:sz w:val="17"/>
                <w:szCs w:val="17"/>
                <w:color w:val="auto"/>
              </w:rPr>
            </w:pPr>
          </w:p>
        </w:tc>
        <w:tc>
          <w:tcPr>
            <w:tcW w:w="6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488"/>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220,000</w:t>
            </w:r>
          </w:p>
        </w:tc>
      </w:tr>
      <w:tr>
        <w:trPr>
          <w:trHeight w:val="204"/>
        </w:trPr>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-625475</wp:posOffset>
            </wp:positionV>
            <wp:extent cx="5066030" cy="141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5066030" cy="14160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-316230</wp:posOffset>
            </wp:positionV>
            <wp:extent cx="5066030" cy="141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50660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6460"/>
          </w:cols>
          <w:pgMar w:left="320" w:top="119"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$903 and $1,177 as of December 31, 2023 and 2022, respectively, are presented under “Other current assets” and “Other assets,” as applicable,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207"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the Secured Overnight Financing Rate (“SOFR”) as the reference rate for the U.S. dollar borrowings.</w:t>
      </w:r>
    </w:p>
    <w:p>
      <w:pPr>
        <w:spacing w:after="0" w:line="206"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207"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Obligations under the 2022 Credit Agreement are guaranteed by the Company’s material domestic subsidiaries and are secured by all or substantially all of the Company’s and its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 In addition, the 2022 Credit Agreement contains a covenant to not permit the interest coverage ratio or the total net leverage ratio, both, as defined, for the four consecutive quarter period ending on the last day of each fiscal quarter, to be less than 3.0 to 1.0 or more than 3.5 to 1.0, respectively.</w:t>
      </w:r>
    </w:p>
    <w:p>
      <w:pPr>
        <w:spacing w:after="0" w:line="193"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2022 Credit Agreement bears interest at a rate equal to specified prime rate (alternate base rate) or adjusted SOFR, plus, in each case, an applicable margin. The applicable margin is tied to the Company’s total net leverage ratio and ranges from 0% to 0.75% per annum on loans pegged to the specified prime rate, and 0.88% to 1.75% per annum on loans pegged to the adjusted SOFR. The revolving credit commitments under the 2022 Credit Agreement are subject to a commitment fee which is also tied to the Company’s total net leverage ratio, and ranges from 0.13% to 0.28% per annum on the average daily amount by which the aggregate revolving commitments exceed the sum of outstanding revolving loans and letter of credit obligations.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revolving credit facility carried an effective interest rate as shown below:</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Borders>
              <w:bottom w:val="single" w:sz="8" w:color="auto"/>
            </w:tcBorders>
          </w:tcPr>
          <w:p>
            <w:pPr>
              <w:spacing w:after="0"/>
              <w:rPr>
                <w:sz w:val="18"/>
                <w:szCs w:val="18"/>
                <w:color w:val="auto"/>
              </w:rPr>
            </w:pPr>
          </w:p>
        </w:tc>
      </w:tr>
      <w:tr>
        <w:trPr>
          <w:trHeight w:val="205"/>
        </w:trPr>
        <w:tc>
          <w:tcPr>
            <w:tcW w:w="53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31" w:lineRule="exact"/>
        <w:rPr>
          <w:sz w:val="20"/>
          <w:szCs w:val="20"/>
          <w:color w:val="auto"/>
        </w:rPr>
      </w:pPr>
    </w:p>
    <w:p>
      <w:pPr>
        <w:ind w:right="1560" w:firstLine="394"/>
        <w:spacing w:after="0" w:line="426" w:lineRule="auto"/>
        <w:rPr>
          <w:sz w:val="20"/>
          <w:szCs w:val="20"/>
          <w:color w:val="auto"/>
        </w:rPr>
      </w:pPr>
      <w:r>
        <w:rPr>
          <w:rFonts w:ascii="Times New Roman" w:cs="Times New Roman" w:eastAsia="Times New Roman" w:hAnsi="Times New Roman"/>
          <w:sz w:val="18"/>
          <w:szCs w:val="18"/>
          <w:color w:val="auto"/>
        </w:rPr>
        <w:t xml:space="preserve">As of December 31, 2023 and 2022, the Company was in compliance with all financial covenants under the 2022 Credit Agreement. </w:t>
      </w:r>
      <w:r>
        <w:rPr>
          <w:rFonts w:ascii="Times New Roman" w:cs="Times New Roman" w:eastAsia="Times New Roman" w:hAnsi="Times New Roman"/>
          <w:sz w:val="18"/>
          <w:szCs w:val="18"/>
          <w:i w:val="1"/>
          <w:iCs w:val="1"/>
          <w:color w:val="auto"/>
        </w:rPr>
        <w:t>Convertible Senior Notes</w:t>
      </w:r>
    </w:p>
    <w:p>
      <w:pPr>
        <w:spacing w:after="0" w:line="1"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with Orogen Echo LLC (the “Purchaser”), an affiliate of The Orogen Group LLC, relating to the issuance to the Purchaser of $150,000, in an aggregate principal amount (the “Notes”).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the option to redeem the principal amount of the Notes, at its option,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2021, the Notes carried an effective interest rate of 3.6%.</w:t>
      </w:r>
    </w:p>
    <w:p>
      <w:pPr>
        <w:spacing w:after="0" w:line="240"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On August 27, 2021, the Company entered into a Payoff and Termination Agreement with the Purchaser, pursuant to which the Company prepaid and settled its outstanding obligations under the Notes, by electing a combination of cash and shares of the Company’s common stock. During the year ended December 31, 2021, the Company recognized a loss on settlement of the Notes of $12,845, representing the difference between the fair value of the consideration allocated to the debt component and the carrying value of the debt component immediately before settlement, and is presented as “Loss on settlement of convertible notes,” in the Company’s consolidated statements of income. During the year ended December 31, 2021, the Company recognized interest expense and amortization of debt discount of $5,237 on the Notes.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payments for all of the Company’s borrowings as of December 31, 2023 were as follows: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1"/>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680" w:type="dxa"/>
            <w:vAlign w:val="bottom"/>
            <w:tcBorders>
              <w:bottom w:val="single" w:sz="8" w:color="auto"/>
            </w:tcBorders>
          </w:tcPr>
          <w:p>
            <w:pPr>
              <w:spacing w:after="0"/>
              <w:rPr>
                <w:sz w:val="18"/>
                <w:szCs w:val="18"/>
                <w:color w:val="auto"/>
              </w:rPr>
            </w:pPr>
          </w:p>
        </w:tc>
      </w:tr>
      <w:tr>
        <w:trPr>
          <w:trHeight w:val="206"/>
        </w:trPr>
        <w:tc>
          <w:tcPr>
            <w:tcW w:w="3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Principal Payments</w:t>
            </w:r>
          </w:p>
        </w:tc>
        <w:tc>
          <w:tcPr>
            <w:tcW w:w="154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Interest Payments </w:t>
            </w:r>
            <w:r>
              <w:rPr>
                <w:rFonts w:ascii="Times New Roman" w:cs="Times New Roman" w:eastAsia="Times New Roman" w:hAnsi="Times New Roman"/>
                <w:sz w:val="20"/>
                <w:szCs w:val="20"/>
                <w:b w:val="1"/>
                <w:bCs w:val="1"/>
                <w:color w:val="auto"/>
                <w:vertAlign w:val="superscript"/>
              </w:rPr>
              <w:t>(1)</w:t>
            </w:r>
          </w:p>
        </w:tc>
      </w:tr>
      <w:tr>
        <w:trPr>
          <w:trHeight w:val="21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23"/>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42"/>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 Interest payments are based on interest rate prevailing as of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December 31, 2023 and 2022, the Company had outstanding letters of credit of $461, each, that were not recognized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one class of common stock outstanding. Holders of the Company's common stock are entitled to one vote per share. Upon the liquidation or dissolution of the Company, its common stockholders are entitled to receive a ratable share of the available net assets of the Company after payment of all debts and other liabilities. The Company's shares of common stock have no preemptive, subscription, redemption or conversion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Stock Split</w:t>
      </w:r>
    </w:p>
    <w:p>
      <w:pPr>
        <w:spacing w:after="0" w:line="165" w:lineRule="exact"/>
        <w:rPr>
          <w:sz w:val="20"/>
          <w:szCs w:val="20"/>
          <w:color w:val="auto"/>
        </w:rPr>
      </w:pPr>
    </w:p>
    <w:p>
      <w:pPr>
        <w:jc w:val="both"/>
        <w:ind w:firstLine="473"/>
        <w:spacing w:after="0" w:line="252" w:lineRule="auto"/>
        <w:rPr>
          <w:sz w:val="20"/>
          <w:szCs w:val="20"/>
          <w:color w:val="auto"/>
        </w:rPr>
      </w:pPr>
      <w:r>
        <w:rPr>
          <w:rFonts w:ascii="Times New Roman" w:cs="Times New Roman" w:eastAsia="Times New Roman" w:hAnsi="Times New Roman"/>
          <w:sz w:val="18"/>
          <w:szCs w:val="18"/>
          <w:color w:val="auto"/>
        </w:rPr>
        <w:t>On June 20, 2023, the Company’s stockholders approved an amendment to the Company’s Amended and Restated Certificate of Incorporation, which upon filing with the Secretary of State of the State of Delaware on August 1, 2023, and effectiveness thereof, effected a 5-for-1 forward stock split of the Company’s common stock (the “2023 Stock Split”) and an increase in the number of authorized shares of the Company’s common stock from 100,000,000 shares to 400,000,000 shares. The par value of each share of common stock, $0.001, remained unchanged.</w:t>
      </w:r>
    </w:p>
    <w:p>
      <w:pPr>
        <w:spacing w:after="0" w:line="20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Pursuant to the 2023 Stock Split, each stockholder of record on July 25, 2023 holding shares of the Company’s common stock received four additional shares of the Company’s common stock for every one share held. The additional shares were distributed after the close of business on August 1, 2023. The common shares began trading on the Nasdaq Global Select Market on a post-split basis on August 2, 2023.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All share count and per share amounts in the consolidated financial statements have been retrospectively adjusted from January 1, 2021 to reflect the 2023 Stock Split as if it occurred at the beginning of the earliest period presented. An amount equal to the par value of the increased shares resulting from the 2023 Stock Split was reclassified from “Additional paid-in capital” to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65"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from employees in connection with withholding tax payments related to the vesting of restricted stock units and performance-based restricted stock units,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1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 price per share</w:t>
            </w: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41"/>
              <w:spacing w:after="0"/>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164,080</w:t>
            </w:r>
          </w:p>
        </w:tc>
        <w:tc>
          <w:tcPr>
            <w:tcW w:w="80" w:type="dxa"/>
            <w:vAlign w:val="bottom"/>
          </w:tcPr>
          <w:p>
            <w:pPr>
              <w:spacing w:after="0"/>
              <w:rPr>
                <w:sz w:val="19"/>
                <w:szCs w:val="19"/>
                <w:color w:val="auto"/>
              </w:rPr>
            </w:pPr>
          </w:p>
        </w:tc>
        <w:tc>
          <w:tcPr>
            <w:tcW w:w="5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firstLine="439"/>
        <w:spacing w:after="0" w:line="268" w:lineRule="auto"/>
        <w:tabs>
          <w:tab w:leader="none" w:pos="6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155"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On December 16, 2019, the Company’s board of directors authorized a $200,000 common stock repurchase program beginning January 1, 2020 through December 31, 2022 (the “2019 Repurchase Program”).</w:t>
      </w:r>
    </w:p>
    <w:p>
      <w:pPr>
        <w:spacing w:after="0" w:line="181"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On October 5, 2021, the Company’s board of directors authorized a $300,000 (excluding excise tax) common stock repurchase program beginning January 1, 2022 (the “2022 Repurchase Program”), and terminated the 2019 Repurchase Program on December 31, 2021.</w:t>
      </w:r>
    </w:p>
    <w:p>
      <w:pPr>
        <w:spacing w:after="0" w:line="16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0" w:lineRule="exact"/>
        <w:rPr>
          <w:sz w:val="20"/>
          <w:szCs w:val="20"/>
          <w:color w:val="auto"/>
        </w:rPr>
      </w:pPr>
    </w:p>
    <w:p>
      <w:pPr>
        <w:spacing w:after="0" w:line="223"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 and excluding excise tax, under repurchase programs,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purchase price per share</w:t>
            </w:r>
          </w:p>
        </w:tc>
        <w:tc>
          <w:tcPr>
            <w:tcW w:w="0" w:type="dxa"/>
            <w:vAlign w:val="bottom"/>
          </w:tcPr>
          <w:p>
            <w:pPr>
              <w:spacing w:after="0"/>
              <w:rPr>
                <w:sz w:val="1"/>
                <w:szCs w:val="1"/>
                <w:color w:val="auto"/>
              </w:rPr>
            </w:pPr>
          </w:p>
        </w:tc>
      </w:tr>
      <w:tr>
        <w:trPr>
          <w:trHeight w:val="83"/>
        </w:trPr>
        <w:tc>
          <w:tcPr>
            <w:tcW w:w="526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4,127,451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2,519,290</w:t>
            </w:r>
          </w:p>
        </w:tc>
        <w:tc>
          <w:tcPr>
            <w:tcW w:w="8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68,521</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5,436,625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16"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Pursuant to the Inflation Reduction Act, effective January 1, 2023, the Company is required to pay a 1% excise tax on the fair market value of each share of common stock repurchased, net of stock issuances. The Company recognized excise tax of $217 on repurchase of common stock as a part of cost of such repurchases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has not paid or declared any cash dividends on its common stock during the years ended December 31, 2023, 2022 and 2021. The Company’s borrowings under its revolving credit facility could restrict its ability to declare or make any dividends or similar distributions.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50"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8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earned a return of approximately 7.6% per annum on the India Plan for the year ended December 31,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benefit obligation has been measured as of December 31, 2023 and 2022. The following table sets forth the activity and the funded status of the gratuity plans and the amounts recognized in the Company’s consolidated financial statements at the end of the relevant periods:</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as of January 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(1,757)</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Actuarial gain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(2,639)</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(2,346)</w:t>
            </w:r>
          </w:p>
        </w:tc>
        <w:tc>
          <w:tcPr>
            <w:tcW w:w="0" w:type="dxa"/>
            <w:vAlign w:val="bottom"/>
          </w:tcPr>
          <w:p>
            <w:pPr>
              <w:spacing w:after="0"/>
              <w:rPr>
                <w:sz w:val="1"/>
                <w:szCs w:val="1"/>
                <w:color w:val="auto"/>
              </w:rPr>
            </w:pPr>
          </w:p>
        </w:tc>
      </w:tr>
      <w:tr>
        <w:trPr>
          <w:trHeight w:val="24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as of December 31</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24,237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January 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return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Employer contribution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Benefits paid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(1,737)</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(1,490)</w:t>
            </w:r>
          </w:p>
        </w:tc>
        <w:tc>
          <w:tcPr>
            <w:tcW w:w="0" w:type="dxa"/>
            <w:vAlign w:val="bottom"/>
          </w:tcPr>
          <w:p>
            <w:pPr>
              <w:spacing w:after="0"/>
              <w:rPr>
                <w:sz w:val="1"/>
                <w:szCs w:val="1"/>
                <w:color w:val="auto"/>
              </w:rPr>
            </w:pPr>
          </w:p>
        </w:tc>
      </w:tr>
      <w:tr>
        <w:trPr>
          <w:trHeight w:val="26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assets as of December 31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0" w:type="dxa"/>
            <w:vAlign w:val="bottom"/>
          </w:tcPr>
          <w:p>
            <w:pPr>
              <w:spacing w:after="0"/>
              <w:rPr>
                <w:sz w:val="1"/>
                <w:szCs w:val="1"/>
                <w:color w:val="auto"/>
              </w:rPr>
            </w:pP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Unfunded status as of December 31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Unfunded amount recognized in the consolidated balance sheets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liability (included under other non-current liabilities)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liability (included under accrued employee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liability</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83"/>
        </w:trPr>
        <w:tc>
          <w:tcPr>
            <w:tcW w:w="66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as of December 31</w:t>
            </w: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in excess of accumulated benefit obligation as of December 31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399"/>
        <w:spacing w:after="0" w:line="255" w:lineRule="auto"/>
        <w:tabs>
          <w:tab w:leader="none" w:pos="682"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During the years ended December 31, 2023 and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 actuarial gain was driven by changes in actuarial assumptions, offset by experience adjustments on present value of benefit obligations.</w:t>
      </w:r>
    </w:p>
    <w:p>
      <w:pPr>
        <w:spacing w:after="0" w:line="112" w:lineRule="exact"/>
        <w:rPr>
          <w:rFonts w:ascii="Times New Roman" w:cs="Times New Roman" w:eastAsia="Times New Roman" w:hAnsi="Times New Roman"/>
          <w:sz w:val="18"/>
          <w:szCs w:val="18"/>
          <w:i w:val="1"/>
          <w:iCs w:val="1"/>
          <w:color w:val="auto"/>
        </w:rPr>
      </w:pPr>
    </w:p>
    <w:p>
      <w:pPr>
        <w:ind w:left="640" w:hanging="241"/>
        <w:spacing w:after="0"/>
        <w:tabs>
          <w:tab w:leader="none" w:pos="64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Benefits payments were substantially made through the plan assets during the years ended December 31, 2023 and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Components of net periodic benefit costs recognized in consolidated statements of income and actuarial (gain)/loss reclassified from AOCI,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gratuity cost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net of tax</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bl>
    <w:p>
      <w:pPr>
        <w:spacing w:after="0" w:line="200" w:lineRule="exact"/>
        <w:rPr>
          <w:sz w:val="20"/>
          <w:szCs w:val="20"/>
          <w:color w:val="auto"/>
        </w:rPr>
      </w:pPr>
    </w:p>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retirement benefits included in AOCI, excluding tax effects, were as follows:</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55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5"/>
        </w:trPr>
        <w:tc>
          <w:tcPr>
            <w:tcW w:w="55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gain/(loss)</w:t>
            </w:r>
          </w:p>
        </w:tc>
        <w:tc>
          <w:tcPr>
            <w:tcW w:w="88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prior service cost</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recognized in AOCI, excluding tax effects</w:t>
            </w:r>
          </w:p>
        </w:tc>
        <w:tc>
          <w:tcPr>
            <w:tcW w:w="8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actuarial assumptions used to determine benefit obligations and net gratuity cost were:</w:t>
      </w:r>
    </w:p>
    <w:p>
      <w:pPr>
        <w:spacing w:after="0" w:line="20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1040"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3"/>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 per annum</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00" w:lineRule="exact"/>
        <w:rPr>
          <w:sz w:val="20"/>
          <w:szCs w:val="20"/>
          <w:color w:val="auto"/>
        </w:rPr>
      </w:pPr>
    </w:p>
    <w:p>
      <w:pPr>
        <w:spacing w:after="0" w:line="33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Company evaluates these assumptions annually based on its long-term plans of growth and industry standards. The discount rates are either based on current market yields on government securities or yields on government securities adjusted for a suitable risk premium, if available.</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benefit payments during the year ending December 31,</w:t>
            </w: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2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2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2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2029 to 2033</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accrual for contribution to the 401(k) Plans was as follows:</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5"/>
        </w:trPr>
        <w:tc>
          <w:tcPr>
            <w:tcW w:w="6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401(k) Plans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5,967</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5,205</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r>
    </w:tbl>
    <w:p>
      <w:pPr>
        <w:spacing w:after="0" w:line="23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Company’s contribution for various defined social security contribution plans on behalf of employees in foreign subsidiaries of the Company was as follows:</w:t>
      </w:r>
    </w:p>
    <w:p>
      <w:pPr>
        <w:spacing w:after="0" w:line="158"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18415</wp:posOffset>
            </wp:positionV>
            <wp:extent cx="23787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19" w:lineRule="exact"/>
        <w:rPr>
          <w:sz w:val="20"/>
          <w:szCs w:val="20"/>
          <w:color w:val="auto"/>
        </w:rPr>
      </w:pPr>
    </w:p>
    <w:p>
      <w:pPr>
        <w:ind w:left="7000"/>
        <w:spacing w:after="0"/>
        <w:tabs>
          <w:tab w:leader="none" w:pos="8260" w:val="left"/>
          <w:tab w:leader="none" w:pos="952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18415</wp:posOffset>
            </wp:positionV>
            <wp:extent cx="6250940" cy="150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250940" cy="150495"/>
                    </a:xfrm>
                    <a:prstGeom prst="rect">
                      <a:avLst/>
                    </a:prstGeom>
                    <a:noFill/>
                  </pic:spPr>
                </pic:pic>
              </a:graphicData>
            </a:graphic>
          </wp:anchor>
        </w:drawing>
      </w:r>
    </w:p>
    <w:p>
      <w:pPr>
        <w:spacing w:after="0" w:line="17" w:lineRule="exact"/>
        <w:rPr>
          <w:sz w:val="20"/>
          <w:szCs w:val="20"/>
          <w:color w:val="auto"/>
        </w:rPr>
      </w:pPr>
    </w:p>
    <w:p>
      <w:pPr>
        <w:ind w:left="460"/>
        <w:spacing w:after="0"/>
        <w:tabs>
          <w:tab w:leader="none" w:pos="6540" w:val="left"/>
          <w:tab w:leader="none" w:pos="7200" w:val="left"/>
          <w:tab w:leader="none" w:pos="7860" w:val="left"/>
          <w:tab w:leader="none" w:pos="8440" w:val="left"/>
          <w:tab w:leader="none" w:pos="9100" w:val="left"/>
          <w:tab w:leader="none" w:pos="9720" w:val="left"/>
        </w:tabs>
        <w:rPr>
          <w:sz w:val="20"/>
          <w:szCs w:val="20"/>
          <w:color w:val="auto"/>
        </w:rPr>
      </w:pPr>
      <w:r>
        <w:rPr>
          <w:rFonts w:ascii="Times New Roman" w:cs="Times New Roman" w:eastAsia="Times New Roman" w:hAnsi="Times New Roman"/>
          <w:sz w:val="18"/>
          <w:szCs w:val="18"/>
          <w:color w:val="auto"/>
        </w:rPr>
        <w:t>Contributions to the defined social security contribution plans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23,045</w:t>
        <w:tab/>
        <w:t>$</w:t>
      </w:r>
      <w:r>
        <w:rPr>
          <w:sz w:val="20"/>
          <w:szCs w:val="20"/>
          <w:color w:val="auto"/>
        </w:rPr>
        <w:tab/>
      </w:r>
      <w:r>
        <w:rPr>
          <w:rFonts w:ascii="Times New Roman" w:cs="Times New Roman" w:eastAsia="Times New Roman" w:hAnsi="Times New Roman"/>
          <w:sz w:val="18"/>
          <w:szCs w:val="18"/>
          <w:color w:val="auto"/>
        </w:rPr>
        <w:t>18,215</w:t>
        <w:tab/>
        <w:t>$</w:t>
      </w:r>
      <w:r>
        <w:rPr>
          <w:sz w:val="20"/>
          <w:szCs w:val="20"/>
          <w:color w:val="auto"/>
        </w:rPr>
        <w:tab/>
      </w:r>
      <w:r>
        <w:rPr>
          <w:rFonts w:ascii="Times New Roman" w:cs="Times New Roman" w:eastAsia="Times New Roman" w:hAnsi="Times New Roman"/>
          <w:sz w:val="16"/>
          <w:szCs w:val="16"/>
          <w:color w:val="auto"/>
        </w:rPr>
        <w:t>16,340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1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had determined that, except for leases for office facilities, motor vehicles and other equipment as described above, none of the Company’s contracts contain a lease.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86"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r>
      <w:tr>
        <w:trPr>
          <w:trHeight w:val="205"/>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7"/>
                <w:szCs w:val="17"/>
                <w:color w:val="auto"/>
              </w:rPr>
            </w:pPr>
          </w:p>
        </w:tc>
        <w:tc>
          <w:tcPr>
            <w:tcW w:w="14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r>
      <w:tr>
        <w:trPr>
          <w:trHeight w:val="204"/>
        </w:trPr>
        <w:tc>
          <w:tcPr>
            <w:tcW w:w="65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Lease</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61"/>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55,347</w:t>
            </w:r>
          </w:p>
        </w:tc>
      </w:tr>
      <w:tr>
        <w:trPr>
          <w:trHeight w:val="249"/>
        </w:trPr>
        <w:tc>
          <w:tcPr>
            <w:tcW w:w="6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14,978</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48,155</w:t>
            </w:r>
          </w:p>
        </w:tc>
      </w:tr>
      <w:tr>
        <w:trPr>
          <w:trHeight w:val="254"/>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63,133</w:t>
            </w:r>
          </w:p>
        </w:tc>
      </w:tr>
      <w:tr>
        <w:trPr>
          <w:trHeight w:val="223"/>
        </w:trPr>
        <w:tc>
          <w:tcPr>
            <w:tcW w:w="6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6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7"/>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33"/>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2"/>
        </w:trPr>
        <w:tc>
          <w:tcPr>
            <w:tcW w:w="6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consolidated statements of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0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Finance lease: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on underlying ROU assets</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8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Operating lease</w:t>
            </w:r>
            <w:r>
              <w:rPr>
                <w:rFonts w:ascii="Times New Roman" w:cs="Times New Roman" w:eastAsia="Times New Roman" w:hAnsi="Times New Roman"/>
                <w:sz w:val="22"/>
                <w:szCs w:val="22"/>
                <w:b w:val="1"/>
                <w:bCs w:val="1"/>
                <w:color w:val="auto"/>
                <w:vertAlign w:val="superscript"/>
              </w:rPr>
              <w:t>(a)</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costs</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 Includes short-term leases, which are immaterial.</w:t>
            </w: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00" w:type="dxa"/>
            <w:vAlign w:val="bottom"/>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7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02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payments for amounts included in the measurement of lease liabilities :</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20,181</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23,227</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auto"/>
              </w:rPr>
              <w:t>3.1 years</w:t>
            </w:r>
          </w:p>
        </w:tc>
        <w:tc>
          <w:tcPr>
            <w:tcW w:w="3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 years</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gridSpan w:val="5"/>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5.5 years</w:t>
            </w:r>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 years</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4"/>
              </w:rPr>
              <w:t>14.6%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 net increase of its lease liabilities by $8,805 during the year ended December 31, 2023 and a decrease of its lease liabilities by $2,723 during the year ended December 31, 2022, with a corresponding adjustment to ROU assets.</w:t>
      </w:r>
    </w:p>
    <w:p>
      <w:pPr>
        <w:spacing w:after="0" w:line="13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December 31, 2023 and 2022, the Company did not have any significant leases that have not yet commenced but that create significant rights and obligations for the Company.</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impairment of ROU assets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December 31, 2023 were as follows:</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00" w:type="dxa"/>
            <w:vAlign w:val="bottom"/>
          </w:tcPr>
          <w:p>
            <w:pPr>
              <w:spacing w:after="0"/>
              <w:rPr>
                <w:sz w:val="18"/>
                <w:szCs w:val="18"/>
                <w:color w:val="auto"/>
              </w:rPr>
            </w:pPr>
          </w:p>
        </w:tc>
        <w:tc>
          <w:tcPr>
            <w:tcW w:w="170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2"/>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December 31, 2022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8"/>
              </w:rPr>
              <w:t>Operating Leases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 Income Taxes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0" w:type="dxa"/>
            <w:vAlign w:val="bottom"/>
          </w:tcPr>
          <w:p>
            <w:pPr>
              <w:spacing w:after="0"/>
              <w:rPr>
                <w:sz w:val="24"/>
                <w:szCs w:val="24"/>
                <w:color w:val="auto"/>
              </w:rPr>
            </w:pP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components of income/(loss) before income taxes consist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ind w:right="41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257"/>
              <w:spacing w:after="0"/>
              <w:rPr>
                <w:sz w:val="20"/>
                <w:szCs w:val="20"/>
                <w:color w:val="auto"/>
              </w:rPr>
            </w:pPr>
            <w:r>
              <w:rPr>
                <w:rFonts w:ascii="Times New Roman" w:cs="Times New Roman" w:eastAsia="Times New Roman" w:hAnsi="Times New Roman"/>
                <w:sz w:val="18"/>
                <w:szCs w:val="18"/>
                <w:color w:val="auto"/>
                <w:w w:val="95"/>
              </w:rPr>
              <w:t>100,905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8"/>
                <w:szCs w:val="18"/>
                <w:color w:val="auto"/>
                <w:w w:val="95"/>
              </w:rPr>
              <w:t>137,036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109,150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102,802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57"/>
              <w:spacing w:after="0"/>
              <w:rPr>
                <w:sz w:val="20"/>
                <w:szCs w:val="20"/>
                <w:color w:val="auto"/>
              </w:rPr>
            </w:pPr>
            <w:r>
              <w:rPr>
                <w:rFonts w:ascii="Times New Roman" w:cs="Times New Roman" w:eastAsia="Times New Roman" w:hAnsi="Times New Roman"/>
                <w:sz w:val="18"/>
                <w:szCs w:val="18"/>
                <w:color w:val="auto"/>
                <w:w w:val="95"/>
              </w:rPr>
              <w:t>237,941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146,561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4420"/>
              <w:spacing w:after="0"/>
              <w:rPr>
                <w:sz w:val="20"/>
                <w:szCs w:val="20"/>
                <w:color w:val="auto"/>
              </w:rPr>
            </w:pPr>
            <w:r>
              <w:rPr>
                <w:rFonts w:ascii="Times New Roman" w:cs="Times New Roman" w:eastAsia="Times New Roman" w:hAnsi="Times New Roman"/>
                <w:sz w:val="18"/>
                <w:szCs w:val="18"/>
                <w:color w:val="auto"/>
              </w:rPr>
              <w:t>F-48</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tax expense/(benefit) consists of the following:</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54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Current provision:</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100" w:type="dxa"/>
            <w:vAlign w:val="bottom"/>
          </w:tcPr>
          <w:p>
            <w:pPr>
              <w:spacing w:after="0"/>
              <w:rPr>
                <w:sz w:val="19"/>
                <w:szCs w:val="19"/>
                <w:color w:val="auto"/>
              </w:rPr>
            </w:pPr>
          </w:p>
        </w:tc>
        <w:tc>
          <w:tcPr>
            <w:tcW w:w="3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4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provision/(benefit):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00" w:type="dxa"/>
            <w:vAlign w:val="bottom"/>
          </w:tcPr>
          <w:p>
            <w:pPr>
              <w:spacing w:after="0"/>
              <w:rPr>
                <w:sz w:val="19"/>
                <w:szCs w:val="19"/>
                <w:color w:val="auto"/>
              </w:rPr>
            </w:pPr>
          </w:p>
        </w:tc>
        <w:tc>
          <w:tcPr>
            <w:tcW w:w="3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58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taxes benefit / (expense) recognized on:</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3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19"/>
                <w:szCs w:val="19"/>
                <w:color w:val="auto"/>
              </w:rPr>
            </w:pPr>
          </w:p>
        </w:tc>
        <w:tc>
          <w:tcPr>
            <w:tcW w:w="3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5,860</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(incl. effects of tax rate changes)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15,937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2,228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05"/>
        </w:trPr>
        <w:tc>
          <w:tcPr>
            <w:tcW w:w="560" w:type="dxa"/>
            <w:vAlign w:val="bottom"/>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520" w:type="dxa"/>
            <w:vAlign w:val="bottom"/>
          </w:tcPr>
          <w:p>
            <w:pPr>
              <w:spacing w:after="0"/>
              <w:rPr>
                <w:sz w:val="17"/>
                <w:szCs w:val="17"/>
                <w:color w:val="auto"/>
              </w:rPr>
            </w:pPr>
          </w:p>
        </w:tc>
      </w:tr>
      <w:tr>
        <w:trPr>
          <w:trHeight w:val="217"/>
        </w:trPr>
        <w:tc>
          <w:tcPr>
            <w:tcW w:w="56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 expense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52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 on stock-based compensation</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period items</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on settlement of convertible notes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52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tcPr>
          <w:p>
            <w:pPr>
              <w:spacing w:after="0"/>
              <w:rPr>
                <w:sz w:val="19"/>
                <w:szCs w:val="19"/>
                <w:color w:val="auto"/>
              </w:rPr>
            </w:pPr>
          </w:p>
        </w:tc>
      </w:tr>
      <w:tr>
        <w:trPr>
          <w:trHeight w:val="217"/>
        </w:trPr>
        <w:tc>
          <w:tcPr>
            <w:tcW w:w="56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w:t>
            </w:r>
          </w:p>
        </w:tc>
        <w:tc>
          <w:tcPr>
            <w:tcW w:w="10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31,850</w:t>
            </w:r>
          </w:p>
        </w:tc>
        <w:tc>
          <w:tcPr>
            <w:tcW w:w="152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859"/>
        </w:trPr>
        <w:tc>
          <w:tcPr>
            <w:tcW w:w="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F-49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2"/>
        </w:trPr>
        <w:tc>
          <w:tcPr>
            <w:tcW w:w="56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effective tax rate decreased from 25.0% during the year ended December 31, 2022 to 22.5% during the year ended December 31, 2023. The Company recorded income tax expense of $53,536 and $47,565 for the years ended December 31, 2023 and 2022, respectively. While the effective tax rate decreased during the year ended December 31, 2023, the amount of income tax expense increased primarily as a result of higher profit during the year ended December 31, 2023, compared to the year ended December 31, 2022, and an increase in non-deductible expenses, partially offset by higher excess tax benefits related to stock-based compensation during the year ended December 31, 2023, compared to the year ended December 31, 2022.</w:t>
      </w:r>
    </w:p>
    <w:p>
      <w:pPr>
        <w:spacing w:after="0" w:line="130"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During the year ended December 31, 2023, the Company’s foreign subsidiaries in India, the United Kingdom, Australia, Bulgaria and the Czech Republic repatriated an aggregate amount of $136,405 (net of $5,852 withholding taxes) to the United States. These distributions do not constitute a change in the Company’s permanent reinvestment assertion.</w:t>
      </w:r>
    </w:p>
    <w:p>
      <w:pPr>
        <w:spacing w:after="0" w:line="126" w:lineRule="exact"/>
        <w:rPr>
          <w:sz w:val="20"/>
          <w:szCs w:val="20"/>
          <w:color w:val="auto"/>
        </w:rPr>
      </w:pPr>
    </w:p>
    <w:p>
      <w:pPr>
        <w:jc w:val="both"/>
        <w:ind w:firstLine="394"/>
        <w:spacing w:after="0" w:line="271" w:lineRule="auto"/>
        <w:rPr>
          <w:sz w:val="20"/>
          <w:szCs w:val="20"/>
          <w:color w:val="auto"/>
        </w:rPr>
      </w:pPr>
      <w:r>
        <w:rPr>
          <w:rFonts w:ascii="Times New Roman" w:cs="Times New Roman" w:eastAsia="Times New Roman" w:hAnsi="Times New Roman"/>
          <w:sz w:val="16"/>
          <w:szCs w:val="16"/>
          <w:color w:val="auto"/>
        </w:rPr>
        <w:t xml:space="preserve">Effective for taxable years beginning after December 31, 2021, Internal Revenue Code Section 174, </w:t>
      </w:r>
      <w:r>
        <w:rPr>
          <w:rFonts w:ascii="Times New Roman" w:cs="Times New Roman" w:eastAsia="Times New Roman" w:hAnsi="Times New Roman"/>
          <w:sz w:val="16"/>
          <w:szCs w:val="16"/>
          <w:i w:val="1"/>
          <w:iCs w:val="1"/>
          <w:color w:val="auto"/>
        </w:rPr>
        <w:t>Amortization of Research and Experimental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Expenditures</w:t>
      </w:r>
      <w:r>
        <w:rPr>
          <w:rFonts w:ascii="Times New Roman" w:cs="Times New Roman" w:eastAsia="Times New Roman" w:hAnsi="Times New Roman"/>
          <w:sz w:val="16"/>
          <w:szCs w:val="16"/>
          <w:color w:val="auto"/>
        </w:rPr>
        <w:t>, provides that research and experimentation expenses can no longer be currently deducted, instead such expenses are required to be capitalized.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capitalized expenses are to be amortized over a period of five and fifteen years for the U.S. and foreign research, respectively. However, this change has no net impact on the consolidated statements of income for the years ended December 31, 2023 and 2022, due to an offset between current and deferred taxes.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deferred tax balances were as follows:</w:t>
      </w: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r>
      <w:tr>
        <w:trPr>
          <w:trHeight w:val="205"/>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7"/>
                <w:szCs w:val="17"/>
                <w:color w:val="auto"/>
              </w:rPr>
            </w:pPr>
          </w:p>
        </w:tc>
        <w:tc>
          <w:tcPr>
            <w:tcW w:w="16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4"/>
        </w:trPr>
        <w:tc>
          <w:tcPr>
            <w:tcW w:w="61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2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w:t>
            </w:r>
          </w:p>
        </w:tc>
      </w:tr>
      <w:tr>
        <w:trPr>
          <w:trHeight w:val="22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employee costs and other expenses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r>
      <w:tr>
        <w:trPr>
          <w:trHeight w:val="22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unrealized foreign exchange loss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23,572</w:t>
            </w:r>
          </w:p>
        </w:tc>
      </w:tr>
      <w:tr>
        <w:trPr>
          <w:trHeight w:val="22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rent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23"/>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7"/>
        </w:trPr>
        <w:tc>
          <w:tcPr>
            <w:tcW w:w="6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99,498</w:t>
            </w:r>
          </w:p>
        </w:tc>
      </w:tr>
      <w:tr>
        <w:trPr>
          <w:trHeight w:val="223"/>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7"/>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99,189</w:t>
            </w:r>
          </w:p>
        </w:tc>
      </w:tr>
      <w:tr>
        <w:trPr>
          <w:trHeight w:val="72"/>
        </w:trPr>
        <w:tc>
          <w:tcPr>
            <w:tcW w:w="6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22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27,807</w:t>
            </w:r>
          </w:p>
        </w:tc>
      </w:tr>
      <w:tr>
        <w:trPr>
          <w:trHeight w:val="22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Capitalized costs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branch accounting</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23"/>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17"/>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w:t>
            </w:r>
          </w:p>
        </w:tc>
      </w:tr>
      <w:tr>
        <w:trPr>
          <w:trHeight w:val="21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55,244</w:t>
            </w:r>
          </w:p>
        </w:tc>
      </w:tr>
      <w:tr>
        <w:trPr>
          <w:trHeight w:val="20"/>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The Company performed an analysis of the realizability deferred tax assets as of December 31, 2023 and 2022, and recorded a valuation allowance of $482 and $309,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 xml:space="preserve">The Company’s income tax expense also includes provisions established for uncertain income tax positions determined in accordance with Financial Accounting Standards Board Interpretation No.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Company monitors and adjusts these reserves in light of changing facts and circumstances. To the extent that the final tax outcome of these matters differs from the amounts recorded, such differences will impact the income tax expense in the period in which such determination is made.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5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Increases/(decreases) related to prior year tax positions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6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tax benefits as of December 31, 2023 of $1,262, if recognized, would impact the effective tax rate.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and 2022, the Company has not accrued interest and penalties relating to unrecognized tax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50"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Prior period information has been adjusted to reflect the 5-for-1 forward stock split of the Company’s common stock effected in August 2023. Refer to Note 19 – Capital Structure to the consolidated financial statements for further details.</w:t>
      </w:r>
    </w:p>
    <w:p>
      <w:pPr>
        <w:spacing w:after="0" w:line="234"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On June 15, 2018, at the Company’s 2018 Annual Meeting of Stockholders, the Company's stockholders approved the 2018 Omnibus Incentive Plan, which among other things, reserves 15,875,000 shares of the Company’s common stock for grants of awards under the 2018 Omnibus Incentive Plan. As of December 31, 2023, the Company had 3,249,875 shares available for grant under the 2018 Omnibus Incentive Plan.</w:t>
      </w:r>
    </w:p>
    <w:p>
      <w:pPr>
        <w:spacing w:after="0" w:line="207" w:lineRule="exact"/>
        <w:rPr>
          <w:sz w:val="20"/>
          <w:szCs w:val="20"/>
          <w:color w:val="auto"/>
        </w:rPr>
      </w:pPr>
    </w:p>
    <w:p>
      <w:pPr>
        <w:jc w:val="both"/>
        <w:ind w:right="200" w:firstLine="434"/>
        <w:spacing w:after="0" w:line="235" w:lineRule="auto"/>
        <w:rPr>
          <w:sz w:val="20"/>
          <w:szCs w:val="20"/>
          <w:color w:val="auto"/>
        </w:rPr>
      </w:pPr>
      <w:r>
        <w:rPr>
          <w:rFonts w:ascii="Times New Roman" w:cs="Times New Roman" w:eastAsia="Times New Roman" w:hAnsi="Times New Roman"/>
          <w:sz w:val="18"/>
          <w:szCs w:val="18"/>
          <w:color w:val="auto"/>
        </w:rPr>
        <w:t>Under the 2018 Omnibus Incentive Plan, the Compensation and Talent Management Committee (the “Committee”) may grant awards of non-qualified stock options, incentive stock options, stock appreciation rights, restricted stock, restricted stock units, stock bonus awards, performance-based compensation awards (including cash bonus awards and market condition based awards) or any combination of the foregoing.</w:t>
      </w:r>
    </w:p>
    <w:p>
      <w:pPr>
        <w:spacing w:after="0" w:line="14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Stock options have a contractual period of ten years from the date of grant and vest ratably over four years. Restricted stock units generally vest proportionally over a period of four years from the date of grant, unless specified otherwise.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Stock-based compensation expense by nature of function, as below, are included in the consolidated statements of income:</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38,621</w:t>
            </w:r>
          </w:p>
        </w:tc>
      </w:tr>
      <w:tr>
        <w:trPr>
          <w:trHeight w:val="83"/>
        </w:trPr>
        <w:tc>
          <w:tcPr>
            <w:tcW w:w="5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304"/>
        </w:trPr>
        <w:tc>
          <w:tcPr>
            <w:tcW w:w="54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Income tax benefit related to stock-based compensation </w:t>
            </w:r>
            <w:r>
              <w:rPr>
                <w:rFonts w:ascii="Times New Roman" w:cs="Times New Roman" w:eastAsia="Times New Roman" w:hAnsi="Times New Roman"/>
                <w:sz w:val="22"/>
                <w:szCs w:val="22"/>
                <w:color w:val="auto"/>
                <w:vertAlign w:val="superscript"/>
              </w:rPr>
              <w:t>(1)</w:t>
            </w:r>
          </w:p>
        </w:tc>
        <w:tc>
          <w:tcPr>
            <w:tcW w:w="30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9,424</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439"/>
        <w:spacing w:after="0" w:line="270" w:lineRule="auto"/>
        <w:tabs>
          <w:tab w:leader="none" w:pos="68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$15,055, $5,881 and $3,651 during the years ended December 31, 2023, 2022 and 2021, respectively, related to discrete benefits recognized in income tax expense in accordance with ASU No. 2016-09, Compensation - Stock Compensation.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as of December 31, 2022</w:t>
      </w:r>
    </w:p>
    <w:p>
      <w:pPr>
        <w:spacing w:after="0" w:line="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Granted</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Exercised</w:t>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Forfeited</w:t>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as of December 31, 2023</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Vested and exercisable as of December 31, 2023</w:t>
      </w:r>
    </w:p>
    <w:p>
      <w:pPr>
        <w:spacing w:after="0" w:line="43" w:lineRule="exact"/>
        <w:rPr>
          <w:sz w:val="20"/>
          <w:szCs w:val="20"/>
          <w:color w:val="auto"/>
        </w:rPr>
      </w:pPr>
    </w:p>
    <w:p>
      <w:pPr>
        <w:ind w:left="580"/>
        <w:spacing w:after="0" w:line="231" w:lineRule="auto"/>
        <w:rPr>
          <w:sz w:val="20"/>
          <w:szCs w:val="20"/>
          <w:color w:val="auto"/>
        </w:rPr>
      </w:pPr>
      <w:r>
        <w:rPr>
          <w:rFonts w:ascii="Times New Roman" w:cs="Times New Roman" w:eastAsia="Times New Roman" w:hAnsi="Times New Roman"/>
          <w:sz w:val="18"/>
          <w:szCs w:val="18"/>
          <w:color w:val="auto"/>
        </w:rPr>
        <w:t>Weighted average grant date fair value of per unit of stock option granted during the period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9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06"/>
        </w:trPr>
        <w:tc>
          <w:tcPr>
            <w:tcW w:w="14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1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Contractual Life (Years)</w:t>
            </w: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1,790,695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2"/>
        </w:trPr>
        <w:tc>
          <w:tcPr>
            <w:tcW w:w="34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-2837815</wp:posOffset>
            </wp:positionH>
            <wp:positionV relativeFrom="paragraph">
              <wp:posOffset>-1158875</wp:posOffset>
            </wp:positionV>
            <wp:extent cx="6693535" cy="150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6693535" cy="15049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-866775</wp:posOffset>
            </wp:positionV>
            <wp:extent cx="6693535" cy="141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6693535" cy="14160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-582930</wp:posOffset>
            </wp:positionV>
            <wp:extent cx="6693535" cy="167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6693535" cy="167005"/>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-257810</wp:posOffset>
            </wp:positionV>
            <wp:extent cx="6693535" cy="2584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6693535" cy="25844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660" w:space="380"/>
            <w:col w:w="6200"/>
          </w:cols>
          <w:pgMar w:left="320" w:top="119" w:right="339" w:bottom="1440" w:gutter="0" w:footer="0" w:header="0"/>
          <w:type w:val="continuous"/>
        </w:sect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Stock options granted under the 2018 Omnibus Incentive Plan during the year ended December 31, 2023, have a contractual period of ten years and vest ratably over four years.</w:t>
      </w:r>
    </w:p>
    <w:p>
      <w:pPr>
        <w:spacing w:after="0" w:line="195"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fair value of each stock option granted to employees is estimated on the date of grant using the Black-Scholes option-pricing model with the following assumptions:</w:t>
      </w:r>
    </w:p>
    <w:tbl>
      <w:tblPr>
        <w:tblLayout w:type="fixed"/>
        <w:tblInd w:w="17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60" w:type="dxa"/>
            <w:vAlign w:val="bottom"/>
          </w:tcPr>
          <w:p>
            <w:pPr>
              <w:jc w:val="right"/>
              <w:ind w:right="21"/>
              <w:spacing w:after="0" w:line="161" w:lineRule="exact"/>
              <w:rPr>
                <w:sz w:val="20"/>
                <w:szCs w:val="20"/>
                <w:color w:val="auto"/>
              </w:rPr>
            </w:pPr>
            <w:r>
              <w:rPr>
                <w:rFonts w:ascii="Times New Roman" w:cs="Times New Roman" w:eastAsia="Times New Roman" w:hAnsi="Times New Roman"/>
                <w:sz w:val="16"/>
                <w:szCs w:val="16"/>
                <w:b w:val="1"/>
                <w:bCs w:val="1"/>
                <w:color w:val="auto"/>
              </w:rPr>
              <w:t>Year ended December</w:t>
            </w:r>
          </w:p>
        </w:tc>
      </w:tr>
      <w:tr>
        <w:trPr>
          <w:trHeight w:val="209"/>
        </w:trPr>
        <w:tc>
          <w:tcPr>
            <w:tcW w:w="36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31, 2023</w:t>
            </w:r>
          </w:p>
        </w:tc>
      </w:tr>
      <w:tr>
        <w:trPr>
          <w:trHeight w:val="20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free interest rate for expected life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 for expected life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r>
    </w:tbl>
    <w:p>
      <w:pPr>
        <w:spacing w:after="0" w:line="31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Company does not anticipate paying any cash dividends in the foreseeable future and therefore uses an expected dividend yield of zero in the option valuation model.</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unrecognized compensation cost of $18,717 is expected to be expensed over a weighted average period of 3.5 years.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grant date fair value of stock options exercised and cash received from stock options exercised was as follows: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30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5"/>
        </w:trPr>
        <w:tc>
          <w:tcPr>
            <w:tcW w:w="30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fair value</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Matching Program</w:t>
      </w:r>
    </w:p>
    <w:p>
      <w:pPr>
        <w:spacing w:after="0" w:line="16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 For purposes of the match, “newly acquired shares” includes the employee’s first quarter 2022 open market purchase of the common stock,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crediting of equity awards vesting under any existing stock award plan of the Company as having been purchased by such employees, in an amount between $100 to $500 per such employee.</w:t>
      </w:r>
    </w:p>
    <w:p>
      <w:pPr>
        <w:spacing w:after="0" w:line="116"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The matching restricted stock units granted under the SMP will vest in two installments, with one-third to vest on the second anniversary of the grant date and the remaining two-thirds to vest on the third anniversary of the grant date; the newly acquired shares for which the matching restricted stock units were granted must also be held by the employee until such vesting dates. The Company’s underlying common stock issued pursuant to the vesting of the matching restricted stock units will not be marketable or transferable for a period of two years following the vesting date. Certain forfeiture and other conditions apply.</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SMP is shown below:</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Restricted Stock Units (SMP)</w:t>
            </w:r>
          </w:p>
        </w:tc>
        <w:tc>
          <w:tcPr>
            <w:tcW w:w="0" w:type="dxa"/>
            <w:vAlign w:val="bottom"/>
          </w:tcPr>
          <w:p>
            <w:pPr>
              <w:spacing w:after="0"/>
              <w:rPr>
                <w:sz w:val="1"/>
                <w:szCs w:val="1"/>
                <w:color w:val="auto"/>
              </w:rPr>
            </w:pPr>
          </w:p>
        </w:tc>
      </w:tr>
      <w:tr>
        <w:trPr>
          <w:trHeight w:val="153"/>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3"/>
                <w:szCs w:val="13"/>
                <w:color w:val="auto"/>
              </w:rPr>
            </w:pPr>
          </w:p>
        </w:tc>
        <w:tc>
          <w:tcPr>
            <w:tcW w:w="1580" w:type="dxa"/>
            <w:vAlign w:val="bottom"/>
          </w:tcPr>
          <w:p>
            <w:pPr>
              <w:jc w:val="right"/>
              <w:ind w:right="17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83"/>
        </w:trPr>
        <w:tc>
          <w:tcPr>
            <w:tcW w:w="51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42"/>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unrecognized compensation cost of $2,255 is expected to be expensed over a weighted average period of 1.3 years.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13" w:lineRule="exact"/>
        <w:rPr>
          <w:sz w:val="20"/>
          <w:szCs w:val="20"/>
          <w:color w:val="auto"/>
        </w:rPr>
      </w:pPr>
    </w:p>
    <w:p>
      <w:pPr>
        <w:jc w:val="both"/>
        <w:ind w:firstLine="434"/>
        <w:spacing w:after="0" w:line="232" w:lineRule="auto"/>
        <w:rPr>
          <w:sz w:val="20"/>
          <w:szCs w:val="20"/>
          <w:color w:val="auto"/>
        </w:rPr>
      </w:pPr>
      <w:r>
        <w:rPr>
          <w:rFonts w:ascii="Times New Roman" w:cs="Times New Roman" w:eastAsia="Times New Roman" w:hAnsi="Times New Roman"/>
          <w:sz w:val="18"/>
          <w:szCs w:val="18"/>
          <w:color w:val="auto"/>
        </w:rPr>
        <w:t>Any cash or in-kind dividends paid with respect to unvested shares of restricted stock units are withheld by the Company and paid to the holder of such shares of restricted stock, without interest, only if and when such shares of restricted stock units vest. Any unvested shares of restricted stock units are immediately forfeited without consideration upon the termination of holder’s employment with the Company or its affiliates. Accordingly, the Company’s unvested restricted stock units do not include non-forfeitable rights to dividends or dividend equivalents and are therefore not considered as participating securities for purposes of earnings per share calculations pursuant to the two-class method.</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203" w:lineRule="exact"/>
        <w:rPr>
          <w:sz w:val="20"/>
          <w:szCs w:val="20"/>
          <w:color w:val="auto"/>
        </w:rPr>
      </w:pPr>
    </w:p>
    <w:tbl>
      <w:tblPr>
        <w:tblLayout w:type="fixed"/>
        <w:tblInd w:w="142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0" w:type="dxa"/>
            <w:vAlign w:val="bottom"/>
          </w:tcPr>
          <w:p>
            <w:pPr>
              <w:spacing w:after="0"/>
              <w:rPr>
                <w:sz w:val="1"/>
                <w:szCs w:val="1"/>
                <w:color w:val="auto"/>
              </w:rPr>
            </w:pPr>
          </w:p>
        </w:tc>
      </w:tr>
      <w:tr>
        <w:trPr>
          <w:trHeight w:val="153"/>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3"/>
                <w:szCs w:val="13"/>
                <w:color w:val="auto"/>
              </w:rPr>
            </w:pPr>
          </w:p>
        </w:tc>
        <w:tc>
          <w:tcPr>
            <w:tcW w:w="1580" w:type="dxa"/>
            <w:vAlign w:val="bottom"/>
          </w:tcPr>
          <w:p>
            <w:pPr>
              <w:jc w:val="right"/>
              <w:ind w:right="19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83"/>
        </w:trPr>
        <w:tc>
          <w:tcPr>
            <w:tcW w:w="51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Outstanding as of December 31, 2022</w:t>
            </w:r>
            <w:r>
              <w:rPr>
                <w:rFonts w:ascii="Times New Roman" w:cs="Times New Roman" w:eastAsia="Times New Roman" w:hAnsi="Times New Roman"/>
                <w:sz w:val="22"/>
                <w:szCs w:val="22"/>
                <w:color w:val="auto"/>
                <w:vertAlign w:val="superscript"/>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42"/>
        </w:trPr>
        <w:tc>
          <w:tcPr>
            <w:tcW w:w="5240" w:type="dxa"/>
            <w:vAlign w:val="bottom"/>
            <w:tcBorders>
              <w:bottom w:val="single" w:sz="8" w:color="CCEEFF"/>
            </w:tcBorders>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Outstanding as of December 31, 2023</w:t>
            </w:r>
            <w:r>
              <w:rPr>
                <w:rFonts w:ascii="Times New Roman" w:cs="Times New Roman" w:eastAsia="Times New Roman" w:hAnsi="Times New Roman"/>
                <w:sz w:val="22"/>
                <w:szCs w:val="22"/>
                <w:color w:val="auto"/>
                <w:vertAlign w:val="superscript"/>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hanging="115"/>
        <w:spacing w:after="0"/>
        <w:tabs>
          <w:tab w:leader="none" w:pos="120" w:val="left"/>
        </w:tabs>
        <w:numPr>
          <w:ilvl w:val="0"/>
          <w:numId w:val="4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December 31, 2023 and 2022, restricted stock units vested for which the underlying common stock is yet to be issued are 324,125 and 872,450, respectively.</w:t>
      </w: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54" w:lineRule="exact"/>
        <w:rPr>
          <w:rFonts w:ascii="Times New Roman" w:cs="Times New Roman" w:eastAsia="Times New Roman" w:hAnsi="Times New Roman"/>
          <w:sz w:val="16"/>
          <w:szCs w:val="16"/>
          <w:i w:val="1"/>
          <w:iCs w:val="1"/>
          <w:color w:val="auto"/>
        </w:rPr>
      </w:pPr>
    </w:p>
    <w:p>
      <w:pPr>
        <w:ind w:left="546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fair value of restricted stock units is generally the market price of the Company’s shares on the date of grant. As of December 31, 2023, unrecognized compensation cost of $59,067 is expected to be expensed over a weighted average period of 2.4 years.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 average fair value of restricted stock units granted and the grant date fair value of restricted stock units vested was as follows:</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360" w:type="dxa"/>
            <w:vAlign w:val="bottom"/>
            <w:tcBorders>
              <w:bottom w:val="single" w:sz="8" w:color="auto"/>
            </w:tcBorders>
          </w:tcPr>
          <w:p>
            <w:pPr>
              <w:spacing w:after="0"/>
              <w:rPr>
                <w:sz w:val="18"/>
                <w:szCs w:val="18"/>
                <w:color w:val="auto"/>
              </w:rPr>
            </w:pPr>
          </w:p>
        </w:tc>
      </w:tr>
      <w:tr>
        <w:trPr>
          <w:trHeight w:val="205"/>
        </w:trPr>
        <w:tc>
          <w:tcPr>
            <w:tcW w:w="54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Stock Awards</w:t>
      </w:r>
    </w:p>
    <w:p>
      <w:pPr>
        <w:spacing w:after="0" w:line="150"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Under the 2018 Plan, the Company grants performance-based restricted stock units (“PRSUs”) to executive officers and other specified employees. During the year ended December 31, 2023,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the total shareholder return relative to a group of peer companies specified under the 2018 Plan, and are measured over a three-year performance period (“MU”).</w:t>
      </w:r>
    </w:p>
    <w:p>
      <w:pPr>
        <w:spacing w:after="0" w:line="14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spacing w:after="0" w:line="13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grant date fair value for each MU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spacing w:after="0" w:line="12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Monte Carlo simulation model simulates a range of possible future stock prices and estimates the probabilities of the potential payouts. This model also incorporates the following ranges of assumptions:</w:t>
      </w:r>
    </w:p>
    <w:p>
      <w:pPr>
        <w:spacing w:after="0" w:line="116" w:lineRule="exact"/>
        <w:rPr>
          <w:sz w:val="20"/>
          <w:szCs w:val="20"/>
          <w:color w:val="auto"/>
        </w:rPr>
      </w:pPr>
    </w:p>
    <w:p>
      <w:pPr>
        <w:ind w:left="640" w:hanging="319"/>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volatilities are used over the most recent three-year period for the components of the peer group.</w:t>
      </w:r>
    </w:p>
    <w:p>
      <w:pPr>
        <w:spacing w:after="0" w:line="20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161" w:lineRule="exact"/>
        <w:rPr>
          <w:rFonts w:ascii="Times New Roman" w:cs="Times New Roman" w:eastAsia="Times New Roman" w:hAnsi="Times New Roman"/>
          <w:sz w:val="18"/>
          <w:szCs w:val="18"/>
          <w:color w:val="auto"/>
        </w:rPr>
      </w:pPr>
    </w:p>
    <w:p>
      <w:pPr>
        <w:ind w:left="640" w:right="660" w:hanging="319"/>
        <w:spacing w:after="0" w:line="268" w:lineRule="auto"/>
        <w:tabs>
          <w:tab w:leader="none" w:pos="6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116" w:lineRule="exact"/>
        <w:rPr>
          <w:rFonts w:ascii="Times New Roman" w:cs="Times New Roman" w:eastAsia="Times New Roman" w:hAnsi="Times New Roman"/>
          <w:sz w:val="18"/>
          <w:szCs w:val="18"/>
          <w:color w:val="auto"/>
        </w:rPr>
      </w:pPr>
    </w:p>
    <w:p>
      <w:pPr>
        <w:ind w:left="640" w:right="160" w:hanging="319"/>
        <w:spacing w:after="0" w:line="268" w:lineRule="auto"/>
        <w:tabs>
          <w:tab w:leader="none" w:pos="6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coefficients are used to model the way in which each entity tends to move in relation to each other are based upon the price data used to calculate the historical volatilities.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each MU granted to employees is estimated on the date of grant using the following weighted average assumptions:</w:t>
      </w:r>
    </w:p>
    <w:p>
      <w:pPr>
        <w:spacing w:after="0" w:line="19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for expected life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for expected life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455"/>
        </w:trPr>
        <w:tc>
          <w:tcPr>
            <w:tcW w:w="55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6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Revenue-Based PRSUs</w:t>
            </w: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Market Condition-Based PRSUs</w:t>
            </w:r>
          </w:p>
        </w:tc>
        <w:tc>
          <w:tcPr>
            <w:tcW w:w="0" w:type="dxa"/>
            <w:vAlign w:val="bottom"/>
          </w:tcPr>
          <w:p>
            <w:pPr>
              <w:spacing w:after="0"/>
              <w:rPr>
                <w:sz w:val="1"/>
                <w:szCs w:val="1"/>
                <w:color w:val="auto"/>
              </w:rPr>
            </w:pPr>
          </w:p>
        </w:tc>
      </w:tr>
      <w:tr>
        <w:trPr>
          <w:trHeight w:val="24"/>
        </w:trPr>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98"/>
              <w:spacing w:after="0" w:line="125"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0" w:type="dxa"/>
            <w:vAlign w:val="bottom"/>
          </w:tcPr>
          <w:p>
            <w:pPr>
              <w:spacing w:after="0"/>
              <w:rPr>
                <w:sz w:val="10"/>
                <w:szCs w:val="10"/>
                <w:color w:val="auto"/>
              </w:rPr>
            </w:pPr>
          </w:p>
        </w:tc>
        <w:tc>
          <w:tcPr>
            <w:tcW w:w="360" w:type="dxa"/>
            <w:vAlign w:val="bottom"/>
            <w:tcBorders>
              <w:top w:val="single" w:sz="8" w:color="auto"/>
            </w:tcBorders>
            <w:gridSpan w:val="2"/>
          </w:tcPr>
          <w:p>
            <w:pPr>
              <w:spacing w:after="0"/>
              <w:rPr>
                <w:sz w:val="10"/>
                <w:szCs w:val="10"/>
                <w:color w:val="auto"/>
              </w:rPr>
            </w:pPr>
          </w:p>
        </w:tc>
        <w:tc>
          <w:tcPr>
            <w:tcW w:w="1020" w:type="dxa"/>
            <w:vAlign w:val="bottom"/>
            <w:tcBorders>
              <w:top w:val="single" w:sz="8" w:color="auto"/>
            </w:tcBorders>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241"/>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893,560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Adjustment upon final determination of level of</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goal achievement*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0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0" w:firstLine="399"/>
        <w:spacing w:after="0" w:line="268" w:lineRule="auto"/>
        <w:tabs>
          <w:tab w:leader="none" w:pos="533" w:val="left"/>
        </w:tabs>
        <w:numPr>
          <w:ilvl w:val="0"/>
          <w:numId w:val="4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Represents adjustment of shares vested in respect of MUs granted in February 2021 upon achievement of the performance targets for such awards for which the underlying common stock was issued subsequent to December 31, 2023.</w:t>
      </w:r>
    </w:p>
    <w:p>
      <w:pPr>
        <w:spacing w:after="0" w:line="116" w:lineRule="exact"/>
        <w:rPr>
          <w:sz w:val="20"/>
          <w:szCs w:val="20"/>
          <w:color w:val="auto"/>
        </w:rPr>
      </w:pPr>
    </w:p>
    <w:p>
      <w:pPr>
        <w:ind w:left="20" w:right="760" w:firstLine="434"/>
        <w:spacing w:after="0" w:line="426" w:lineRule="auto"/>
        <w:rPr>
          <w:sz w:val="20"/>
          <w:szCs w:val="20"/>
          <w:color w:val="auto"/>
        </w:rPr>
      </w:pPr>
      <w:r>
        <w:rPr>
          <w:rFonts w:ascii="Times New Roman" w:cs="Times New Roman" w:eastAsia="Times New Roman" w:hAnsi="Times New Roman"/>
          <w:sz w:val="18"/>
          <w:szCs w:val="18"/>
          <w:color w:val="auto"/>
        </w:rPr>
        <w:t xml:space="preserve">As of December 31, 2023, unrecognized compensation cost of $22,564 is expected to be expensed over a weighted average period of 1.5 years.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jc w:val="both"/>
        <w:ind w:left="20" w:firstLine="434"/>
        <w:spacing w:after="0" w:line="268"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16" w:lineRule="exact"/>
        <w:rPr>
          <w:sz w:val="20"/>
          <w:szCs w:val="20"/>
          <w:color w:val="auto"/>
        </w:rPr>
      </w:pPr>
    </w:p>
    <w:p>
      <w:pPr>
        <w:jc w:val="both"/>
        <w:ind w:left="20" w:firstLine="394"/>
        <w:spacing w:after="0" w:line="249"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third offering period under the 2022 ESPP commenced on July 1, 2023 with a term of six months.</w:t>
      </w:r>
    </w:p>
    <w:p>
      <w:pPr>
        <w:sectPr>
          <w:pgSz w:w="11900" w:h="16838" w:orient="portrait"/>
          <w:cols w:equalWidth="0" w:num="1">
            <w:col w:w="11260"/>
          </w:cols>
          <w:pgMar w:left="30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580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Total Proceeds Received</w:t>
            </w: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the: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offering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3"/>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Second offering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(130,495)</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51"/>
        </w:trPr>
        <w:tc>
          <w:tcPr>
            <w:tcW w:w="580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Issuance of common stock related to the third offering</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made subsequent to December 31,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ESPP is compensatory and results in compensation expense. The fair value of common stock to be issued under the ESPP was determined using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with the following assumptions: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Third offering period of</w:t>
            </w:r>
          </w:p>
        </w:tc>
        <w:tc>
          <w:tcPr>
            <w:tcW w:w="2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Second offering period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First offering period of</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4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July 1, 2023 to December 31,</w:t>
            </w:r>
          </w:p>
        </w:tc>
        <w:tc>
          <w:tcPr>
            <w:tcW w:w="2400" w:type="dxa"/>
            <w:vAlign w:val="bottom"/>
            <w:gridSpan w:val="2"/>
            <w:vMerge w:val="continue"/>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October 1, 2022 to December 31,</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January 1, 2023 to June 30, 2023</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217"/>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for expected life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for expected life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illiquidity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163"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In April 2022, the Company entered into a service contract for providing analytics services to The Vanguard Group Inc., which beneficially owns more than 10% of the Company’s common stock as of December 31, 2023. During the year ended December 31, 2023 and 2022, the Company recognized revenues, net of $1,975 and $2,258, respectively, related to this service contract. The Company had outstanding accounts receivable, net of $209 and $856 related to this service contract as of December 31, 2023 and 2022, respectively.</w:t>
      </w:r>
    </w:p>
    <w:p>
      <w:pPr>
        <w:spacing w:after="0" w:line="194"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 The Company settled the Notes on August 27, 2021. Refer to Note 18 - Borrowings to the consolidated financial statements for further details.</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transactions with the Purchaser were recognized by the Company in connection with the Notes during the year ended December 31, 2021:</w:t>
      </w:r>
    </w:p>
    <w:p>
      <w:pPr>
        <w:spacing w:after="0" w:line="229" w:lineRule="exact"/>
        <w:rPr>
          <w:sz w:val="20"/>
          <w:szCs w:val="20"/>
          <w:color w:val="auto"/>
        </w:rPr>
      </w:pPr>
    </w:p>
    <w:tbl>
      <w:tblPr>
        <w:tblLayout w:type="fixed"/>
        <w:tblInd w:w="1100" w:type="dxa"/>
        <w:tblCellMar>
          <w:top w:w="0" w:type="dxa"/>
          <w:left w:w="0" w:type="dxa"/>
          <w:bottom w:w="0" w:type="dxa"/>
          <w:right w:w="0" w:type="dxa"/>
        </w:tblCellMar>
      </w:tblP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the Notes in cash</w:t>
            </w:r>
          </w:p>
        </w:tc>
        <w:tc>
          <w:tcPr>
            <w:tcW w:w="12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the Notes in shares</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36,742</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the Notes</w:t>
            </w:r>
          </w:p>
        </w:tc>
        <w:tc>
          <w:tcPr>
            <w:tcW w:w="12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committed to spend approximately $7,100 and $9,700, respectively, under agreements to purchase property and equipment. This amount is net of capital advances paid which are recognized in consolidated balance sheets as “Capital work in progress” under “Property and equipment.”</w:t>
      </w:r>
    </w:p>
    <w:p>
      <w:pPr>
        <w:spacing w:after="0" w:line="12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During the year ended December 31, 2023, the Company invested $600 in the Partnership and is committed under the Partnership to make further investments up to an amount of $3,400.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52"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9" w:lineRule="exact"/>
        <w:rPr>
          <w:sz w:val="20"/>
          <w:szCs w:val="20"/>
          <w:color w:val="auto"/>
        </w:rPr>
      </w:pPr>
    </w:p>
    <w:p>
      <w:pPr>
        <w:jc w:val="both"/>
        <w:ind w:firstLine="434"/>
        <w:spacing w:after="0" w:line="285" w:lineRule="auto"/>
        <w:rPr>
          <w:sz w:val="20"/>
          <w:szCs w:val="20"/>
          <w:color w:val="auto"/>
        </w:rPr>
      </w:pPr>
      <w:r>
        <w:rPr>
          <w:rFonts w:ascii="Times New Roman" w:cs="Times New Roman" w:eastAsia="Times New Roman" w:hAnsi="Times New Roman"/>
          <w:sz w:val="16"/>
          <w:szCs w:val="16"/>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3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December 31, 2023 and 2022 is $36,694 and $37,088, respectively. The Company has made payments and/or provided bank guarantees against these demands in the amounts of $7,227 and $7,532, as of December 31, 2023 and 2022,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122"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India’s Value Added Tax (“VAT”) regime ended in June 2017 and was replaced by the current Goods and Service Tax (“GST”) regime. Pursuant to reviewing the Company’s annual VAT filings, the Indian tax authorities raised aggregate VAT demands for tax years 2015 and 2017, in the amounts of $5,493 and $5,526, as of December 31, 2023 and 2022, respectively. The Company has provided bank guarantees against these demands in the amounts of $4,570 and $nil, as of December 31, 2023 and 2022, respectively. The GST authorities rejected the Company’s refund claims in the amounts of $4,748 and $3,866 as of December 31, 2023 and 2022, respectively. The Company has filed appeals against these matters and believes that it is more likely than not that upon final examination its position will be sustained based on its technical merits. Accordingly, no provision was recognized as of December 31, 2023 and 2022, respectively.</w:t>
      </w:r>
    </w:p>
    <w:p>
      <w:pPr>
        <w:spacing w:after="0" w:line="210"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One of the Company’s subsidiary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against the assessment order and has accordingly instituted an appeal against the order before the relevant tribunal while also making a payment under protest of the amount demanded.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spacing w:after="0" w:line="129" w:lineRule="exact"/>
        <w:rPr>
          <w:sz w:val="20"/>
          <w:szCs w:val="20"/>
          <w:color w:val="auto"/>
        </w:rPr>
      </w:pPr>
    </w:p>
    <w:p>
      <w:pPr>
        <w:jc w:val="both"/>
        <w:ind w:firstLine="434"/>
        <w:spacing w:after="0" w:line="232"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143"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16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common stock repurchase program (the “2024 Repurchase Program”), effective March 1, 2024, for a two-year period, in line with its capital allocation strategy. Under the 2024 Repurchase Program, shares may be purchased by the Company from time to time from the open market and through private transactions, or otherwise, as determined by the Company’s management as market conditions warrant. Repurchases may be discontinued at any time by the management. The 2024 Repurchase Program replaces the 2022 Repurchase Program, which was terminated effective February 29,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1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 OF 1934</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of the date of this Annual Report on Form 10-K, ExlService Holdings, Inc., has one class of securities registered under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following descriptions of our capital stock and of certain provisions of our restated certificate of incorporation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sixth amended and restated by-laws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certain provisions of Delaware law do not purport to be complete and are subject to and qualified in their entirety by reference to the full text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our by-laws, and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References in this section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ExlService Holdings, Inc. and not to any of its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authorized capital stock consists of 400,000,000 shares of common stock and 15,000,000 of preferred stock. No shares of preferred stock are outstanding.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stockholders, including the election of directors. Holders of the common stock do not have cumulative voting rights, which means that the holders of a majority of the shares of common stock cast in the election of a director in an uncontested election (as defined in our by-laws) can elect each director then being elected.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common stock do not have any preemptive rights under our certificate of incorporation or by-laws.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Liquidation Rights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conversion, redemption or sinking fund provisions apply to our common stock, and all of the outstanding shares of common stock are fully paid and nonassessable. The rights, preferences and privileges of holders of common stock are subject to the rights of the holders of shares of any series of preferred stock that may be issued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authorized, without shareholder approval,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Certificate of Incorporation, By-Law and Statutory Provisions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provisions of our certificate of incorporation and by-laws and of the DGCL summarized below may have an anti-takeover effect and may delay, defer or prevent a tender offer or takeover attempt that a holder of shares of our common stock might consider in its interest, including an attempt that might result in a receipt of a premium over the market price for such shares.</w:t>
      </w:r>
    </w:p>
    <w:p>
      <w:pPr>
        <w:sectPr>
          <w:pgSz w:w="11900" w:h="16838" w:orient="portrait"/>
          <w:cols w:equalWidth="0" w:num="1">
            <w:col w:w="11240"/>
          </w:cols>
          <w:pgMar w:left="320" w:top="86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Liability; Indemnification of Directors and Officers</w:t>
      </w:r>
    </w:p>
    <w:p>
      <w:pPr>
        <w:spacing w:after="0" w:line="2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Our certificate of incorporation provides that a director will not be personally liable to us or our stockholders for monetary damages for breach of fiduciary duty as a director, except:</w:t>
      </w:r>
    </w:p>
    <w:p>
      <w:pPr>
        <w:spacing w:after="0" w:line="195" w:lineRule="exact"/>
        <w:rPr>
          <w:sz w:val="20"/>
          <w:szCs w:val="20"/>
          <w:color w:val="auto"/>
        </w:rPr>
      </w:pPr>
    </w:p>
    <w:p>
      <w:pPr>
        <w:ind w:left="640" w:hanging="319"/>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duty of loyalty;</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knowing violations of law;</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liability under Section 174 of the DGCL (relating to unlawful dividends, stock repurchases, or stock redemptions); or</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any improper personal benefit.</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Advance Notice Requirements for Stockholder Proposals and Director Nominations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205" w:lineRule="exact"/>
        <w:rPr>
          <w:sz w:val="20"/>
          <w:szCs w:val="20"/>
          <w:color w:val="auto"/>
        </w:rPr>
      </w:pPr>
    </w:p>
    <w:p>
      <w:pPr>
        <w:ind w:left="640" w:hanging="319"/>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nominate candidates for election as a director; and</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propose topics for consideration at stockholders’ meetings.</w:t>
      </w:r>
    </w:p>
    <w:p>
      <w:pPr>
        <w:spacing w:after="0" w:line="2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have a classified board of directors. All of our directors are elected annually. The number of directors comprising our board of directors is fixed from time to time by the board of directors. Our certificate of incorporation and by-laws provide that our stockholders may remove directors with or without cause by the affirmative vote of the holders of at least a majority of the total voting power of our issued and outstanding capital stock entitled to vote in the election of directors. Our board of</w:t>
      </w:r>
    </w:p>
    <w:p>
      <w:pPr>
        <w:sectPr>
          <w:pgSz w:w="11900" w:h="16838" w:orient="portrait"/>
          <w:cols w:equalWidth="0" w:num="1">
            <w:col w:w="11240"/>
          </w:cols>
          <w:pgMar w:left="320" w:top="1103" w:right="339" w:bottom="1440" w:gutter="0" w:footer="0" w:header="0"/>
        </w:sectPr>
      </w:pPr>
    </w:p>
    <w:bookmarkStart w:id="118" w:name="page119"/>
    <w:bookmarkEnd w:id="118"/>
    <w:p>
      <w:pPr>
        <w:jc w:val="both"/>
        <w:spacing w:after="0" w:line="256" w:lineRule="auto"/>
        <w:rPr>
          <w:sz w:val="20"/>
          <w:szCs w:val="20"/>
          <w:color w:val="auto"/>
        </w:rPr>
      </w:pPr>
      <w:r>
        <w:rPr>
          <w:rFonts w:ascii="Times New Roman" w:cs="Times New Roman" w:eastAsia="Times New Roman" w:hAnsi="Times New Roman"/>
          <w:sz w:val="18"/>
          <w:szCs w:val="18"/>
          <w:color w:val="auto"/>
        </w:rPr>
        <w:t>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 by limiting the methods available for removing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do not provide for cumulative voting in the election of directors.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certificate of incorporation provides that the affirmative vote of the holders of at least 66⅔% of the voting power of our issued and outstanding capital stock entitled to vote in the election of directors, is required to amend the following provisions of our certificate of incorporation:</w:t>
      </w:r>
    </w:p>
    <w:p>
      <w:pPr>
        <w:spacing w:after="0" w:line="195" w:lineRule="exact"/>
        <w:rPr>
          <w:sz w:val="20"/>
          <w:szCs w:val="20"/>
          <w:color w:val="auto"/>
        </w:rPr>
      </w:pPr>
    </w:p>
    <w:p>
      <w:pPr>
        <w:ind w:left="640" w:hanging="319"/>
        <w:spacing w:after="0" w:line="254" w:lineRule="auto"/>
        <w:tabs>
          <w:tab w:leader="none" w:pos="6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number and election of directors, the appointment of directors upon an increase in the number of directors or vacancy, and the provisions relating to the removal of directors;</w:t>
      </w:r>
    </w:p>
    <w:p>
      <w:pPr>
        <w:ind w:left="640" w:hanging="319"/>
        <w:spacing w:after="0" w:line="243" w:lineRule="auto"/>
        <w:tabs>
          <w:tab w:leader="none" w:pos="6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a 66⅔% stockholder vote for the amendment of certain provisions of our articles of incorporation and for the adoption, amendment or repeal of our by-laws;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restrictions on stockholder actions by written consent;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calling of meetings of stockholders.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board of directors is permitted to alter our by-laws without obtaining stockholder approval and the affirmative vote of holders of at least 66⅔% of the voting power of our issued and outstanding capital stock entitled to vote in the election of directors is required for any amendment to our by-laws by the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are subject to the provisions of Section 203 of the DGCL. In general, Section 203 prevents an interested stockholder (defined generally as a person owning 15% or more of the corporation’s outstanding capital stock entitled to vote generally in the election of directors) of a Delaware corporation from engaging in a business combination (as defined) for three years following the date that person became an interested stockholder unless various conditions are satisfied.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be the sole and exclusive forum for any state law claim for (i) any derivative action or proceeding brought on our behalf; (ii) any action or proceeding asserting a claim of breach of a fiduciary duty owed by, or other wrongdoing by, any of our directors, officers, employees and agents to us or our stockholders; (iii) any action or proceeding asserting a claim arising pursuant to any provision of the DGCL, our certificate of incorporation or our by-laws; (iv) any action or proceeding as to which the DGCL confers jurisdiction on the Court of Chancery; or (v) any action or proceeding asserting a claim that is governed by the internal affairs doctrine (the “</w:t>
      </w:r>
      <w:r>
        <w:rPr>
          <w:rFonts w:ascii="Times New Roman" w:cs="Times New Roman" w:eastAsia="Times New Roman" w:hAnsi="Times New Roman"/>
          <w:sz w:val="18"/>
          <w:szCs w:val="18"/>
          <w:b w:val="1"/>
          <w:bCs w:val="1"/>
          <w:color w:val="auto"/>
        </w:rPr>
        <w:t>Delaware Forum Provision</w:t>
      </w:r>
      <w:r>
        <w:rPr>
          <w:rFonts w:ascii="Times New Roman" w:cs="Times New Roman" w:eastAsia="Times New Roman" w:hAnsi="Times New Roman"/>
          <w:sz w:val="18"/>
          <w:szCs w:val="18"/>
          <w:color w:val="auto"/>
        </w:rPr>
        <w:t>”). In the event that the Court of Chancery does not have jurisdiction, the United States District Court for the District of Delaware shall be the sole and exclusive forum for each of the actions or proceedings described above. In the event that the United States District Court for the District of Delaware does not have jurisdiction, any competent state court of the State of Delaware shall be the sole and exclusive forum for each of the actions or proceedings described above. The Delaware Forum Provision will not apply to any causes of action arising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the Exchange Act.</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Further, our by-laws provide that, unless we consent in writing to the selection of an alternative forum, the federal district courts of the United States of America will be the exclusive forum for resolving any complaint asserting a cause of action arising under the Securities Act (the “</w:t>
      </w:r>
      <w:r>
        <w:rPr>
          <w:rFonts w:ascii="Times New Roman" w:cs="Times New Roman" w:eastAsia="Times New Roman" w:hAnsi="Times New Roman"/>
          <w:sz w:val="18"/>
          <w:szCs w:val="18"/>
          <w:b w:val="1"/>
          <w:bCs w:val="1"/>
          <w:color w:val="auto"/>
        </w:rPr>
        <w:t>Federal Forum Provision</w:t>
      </w:r>
      <w:r>
        <w:rPr>
          <w:rFonts w:ascii="Times New Roman" w:cs="Times New Roman" w:eastAsia="Times New Roman" w:hAnsi="Times New Roman"/>
          <w:sz w:val="18"/>
          <w:szCs w:val="18"/>
          <w:color w:val="auto"/>
        </w:rPr>
        <w:t xml:space="preserve">”). In addition, our by-laws provide that any person or entity purchasing or otherwise acquiring any interest in shares of our capital stock is deemed to have notice of and consented to the Delaware Forum Provision and the Federal Forum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 or results than other courts. However, it is possible that a court could find our forum selection provisions to be inapplicable or unenforceable.</w:t>
      </w:r>
    </w:p>
    <w:p>
      <w:pPr>
        <w:sectPr>
          <w:pgSz w:w="11900" w:h="16838" w:orient="portrait"/>
          <w:cols w:equalWidth="0" w:num="1">
            <w:col w:w="11240"/>
          </w:cols>
          <w:pgMar w:left="320" w:top="87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“EXLS”.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Computershare Trust Company, N.A.</w:t>
      </w:r>
    </w:p>
    <w:p>
      <w:pPr>
        <w:sectPr>
          <w:pgSz w:w="11900" w:h="16838" w:orient="portrait"/>
          <w:cols w:equalWidth="0" w:num="1">
            <w:col w:w="10139"/>
          </w:cols>
          <w:pgMar w:left="320" w:top="868"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ectPr>
          <w:pgSz w:w="11900" w:h="16838" w:orient="portrait"/>
          <w:cols w:equalWidth="0" w:num="1">
            <w:col w:w="10120"/>
          </w:cols>
          <w:pgMar w:left="1440" w:top="634" w:right="339" w:bottom="1440" w:gutter="0" w:footer="0" w:header="0"/>
        </w:sectPr>
      </w:pP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w:t>
      </w:r>
    </w:p>
    <w:p>
      <w:pPr>
        <w:spacing w:after="0" w:line="68" w:lineRule="exact"/>
        <w:rPr>
          <w:sz w:val="20"/>
          <w:szCs w:val="20"/>
          <w:color w:val="auto"/>
        </w:rPr>
      </w:pPr>
    </w:p>
    <w:p>
      <w:pPr>
        <w:sectPr>
          <w:pgSz w:w="11900" w:h="16838" w:orient="portrait"/>
          <w:cols w:equalWidth="0" w:num="2">
            <w:col w:w="5720" w:space="720"/>
            <w:col w:w="3680"/>
          </w:cols>
          <w:pgMar w:left="1440" w:top="634"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Kogni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Australia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Bulgaria EAD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IQR Consulting,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Clairvoyant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Canada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Colombia S.A.S.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Czech Republic S.R.O.</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Business Process Outsourcing,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Clairvoyant AI,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Technology Solutions,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ExlService.com,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Outsource Partners International,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Overland Solutions, LLC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Germany GmbH</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Business Process Solutions (India) Private Limited</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Clairvoyant India Private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 Service.com (India)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Inductis (India)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IQR Analytics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Outsource partners International Private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SCIOinspire Consulting Services (India) Pvt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(Ireland)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Business Process Outsourcing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Mauritius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OPI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 Mexico, S. de R.L. de C.V.</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Philippines,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Romania Private Limited S.R.L.</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Inductis (Singapore) PTE Limited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 Analytics SA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South Africa (Pty) Ltd.</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Switzerland GmbH</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ExlService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Arizona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ectPr>
          <w:pgSz w:w="11900" w:h="16838" w:orient="portrait"/>
          <w:cols w:equalWidth="0" w:num="2">
            <w:col w:w="5720" w:space="720"/>
            <w:col w:w="3680"/>
          </w:cols>
          <w:pgMar w:left="1440" w:top="634" w:right="339"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333-263076 and 333-179098 on Form S-3 and Nos. 333-265772, 333-139211, 333-157076, 333-206022 and 333-226527 on Form S-8 of our reports dated February 29, 2024, relating to the financial statements of ExlService Holdings, Inc. and the effectiveness of ExlService Holdings, Inc.’s internal control over financial reporting, appearing in this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6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14" w:lineRule="exact"/>
        <w:rPr>
          <w:sz w:val="20"/>
          <w:szCs w:val="20"/>
          <w:color w:val="auto"/>
        </w:rPr>
      </w:pPr>
    </w:p>
    <w:p>
      <w:pPr>
        <w:ind w:left="400" w:hanging="395"/>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2023;</w:t>
      </w:r>
    </w:p>
    <w:p>
      <w:pPr>
        <w:spacing w:after="0" w:line="213" w:lineRule="exact"/>
        <w:rPr>
          <w:rFonts w:ascii="Times New Roman" w:cs="Times New Roman" w:eastAsia="Times New Roman" w:hAnsi="Times New Roman"/>
          <w:sz w:val="18"/>
          <w:szCs w:val="18"/>
          <w:color w:val="auto"/>
        </w:rPr>
      </w:pPr>
    </w:p>
    <w:p>
      <w:pPr>
        <w:ind w:left="400" w:right="160" w:hanging="395"/>
        <w:spacing w:after="0" w:line="331" w:lineRule="auto"/>
        <w:tabs>
          <w:tab w:leader="none" w:pos="4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right="620" w:hanging="395"/>
        <w:spacing w:after="0" w:line="268" w:lineRule="auto"/>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400" w:right="100" w:hanging="395"/>
        <w:spacing w:after="0" w:line="256" w:lineRule="auto"/>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720" w:right="80" w:hanging="321"/>
        <w:spacing w:after="0" w:line="256" w:lineRule="auto"/>
        <w:tabs>
          <w:tab w:leader="none" w:pos="7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720" w:right="80" w:hanging="321"/>
        <w:spacing w:after="0" w:line="256"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right="120" w:hanging="321"/>
        <w:spacing w:after="0" w:line="268" w:lineRule="auto"/>
        <w:tabs>
          <w:tab w:leader="none" w:pos="7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right="140" w:hanging="321"/>
        <w:spacing w:after="0" w:line="256"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right="540" w:hanging="395"/>
        <w:spacing w:after="0" w:line="268" w:lineRule="auto"/>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right="60" w:hanging="321"/>
        <w:spacing w:after="0" w:line="268" w:lineRule="auto"/>
        <w:tabs>
          <w:tab w:leader="none" w:pos="7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right="100" w:hanging="321"/>
        <w:spacing w:after="0" w:line="268"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2"/>
        </w:trPr>
        <w:tc>
          <w:tcPr>
            <w:tcW w:w="6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6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Vice-Chairman and Chief Executive Officer</w:t>
            </w:r>
          </w:p>
        </w:tc>
      </w:tr>
    </w:tbl>
    <w:p>
      <w:pPr>
        <w:sectPr>
          <w:pgSz w:w="11900" w:h="16838" w:orient="portrait"/>
          <w:cols w:equalWidth="0" w:num="1">
            <w:col w:w="11240"/>
          </w:cols>
          <w:pgMar w:left="320" w:top="86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45" w:lineRule="exact"/>
        <w:rPr>
          <w:sz w:val="20"/>
          <w:szCs w:val="20"/>
          <w:color w:val="auto"/>
        </w:rPr>
      </w:pPr>
    </w:p>
    <w:p>
      <w:pPr>
        <w:ind w:left="400" w:hanging="395"/>
        <w:spacing w:after="0"/>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 for the year ended December 31, 2023;</w:t>
      </w:r>
    </w:p>
    <w:p>
      <w:pPr>
        <w:spacing w:after="0" w:line="213" w:lineRule="exact"/>
        <w:rPr>
          <w:rFonts w:ascii="Times New Roman" w:cs="Times New Roman" w:eastAsia="Times New Roman" w:hAnsi="Times New Roman"/>
          <w:sz w:val="18"/>
          <w:szCs w:val="18"/>
          <w:color w:val="auto"/>
        </w:rPr>
      </w:pPr>
    </w:p>
    <w:p>
      <w:pPr>
        <w:ind w:left="400" w:right="160" w:hanging="395"/>
        <w:spacing w:after="0" w:line="331" w:lineRule="auto"/>
        <w:tabs>
          <w:tab w:leader="none" w:pos="4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right="620" w:hanging="395"/>
        <w:spacing w:after="0" w:line="268" w:lineRule="auto"/>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400" w:right="100" w:hanging="395"/>
        <w:spacing w:after="0" w:line="256" w:lineRule="auto"/>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720" w:right="80" w:hanging="321"/>
        <w:spacing w:after="0" w:line="256" w:lineRule="auto"/>
        <w:tabs>
          <w:tab w:leader="none" w:pos="7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720" w:right="80" w:hanging="321"/>
        <w:spacing w:after="0" w:line="256" w:lineRule="auto"/>
        <w:tabs>
          <w:tab w:leader="none" w:pos="71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right="120" w:hanging="321"/>
        <w:spacing w:after="0" w:line="268" w:lineRule="auto"/>
        <w:tabs>
          <w:tab w:leader="none" w:pos="7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right="140" w:hanging="321"/>
        <w:spacing w:after="0" w:line="256" w:lineRule="auto"/>
        <w:tabs>
          <w:tab w:leader="none" w:pos="71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right="540" w:hanging="395"/>
        <w:spacing w:after="0" w:line="268" w:lineRule="auto"/>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right="60" w:hanging="321"/>
        <w:spacing w:after="0" w:line="268" w:lineRule="auto"/>
        <w:tabs>
          <w:tab w:leader="none" w:pos="7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right="100" w:hanging="321"/>
        <w:spacing w:after="0" w:line="268" w:lineRule="auto"/>
        <w:tabs>
          <w:tab w:leader="none" w:pos="71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2"/>
        </w:trPr>
        <w:tc>
          <w:tcPr>
            <w:tcW w:w="578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28"/>
        </w:trPr>
        <w:tc>
          <w:tcPr>
            <w:tcW w:w="57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6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2023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8" w:lineRule="exact"/>
        <w:rPr>
          <w:sz w:val="20"/>
          <w:szCs w:val="20"/>
          <w:color w:val="auto"/>
        </w:rPr>
      </w:pPr>
    </w:p>
    <w:p>
      <w:pPr>
        <w:ind w:left="320" w:hanging="315"/>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2763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6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2023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9" w:lineRule="exact"/>
        <w:rPr>
          <w:sz w:val="20"/>
          <w:szCs w:val="20"/>
          <w:color w:val="auto"/>
        </w:rPr>
      </w:pPr>
    </w:p>
    <w:p>
      <w:pPr>
        <w:ind w:left="320" w:hanging="315"/>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8907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489077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6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6"/>
          <w:szCs w:val="16"/>
          <w:b w:val="1"/>
          <w:bCs w:val="1"/>
          <w:color w:val="auto"/>
        </w:rPr>
        <w:t>Incentive Compensation Clawback Policy</w:t>
      </w:r>
    </w:p>
    <w:p>
      <w:pPr>
        <w:spacing w:after="0" w:line="2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Clawback Policy (“Policy”) of ExlService Holdings, Inc. (the “Company”) shall be administered by the Board of Directors (the “Board”) (or an appropriate committee or committees of the Board, as may be designated by the Board). Any determinations made by the Board or committee shall be final and binding on all affected individuals. Additionally, this Policy incorporates by reference the requirements of Section 954 of the Dodd-Frank Wall Street Reform and Consumer Protection Act (regarding recovery of erroneously awarded compensation) and its implementing rules and regulations thereunder and the Nasdaq listing standards. This Policy operates in addition to any (a) clawback provisions contained in the terms of other compensation awards or programs, and (b) clawback requirements imposed under applicable laws.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policy may be amended from time to time in the discretion of the Board or committee thereof.</w:t>
      </w:r>
    </w:p>
    <w:p>
      <w:pPr>
        <w:spacing w:after="0" w:line="251"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6"/>
          <w:szCs w:val="16"/>
          <w:b w:val="1"/>
          <w:bCs w:val="1"/>
          <w:color w:val="auto"/>
        </w:rPr>
        <w:t>Covered Executives</w:t>
      </w:r>
    </w:p>
    <w:p>
      <w:pPr>
        <w:spacing w:after="0" w:line="255"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This Policy applies to all current and former executive officers, as determined by the Board or a committee thereof in accordance with Section 10D of the Exchange Act and the Nasdaq listing standards (each an “Executive”). This Policy shall be binding and enforceable against all such Executives and their beneficiaries, heirs, executors, administrators or other legal representatives.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determination of the Board or committee thereof need not be uniform with respect to one or more Executives.</w:t>
      </w:r>
    </w:p>
    <w:p>
      <w:pPr>
        <w:spacing w:after="0" w:line="251" w:lineRule="exact"/>
        <w:rPr>
          <w:sz w:val="20"/>
          <w:szCs w:val="20"/>
          <w:color w:val="auto"/>
        </w:rPr>
      </w:pPr>
    </w:p>
    <w:p>
      <w:pPr>
        <w:ind w:left="740" w:hanging="419"/>
        <w:spacing w:after="0"/>
        <w:tabs>
          <w:tab w:leader="none" w:pos="7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Recoupment</w:t>
      </w:r>
    </w:p>
    <w:p>
      <w:pPr>
        <w:spacing w:after="0" w:line="253" w:lineRule="exact"/>
        <w:rPr>
          <w:rFonts w:ascii="Times New Roman" w:cs="Times New Roman" w:eastAsia="Times New Roman" w:hAnsi="Times New Roman"/>
          <w:sz w:val="18"/>
          <w:szCs w:val="18"/>
          <w:b w:val="1"/>
          <w:bCs w:val="1"/>
          <w:color w:val="auto"/>
        </w:rPr>
      </w:pP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Compensation Subject to Required Recoupment</w:t>
      </w:r>
    </w:p>
    <w:p>
      <w:pPr>
        <w:spacing w:after="0" w:line="255"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8"/>
          <w:szCs w:val="18"/>
          <w:color w:val="auto"/>
        </w:rPr>
        <w:t>For purposes of this Policy, covered compensation subject to clawback (“Covered Compensation”) includes any non-equity incentive plan awards, bonuses paid from a bonus pool, cash awards, equity or equity-based awards, or proceeds received upon sale of shares acquired through an incentive plan; provided that, such compensation is granted, earned, and/or vested based wholly or in part on the attainment of a financial performance measure. A financial performance measure includes those found in financial statements under General Accepted Accounting Principles or derived in whole or in part from such measure (e.g., total shareholder return, revenue, net income, return on assets, tangible book value).</w:t>
      </w:r>
    </w:p>
    <w:p>
      <w:pPr>
        <w:spacing w:after="0" w:line="215" w:lineRule="exact"/>
        <w:rPr>
          <w:sz w:val="20"/>
          <w:szCs w:val="20"/>
          <w:color w:val="auto"/>
        </w:rPr>
      </w:pPr>
    </w:p>
    <w:p>
      <w:pPr>
        <w:jc w:val="both"/>
        <w:ind w:firstLine="631"/>
        <w:spacing w:after="0" w:line="349" w:lineRule="auto"/>
        <w:rPr>
          <w:sz w:val="20"/>
          <w:szCs w:val="20"/>
          <w:color w:val="auto"/>
        </w:rPr>
      </w:pPr>
      <w:r>
        <w:rPr>
          <w:rFonts w:ascii="Times New Roman" w:cs="Times New Roman" w:eastAsia="Times New Roman" w:hAnsi="Times New Roman"/>
          <w:sz w:val="16"/>
          <w:szCs w:val="16"/>
          <w:color w:val="auto"/>
        </w:rPr>
        <w:t>Covered Compensation shall not include any salaries, discretionary bonuses, non-equity incentive plan awards earned upon satisfying a strategic measure or operational measure (e.g., completion of a project), or equity-based awards that are not contingent on achieving any financial reporting measure.</w:t>
      </w:r>
    </w:p>
    <w:p>
      <w:pPr>
        <w:spacing w:after="0" w:line="146" w:lineRule="exact"/>
        <w:rPr>
          <w:sz w:val="20"/>
          <w:szCs w:val="20"/>
          <w:color w:val="auto"/>
        </w:rPr>
      </w:pPr>
    </w:p>
    <w:p>
      <w:pPr>
        <w:ind w:left="9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Required Recoupment Trigger – Accounting Restatement</w:t>
      </w:r>
    </w:p>
    <w:p>
      <w:pPr>
        <w:spacing w:after="0" w:line="255" w:lineRule="exact"/>
        <w:rPr>
          <w:sz w:val="20"/>
          <w:szCs w:val="20"/>
          <w:color w:val="auto"/>
        </w:rPr>
      </w:pPr>
    </w:p>
    <w:p>
      <w:pPr>
        <w:jc w:val="both"/>
        <w:ind w:firstLine="631"/>
        <w:spacing w:after="0" w:line="263"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Board or committee shall require reimbursement or forfeiture of any Excess (as defined below) received by any Executive during the applicable look-back period. Covered accounting restatements include those that either (a) correct an error in a previously issued financial statement that is material to such previously issued financial statement or (b) correct an error that is not material to a previously issued financial statement, but would result in a material misstatement if left uncorrected in a current report or the error correction was not recognized in the current period.</w:t>
      </w:r>
    </w:p>
    <w:p>
      <w:pPr>
        <w:spacing w:after="0" w:line="216"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8"/>
          <w:szCs w:val="18"/>
          <w:color w:val="auto"/>
        </w:rPr>
        <w:t>The Excess to be recouped due to the accounting restatement will be the amount received in excess of the amount that would have been paid to the Executive absent the restatement, calculated on a pre-tax basis. If the Board or committee thereof</w:t>
      </w:r>
    </w:p>
    <w:p>
      <w:pPr>
        <w:sectPr>
          <w:pgSz w:w="11900" w:h="16838" w:orient="portrait"/>
          <w:cols w:equalWidth="0" w:num="1">
            <w:col w:w="11240"/>
          </w:cols>
          <w:pgMar w:left="320" w:top="868" w:right="339" w:bottom="1440" w:gutter="0" w:footer="0" w:header="0"/>
        </w:sectPr>
      </w:pPr>
    </w:p>
    <w:bookmarkStart w:id="127" w:name="page128"/>
    <w:bookmarkEnd w:id="127"/>
    <w:p>
      <w:pPr>
        <w:jc w:val="both"/>
        <w:spacing w:after="0" w:line="283" w:lineRule="auto"/>
        <w:rPr>
          <w:sz w:val="20"/>
          <w:szCs w:val="20"/>
          <w:color w:val="auto"/>
        </w:rPr>
      </w:pPr>
      <w:r>
        <w:rPr>
          <w:rFonts w:ascii="Times New Roman" w:cs="Times New Roman" w:eastAsia="Times New Roman" w:hAnsi="Times New Roman"/>
          <w:sz w:val="18"/>
          <w:szCs w:val="18"/>
          <w:color w:val="auto"/>
        </w:rPr>
        <w:t>cannot determine the amount of Excess received by the Executive directly from the information in the accounting restatement, then it shall make its determination based on a reasonable estimate of the effect of the accounting restatement.</w:t>
      </w:r>
    </w:p>
    <w:p>
      <w:pPr>
        <w:spacing w:after="0" w:line="195" w:lineRule="exact"/>
        <w:rPr>
          <w:sz w:val="20"/>
          <w:szCs w:val="20"/>
          <w:color w:val="auto"/>
        </w:rPr>
      </w:pPr>
    </w:p>
    <w:p>
      <w:pPr>
        <w:jc w:val="both"/>
        <w:ind w:firstLine="631"/>
        <w:spacing w:after="0" w:line="283" w:lineRule="auto"/>
        <w:rPr>
          <w:sz w:val="20"/>
          <w:szCs w:val="20"/>
          <w:color w:val="auto"/>
        </w:rPr>
      </w:pPr>
      <w:r>
        <w:rPr>
          <w:rFonts w:ascii="Times New Roman" w:cs="Times New Roman" w:eastAsia="Times New Roman" w:hAnsi="Times New Roman"/>
          <w:sz w:val="18"/>
          <w:szCs w:val="18"/>
          <w:color w:val="auto"/>
        </w:rPr>
        <w:t>The look-back period will be the three completed fiscal years immediately preceding the earlier of the date on which (a) the Board or committee thereof concludes or reasonably should have concluded that an accounting restatement is required or (b) a regulator directs a restatement.</w:t>
      </w:r>
    </w:p>
    <w:p>
      <w:pPr>
        <w:spacing w:after="0" w:line="193"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6"/>
          <w:szCs w:val="16"/>
          <w:b w:val="1"/>
          <w:bCs w:val="1"/>
          <w:color w:val="auto"/>
        </w:rPr>
        <w:t>Additional Recoupment; Misconduct</w:t>
      </w:r>
    </w:p>
    <w:p>
      <w:pPr>
        <w:spacing w:after="0" w:line="255" w:lineRule="exact"/>
        <w:rPr>
          <w:sz w:val="20"/>
          <w:szCs w:val="20"/>
          <w:color w:val="auto"/>
        </w:rPr>
      </w:pPr>
    </w:p>
    <w:p>
      <w:pPr>
        <w:jc w:val="both"/>
        <w:ind w:firstLine="631"/>
        <w:spacing w:after="0" w:line="260" w:lineRule="auto"/>
        <w:rPr>
          <w:sz w:val="20"/>
          <w:szCs w:val="20"/>
          <w:color w:val="auto"/>
        </w:rPr>
      </w:pPr>
      <w:r>
        <w:rPr>
          <w:rFonts w:ascii="Times New Roman" w:cs="Times New Roman" w:eastAsia="Times New Roman" w:hAnsi="Times New Roman"/>
          <w:sz w:val="18"/>
          <w:szCs w:val="18"/>
          <w:color w:val="auto"/>
        </w:rPr>
        <w:t>If the Board or committee thereof has determined that (a) any Executive violated material Company policies; misstated financial or other material information about the Company; committed fraud or misconduct; breached a noncompetition, confidentiality, nonsolicitation, noninterference, corporate property protection, or other agreement that may apply to the person; or committed other conduct that the Board or committee determines is detrimental to the business or reputation of the Company, including facts and circumstances discovered after termination of service and/or (b) any employee was identified by the Department of Justice as having engaged in wrongdoing (or having willfully neglected or ignored wrongdoing by a person or business area he or she supervised) in connection with conduct under investigation by the Department of Justice, the Board or committee thereof may take, in its sole discretion, such additional action, if any, as it deems necessary to remedy the misconduct and prevent its recurrence. This may include, but is not limited to, requiring reimbursement of items excluded from Covered Compensation in Section III(a), such as salaries, discretionary bonuses, non-equity incentive plan awards earned upon satisfying a strategic measure or operational measure (e.g., completion of a project), or equity-based awards that are not contingent on achieving any financial reporting measure.</w:t>
      </w:r>
    </w:p>
    <w:p>
      <w:pPr>
        <w:spacing w:after="0" w:line="214"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6"/>
          <w:szCs w:val="16"/>
          <w:b w:val="1"/>
          <w:bCs w:val="1"/>
          <w:color w:val="auto"/>
        </w:rPr>
        <w:t>Clawback Method</w:t>
      </w:r>
    </w:p>
    <w:p>
      <w:pPr>
        <w:spacing w:after="0" w:line="255" w:lineRule="exact"/>
        <w:rPr>
          <w:sz w:val="20"/>
          <w:szCs w:val="20"/>
          <w:color w:val="auto"/>
        </w:rPr>
      </w:pPr>
    </w:p>
    <w:p>
      <w:pPr>
        <w:jc w:val="both"/>
        <w:ind w:firstLine="631"/>
        <w:spacing w:after="0" w:line="260" w:lineRule="auto"/>
        <w:rPr>
          <w:sz w:val="20"/>
          <w:szCs w:val="20"/>
          <w:color w:val="auto"/>
        </w:rPr>
      </w:pPr>
      <w:r>
        <w:rPr>
          <w:rFonts w:ascii="Times New Roman" w:cs="Times New Roman" w:eastAsia="Times New Roman" w:hAnsi="Times New Roman"/>
          <w:sz w:val="18"/>
          <w:szCs w:val="18"/>
          <w:color w:val="auto"/>
        </w:rPr>
        <w:t>The Board or a committee thereof may determine, in its sole discretion, a reasonably prompt method for recouping Covered Compensation, or other compensation, under this Policy which may include, without limitation: (a) requiring reimbursement of cash previously paid; (b) seeking recoupment of any gain realized on the vesting, exercise, settlement, sale, transfer, or other disposition of any equity or equity-based awards; (c) offsetting the recouped amount from any compensation otherwise owed to the Executive; (d) cancelling outstanding vested or unvested equity or equity-based awards; (e) forfeiting any vested non-qualified deferred compensation account balances; and/or (f) taking any other remedial and recoupment action permitted by law, as determined by the Board or a committee thereof. The Company may enter into deferred payment plans with Executives to effectuate recoupment to avoid unreasonable economic hardship.</w:t>
      </w:r>
    </w:p>
    <w:p>
      <w:pPr>
        <w:spacing w:after="0" w:line="218"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The Board or a committee thereof shall not be required to seek to recoup Covered Compensation, or other compensation under this Policy, if such recoupment would be impracticable, violate home country laws, and/or involve tax qualified retirement plans, as determined by the Board or committee in accordance with the Nasdaq listing standards. Any such determination that recoupment is not required shall be documented by the Board or committee.</w:t>
      </w:r>
    </w:p>
    <w:p>
      <w:pPr>
        <w:spacing w:after="0" w:line="206" w:lineRule="exact"/>
        <w:rPr>
          <w:sz w:val="20"/>
          <w:szCs w:val="20"/>
          <w:color w:val="auto"/>
        </w:rPr>
      </w:pPr>
    </w:p>
    <w:p>
      <w:pPr>
        <w:jc w:val="both"/>
        <w:ind w:firstLine="631"/>
        <w:spacing w:after="0" w:line="283" w:lineRule="auto"/>
        <w:rPr>
          <w:sz w:val="20"/>
          <w:szCs w:val="20"/>
          <w:color w:val="auto"/>
        </w:rPr>
      </w:pPr>
      <w:r>
        <w:rPr>
          <w:rFonts w:ascii="Times New Roman" w:cs="Times New Roman" w:eastAsia="Times New Roman" w:hAnsi="Times New Roman"/>
          <w:sz w:val="18"/>
          <w:szCs w:val="18"/>
          <w:color w:val="auto"/>
        </w:rPr>
        <w:t>The Company shall not, as a result of the application of this Policy, indemnify any Executive Officer against the loss of any Covered Compensation or other compensation under this Policy.</w:t>
      </w:r>
    </w:p>
    <w:sectPr>
      <w:pgSz w:w="11900" w:h="16838" w:orient="portrait"/>
      <w:cols w:equalWidth="0" w:num="1">
        <w:col w:w="11240"/>
      </w:cols>
      <w:pgMar w:left="320" w:top="8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decimal"/>
      <w:start w:val="2"/>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1"/>
    </w:lvl>
    <w:lvl w:ilvl="1">
      <w:lvlJc w:val="left"/>
      <w:lvlText w:val="%2."/>
      <w:numFmt w:val="decimal"/>
      <w:start w:val="2"/>
    </w:lvl>
  </w:abstractNum>
  <w:abstractNum w:abstractNumId="20">
    <w:nsid w:val="2463B9EA"/>
    <w:multiLevelType w:val="hybridMultilevel"/>
    <w:lvl w:ilvl="0">
      <w:lvlJc w:val="left"/>
      <w:lvlText w:val="(%1)"/>
      <w:numFmt w:val="lowerLetter"/>
      <w:start w:val="2"/>
    </w:lvl>
    <w:lvl w:ilvl="1">
      <w:lvlJc w:val="left"/>
      <w:lvlText w:val="%2"/>
      <w:numFmt w:val="decimal"/>
      <w:start w:val="1"/>
    </w:lvl>
  </w:abstractNum>
  <w:abstractNum w:abstractNumId="21">
    <w:nsid w:val="5E884ADC"/>
    <w:multiLevelType w:val="hybridMultilevel"/>
    <w:lvl w:ilvl="0">
      <w:lvlJc w:val="left"/>
      <w:lvlText w:val="%1"/>
      <w:numFmt w:val="decimal"/>
      <w:start w:val="97"/>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lowerLetter"/>
      <w:start w:val="3"/>
    </w:lvl>
  </w:abstractNum>
  <w:abstractNum w:abstractNumId="28">
    <w:nsid w:val="6A2342EC"/>
    <w:multiLevelType w:val="hybridMultilevel"/>
    <w:lvl w:ilvl="0">
      <w:lvlJc w:val="left"/>
      <w:lvlText w:val="%1."/>
      <w:numFmt w:val="lowerRoman"/>
      <w:start w:val="1"/>
    </w:lvl>
    <w:lvl w:ilvl="1">
      <w:lvlJc w:val="left"/>
      <w:lvlText w:val="%2)"/>
      <w:numFmt w:val="lowerLetter"/>
      <w:start w:val="2"/>
    </w:lvl>
  </w:abstractNum>
  <w:abstractNum w:abstractNumId="29">
    <w:nsid w:val="2A487CB0"/>
    <w:multiLevelType w:val="hybridMultilevel"/>
    <w:lvl w:ilvl="0">
      <w:lvlJc w:val="left"/>
      <w:lvlText w:val="%1."/>
      <w:numFmt w:val="lowerRoman"/>
      <w:start w:val="3"/>
    </w:lvl>
  </w:abstractNum>
  <w:abstractNum w:abstractNumId="30">
    <w:nsid w:val="1D4ED43B"/>
    <w:multiLevelType w:val="hybridMultilevel"/>
    <w:lvl w:ilvl="0">
      <w:lvlJc w:val="left"/>
      <w:lvlText w:val="%1"/>
      <w:numFmt w:val="lowerLetter"/>
      <w:start w:val="1"/>
    </w:lvl>
    <w:lvl w:ilvl="1">
      <w:lvlJc w:val="left"/>
      <w:lvlText w:val="%2."/>
      <w:numFmt w:val="lowerRoman"/>
      <w:start w:val="1"/>
    </w:lvl>
  </w:abstractNum>
  <w:abstractNum w:abstractNumId="31">
    <w:nsid w:val="725A06FB"/>
    <w:multiLevelType w:val="hybridMultilevel"/>
    <w:lvl w:ilvl="0">
      <w:lvlJc w:val="left"/>
      <w:lvlText w:val="(%1)"/>
      <w:numFmt w:val="lowerLetter"/>
      <w:start w:val="5"/>
    </w:lvl>
    <w:lvl w:ilvl="1">
      <w:lvlJc w:val="left"/>
      <w:lvlText w:val="%2"/>
      <w:numFmt w:val="lowerRoman"/>
      <w:start w:val="1"/>
    </w:lvl>
  </w:abstractNum>
  <w:abstractNum w:abstractNumId="32">
    <w:nsid w:val="2CD89A32"/>
    <w:multiLevelType w:val="hybridMultilevel"/>
    <w:lvl w:ilvl="0">
      <w:lvlJc w:val="left"/>
      <w:lvlText w:val="(%1)"/>
      <w:numFmt w:val="lowerLetter"/>
      <w:start w:val="12"/>
    </w:lvl>
  </w:abstractNum>
  <w:abstractNum w:abstractNumId="33">
    <w:nsid w:val="57E4CCAF"/>
    <w:multiLevelType w:val="hybridMultilevel"/>
    <w:lvl w:ilvl="0">
      <w:lvlJc w:val="left"/>
      <w:lvlText w:val="(%1)"/>
      <w:numFmt w:val="lowerLetter"/>
      <w:start w:val="18"/>
    </w:lvl>
    <w:lvl w:ilvl="1">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upperLetter"/>
      <w:start w:val="6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75" Type="http://schemas.openxmlformats.org/officeDocument/2006/relationships/hyperlink" Target="https://www.sec.gov/Archives/edgar/data/1297989/000129798923000009/exls-ex31x09302023x10q.htm" TargetMode="External"/><Relationship Id="rId76" Type="http://schemas.openxmlformats.org/officeDocument/2006/relationships/hyperlink" Target="https://www.sec.gov/Archives/edgar/data/1297989/000119312523171321/d523950dex32.htm" TargetMode="External"/><Relationship Id="rId77" Type="http://schemas.openxmlformats.org/officeDocument/2006/relationships/hyperlink" Target="http://www.sec.gov/Archives/edgar/data/1297989/000119312506214684/dex41.htm" TargetMode="External"/><Relationship Id="rId78" Type="http://schemas.openxmlformats.org/officeDocument/2006/relationships/hyperlink" Target="https://www.sec.gov/Archives/edgar/data/1297989/000129798923000004/exls-ex104x03312023x10q.htm" TargetMode="External"/><Relationship Id="rId79" Type="http://schemas.openxmlformats.org/officeDocument/2006/relationships/hyperlink" Target="https://www.sec.gov/Archives/edgar/data/1297989/000129798920000010/exls-ex101x09x30x2020x10xq.htm" TargetMode="External"/><Relationship Id="rId80" Type="http://schemas.openxmlformats.org/officeDocument/2006/relationships/hyperlink" Target="https://www.sec.gov/Archives/edgar/data/1297989/000129798923000004/exls-ex101x03312023x10q.htm" TargetMode="External"/><Relationship Id="rId81" Type="http://schemas.openxmlformats.org/officeDocument/2006/relationships/hyperlink" Target="https://www.sec.gov/Archives/edgar/data/1297989/000129798921000004/exls-ex104x12x31x2020x10k.htm" TargetMode="External"/><Relationship Id="rId82" Type="http://schemas.openxmlformats.org/officeDocument/2006/relationships/hyperlink" Target="https://www.sec.gov/Archives/edgar/data/1297989/000129798923000004/exls-ex105x03312023x10q.htm" TargetMode="External"/><Relationship Id="rId83" Type="http://schemas.openxmlformats.org/officeDocument/2006/relationships/hyperlink" Target="http://www.sec.gov/Archives/edgar/data/1297989/000119312506155175/dex1020.htm" TargetMode="External"/><Relationship Id="rId84" Type="http://schemas.openxmlformats.org/officeDocument/2006/relationships/hyperlink" Target="http://www.sec.gov/Archives/edgar/data/1297989/000119312506202168/dex1032.htm" TargetMode="External"/><Relationship Id="rId85" Type="http://schemas.openxmlformats.org/officeDocument/2006/relationships/hyperlink" Target="http://www.sec.gov/Archives/edgar/data/1297989/000119312506208742/dex1038.htm" TargetMode="External"/><Relationship Id="rId86" Type="http://schemas.openxmlformats.org/officeDocument/2006/relationships/hyperlink" Target="http://www.sec.gov/Archives/edgar/data/1297989/000119312506202168/dex1039.htm" TargetMode="External"/><Relationship Id="rId87" Type="http://schemas.openxmlformats.org/officeDocument/2006/relationships/hyperlink" Target="http://www.sec.gov/Archives/edgar/data/1297989/000119312506202168/dex1043.htm" TargetMode="External"/><Relationship Id="rId88" Type="http://schemas.openxmlformats.org/officeDocument/2006/relationships/hyperlink" Target="http://www.sec.gov/Archives/edgar/data/1297989/000119312506208742/dex1046.htm" TargetMode="External"/><Relationship Id="rId89" Type="http://schemas.openxmlformats.org/officeDocument/2006/relationships/hyperlink" Target="http://www.sec.gov/Archives/edgar/data/1297989/000119312509016370/dex46.htm" TargetMode="External"/><Relationship Id="rId90" Type="http://schemas.openxmlformats.org/officeDocument/2006/relationships/hyperlink" Target="http://www.sec.gov/Archives/edgar/data/1297989/000119312514177305/d701173dex101.htm" TargetMode="External"/><Relationship Id="rId93" Type="http://schemas.openxmlformats.org/officeDocument/2006/relationships/hyperlink" Target="http://www.sec.gov/Archives/edgar/data/1297989/000119312515235176/d948602dex101.htm" TargetMode="External"/><Relationship Id="rId94" Type="http://schemas.openxmlformats.org/officeDocument/2006/relationships/hyperlink" Target="http://www.sec.gov/Archives/edgar/data/1297989/000129798916000015/exls-ex101x09x30x2016x10xq.htm" TargetMode="External"/><Relationship Id="rId95" Type="http://schemas.openxmlformats.org/officeDocument/2006/relationships/hyperlink" Target="http://www.sec.gov/Archives/edgar/data/1297989/000129798917000002/exls-ex1040x213116x10k.htm" TargetMode="External"/><Relationship Id="rId96" Type="http://schemas.openxmlformats.org/officeDocument/2006/relationships/hyperlink" Target="http://www.sec.gov/Archives/edgar/data/1297989/000114420418034885/tv496784_ex10-1.htm" TargetMode="External"/><Relationship Id="rId97" Type="http://schemas.openxmlformats.org/officeDocument/2006/relationships/hyperlink" Target="https://www.sec.gov/Archives/edgar/data/1297989/000129798923000004/exls-ex102x03312023x10q.htm" TargetMode="External"/><Relationship Id="rId98" Type="http://schemas.openxmlformats.org/officeDocument/2006/relationships/hyperlink" Target="https://www.sec.gov/Archives/edgar/data/1297989/000129798923000004/exls-ex103x03312023x10q.htm" TargetMode="External"/><Relationship Id="rId99" Type="http://schemas.openxmlformats.org/officeDocument/2006/relationships/hyperlink" Target="http://www.sec.gov/Archives/edgar/data/1297989/000114420418034885/tv496784_ex10-4.htm" TargetMode="External"/><Relationship Id="rId100" Type="http://schemas.openxmlformats.org/officeDocument/2006/relationships/hyperlink" Target="https://www.sec.gov/Archives/edgar/data/1297989/000129798923000007/exls-ex101x06302023x10q.htm" TargetMode="External"/><Relationship Id="rId101" Type="http://schemas.openxmlformats.org/officeDocument/2006/relationships/hyperlink" Target="https://www.sec.gov/Archives/edgar/data/1297989/000129798923000007/exls-ex102x06302023x10q.htm" TargetMode="External"/><Relationship Id="rId102" Type="http://schemas.openxmlformats.org/officeDocument/2006/relationships/hyperlink" Target="https://www.sec.gov/Archives/edgar/data/1297989/000119312522178131/d352737dex101.htm" TargetMode="External"/><Relationship Id="rId103" Type="http://schemas.openxmlformats.org/officeDocument/2006/relationships/hyperlink" Target="https://www.sec.gov/Archives/edgar/data/1297989/000110465922047905/tm221311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2024-02-29T14:01:17Z</dcterms:created>
  <dcterms:modified xsi:type="dcterms:W3CDTF">2024-02-29T14:01:17Z</dcterms:modified>
</cp:coreProperties>
</file>