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-237490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24765</wp:posOffset>
            </wp:positionV>
            <wp:extent cx="6992620" cy="50476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047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Miglani Nalin Kumar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jc w:val="center"/>
        <w:ind w:right="244"/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ExlService Holdings,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EXLS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11/09/2022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5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and Chief HR Officer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5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10022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6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$0.001 per share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11/09/2022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836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12,544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60" w:type="dxa"/>
            <w:vAlign w:val="bottom"/>
            <w:gridSpan w:val="11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95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11/09/2022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836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 share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-2295525</wp:posOffset>
            </wp:positionV>
            <wp:extent cx="29210" cy="23006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300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restricted stock units received under a share matching plan previously disclosed. The restricted stock units were voluntarily forfeited by the Reporting Person on November 9, 2022.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Lazbart Oseni, Attorney-in- 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11/14/2022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-26670</wp:posOffset>
            </wp:positionV>
            <wp:extent cx="13265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6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-19685</wp:posOffset>
            </wp:positionV>
            <wp:extent cx="1854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4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5588000</wp:posOffset>
            </wp:positionH>
            <wp:positionV relativeFrom="paragraph">
              <wp:posOffset>-85725</wp:posOffset>
            </wp:positionV>
            <wp:extent cx="4857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27017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2022-11-14T21:53:12Z</dcterms:created>
  <dcterms:modified xsi:type="dcterms:W3CDTF">2022-11-14T21:53:12Z</dcterms:modified>
</cp:coreProperties>
</file>