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EVP, Head of Insurance &amp; CSO</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12/10/2014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4,231</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w:t>
            </w:r>
          </w:p>
        </w:tc>
        <w:tc>
          <w:tcPr>
            <w:tcW w:w="180" w:type="dxa"/>
            <w:vAlign w:val="bottom"/>
          </w:tcPr>
          <w:p>
            <w:pPr>
              <w:spacing w:after="0"/>
              <w:rPr>
                <w:sz w:val="22"/>
                <w:szCs w:val="22"/>
                <w:color w:val="auto"/>
              </w:rPr>
            </w:pPr>
          </w:p>
        </w:tc>
        <w:tc>
          <w:tcPr>
            <w:tcW w:w="1240" w:type="dxa"/>
            <w:vAlign w:val="bottom"/>
            <w:gridSpan w:val="3"/>
            <w:vMerge w:val="restart"/>
          </w:tcPr>
          <w:p>
            <w:pPr>
              <w:jc w:val="right"/>
              <w:ind w:right="319"/>
              <w:spacing w:after="0"/>
              <w:rPr>
                <w:sz w:val="20"/>
                <w:szCs w:val="20"/>
                <w:color w:val="auto"/>
              </w:rPr>
            </w:pPr>
            <w:r>
              <w:rPr>
                <w:rFonts w:ascii="Arial" w:cs="Arial" w:eastAsia="Arial" w:hAnsi="Arial"/>
                <w:sz w:val="18"/>
                <w:szCs w:val="18"/>
                <w:color w:val="0000FF"/>
              </w:rPr>
              <w:t>17,617</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12/10/2014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4,231</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28.0755</w:t>
            </w:r>
            <w:r>
              <w:rPr>
                <w:rFonts w:ascii="Arial" w:cs="Arial" w:eastAsia="Arial" w:hAnsi="Arial"/>
                <w:sz w:val="22"/>
                <w:szCs w:val="22"/>
                <w:color w:val="008000"/>
                <w:w w:val="85"/>
                <w:vertAlign w:val="superscript"/>
              </w:rPr>
              <w:t>(2)</w:t>
            </w:r>
          </w:p>
        </w:tc>
        <w:tc>
          <w:tcPr>
            <w:tcW w:w="1240" w:type="dxa"/>
            <w:vAlign w:val="bottom"/>
            <w:gridSpan w:val="3"/>
            <w:vMerge w:val="restart"/>
          </w:tcPr>
          <w:p>
            <w:pPr>
              <w:jc w:val="right"/>
              <w:ind w:right="319"/>
              <w:spacing w:after="0"/>
              <w:rPr>
                <w:sz w:val="20"/>
                <w:szCs w:val="20"/>
                <w:color w:val="auto"/>
              </w:rPr>
            </w:pPr>
            <w:r>
              <w:rPr>
                <w:rFonts w:ascii="Arial" w:cs="Arial" w:eastAsia="Arial" w:hAnsi="Arial"/>
                <w:sz w:val="18"/>
                <w:szCs w:val="18"/>
                <w:color w:val="0000FF"/>
              </w:rPr>
              <w:t>13,386</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1"/>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4,231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12/10/2014</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4,231</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02/10/2019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3,269</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10, 2014 the reporting person exercised previously issued options to purchase an aggregate of 4,231 shares of common stock of ExlService Holdings, Inc.</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$28.00 to $28.34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3,269 of these options are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2019-12-18T05:19:54Z</dcterms:created>
  <dcterms:modified xsi:type="dcterms:W3CDTF">2019-12-18T05:19:54Z</dcterms:modified>
</cp:coreProperties>
</file>