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560"/>
        <w:spacing w:after="0"/>
        <w:tabs>
          <w:tab w:leader="none" w:pos="5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December 30, 2009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8"/>
              </w:rPr>
              <w:t>280 Park Avenue, 38th Floor</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10017</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285"/>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0" w:lineRule="exact"/>
        <w:rPr>
          <w:rFonts w:ascii="Arial" w:cs="Arial" w:eastAsia="Arial" w:hAnsi="Arial"/>
          <w:sz w:val="22"/>
          <w:szCs w:val="22"/>
          <w:color w:val="auto"/>
        </w:rPr>
      </w:pPr>
    </w:p>
    <w:p>
      <w:pPr>
        <w:ind w:left="660" w:right="335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7" w:lineRule="exact"/>
        <w:rPr>
          <w:rFonts w:ascii="Arial" w:cs="Arial" w:eastAsia="Arial" w:hAnsi="Arial"/>
          <w:sz w:val="22"/>
          <w:szCs w:val="22"/>
          <w:color w:val="auto"/>
        </w:rPr>
      </w:pPr>
    </w:p>
    <w:p>
      <w:pPr>
        <w:ind w:left="660" w:right="337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0"/>
          <w:szCs w:val="20"/>
          <w:color w:val="auto"/>
        </w:rPr>
      </w:pPr>
    </w:p>
    <w:p>
      <w:pPr>
        <w:ind w:right="2219" w:firstLine="1297"/>
        <w:spacing w:after="0" w:line="285" w:lineRule="auto"/>
        <w:rPr>
          <w:sz w:val="20"/>
          <w:szCs w:val="20"/>
          <w:color w:val="auto"/>
        </w:rPr>
      </w:pPr>
      <w:r>
        <w:rPr>
          <w:rFonts w:ascii="Arial" w:cs="Arial" w:eastAsia="Arial" w:hAnsi="Arial"/>
          <w:sz w:val="16"/>
          <w:szCs w:val="16"/>
          <w:color w:val="auto"/>
        </w:rPr>
        <w:t>On December 30, 2009, ExlService Holdings, Inc. (the “Company”) received a notice from Aviva Global Services (Management Services) Private Limited (“Aviva”) indicating that Aviva had elected to terminate the Insurance Services Framework Agreement (the “Agreement”) between the Company and Aviva pursuant to the terms and conditions of the Agreement permitting such an early termination. In its notice, Aviva affirmed its satisfaction with the quality of the Company’s services and its professionalism and stated that it was terminating the contract with a view to consolidating its outsourced operations. The Company’s outsourcing services provided to Aviva under the Agreement accounted for less than 4.0% of the Company’s revenues for the quarter ended September 30, 2009. Pursuant to the terms of the Agreement, the termination will be effective on May 30, 2010 and Aviva will be required to pay the Company a break fee in the amount of approximately GBP3.15 million, which break fee has been received by the Company. While the Company is evaluating the accounting treatment for the break fee received from Aviva, a significant amount of the break fee will positively impact the profitability for the Company’s 2009 calendar year. The Company will not incur any early termination penalties as a result of this termination. In addition, all of the infrastructure and employees dedicated to providing services to Aviva will be utilized in providing services to other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5120" w:type="dxa"/>
            <w:vAlign w:val="bottom"/>
            <w:gridSpan w:val="2"/>
          </w:tcPr>
          <w:p>
            <w:pPr>
              <w:ind w:left="138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703"/>
        </w:trPr>
        <w:tc>
          <w:tcPr>
            <w:tcW w:w="3000" w:type="dxa"/>
            <w:vAlign w:val="bottom"/>
          </w:tcPr>
          <w:p>
            <w:pPr>
              <w:spacing w:after="0"/>
              <w:rPr>
                <w:sz w:val="20"/>
                <w:szCs w:val="20"/>
                <w:color w:val="auto"/>
              </w:rPr>
            </w:pPr>
            <w:r>
              <w:rPr>
                <w:rFonts w:ascii="Arial" w:cs="Arial" w:eastAsia="Arial" w:hAnsi="Arial"/>
                <w:sz w:val="18"/>
                <w:szCs w:val="18"/>
                <w:color w:val="auto"/>
              </w:rPr>
              <w:t>Date:  January 5, 2010</w:t>
            </w:r>
          </w:p>
        </w:tc>
        <w:tc>
          <w:tcPr>
            <w:tcW w:w="5120" w:type="dxa"/>
            <w:vAlign w:val="bottom"/>
            <w:gridSpan w:val="2"/>
          </w:tcPr>
          <w:p>
            <w:pPr>
              <w:ind w:left="1380"/>
              <w:spacing w:after="0"/>
              <w:rPr>
                <w:sz w:val="20"/>
                <w:szCs w:val="20"/>
                <w:color w:val="auto"/>
              </w:rPr>
            </w:pPr>
            <w:r>
              <w:rPr>
                <w:rFonts w:ascii="Arial" w:cs="Arial" w:eastAsia="Arial" w:hAnsi="Arial"/>
                <w:sz w:val="18"/>
                <w:szCs w:val="18"/>
                <w:color w:val="auto"/>
              </w:rPr>
              <w:t>By: /s/ Amit Shashank</w:t>
            </w:r>
          </w:p>
        </w:tc>
      </w:tr>
      <w:tr>
        <w:trPr>
          <w:trHeight w:val="202"/>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3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Title:  Vice President, General Counsel</w:t>
            </w:r>
          </w:p>
        </w:tc>
      </w:tr>
      <w:tr>
        <w:trPr>
          <w:trHeight w:val="222"/>
        </w:trPr>
        <w:tc>
          <w:tcPr>
            <w:tcW w:w="3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380" w:type="dxa"/>
            <w:vAlign w:val="bottom"/>
          </w:tcPr>
          <w:p>
            <w:pPr>
              <w:ind w:left="540"/>
              <w:spacing w:after="0"/>
              <w:rPr>
                <w:sz w:val="20"/>
                <w:szCs w:val="20"/>
                <w:color w:val="auto"/>
              </w:rPr>
            </w:pPr>
            <w:r>
              <w:rPr>
                <w:rFonts w:ascii="Arial" w:cs="Arial" w:eastAsia="Arial" w:hAnsi="Arial"/>
                <w:sz w:val="18"/>
                <w:szCs w:val="18"/>
                <w:color w:val="auto"/>
              </w:rPr>
              <w:t>and Corporate Secretary</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2019-12-11T00:06:58Z</dcterms:created>
  <dcterms:modified xsi:type="dcterms:W3CDTF">2019-12-11T00:06:58Z</dcterms:modified>
</cp:coreProperties>
</file>