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t>ExlService Holdings, Inc.</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280 Park Avenue, 38th Floor</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New York, New York 10017</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January 31,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color w:val="auto"/>
        </w:rPr>
        <w:t>Attention:</w:t>
        <w:tab/>
        <w:t>William H. Thomson, Accounting Branch Chief</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Ta Tanisha Meadows, Staff Accountant</w:t>
      </w:r>
    </w:p>
    <w:p>
      <w:pPr>
        <w:spacing w:after="0" w:line="207"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ExlService Holdings, Inc.</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Form 10-K for Fiscal Year Ended December 31, 2015</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February 26, 2016</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1-33089</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Dear Mr. Thomspon and Ms. Meadows:</w:t>
      </w:r>
    </w:p>
    <w:p>
      <w:pPr>
        <w:spacing w:after="0" w:line="225" w:lineRule="exact"/>
        <w:rPr>
          <w:sz w:val="24"/>
          <w:szCs w:val="24"/>
          <w:color w:val="auto"/>
        </w:rPr>
      </w:pPr>
    </w:p>
    <w:p>
      <w:pPr>
        <w:ind w:firstLine="648"/>
        <w:spacing w:after="0" w:line="257" w:lineRule="auto"/>
        <w:rPr>
          <w:sz w:val="20"/>
          <w:szCs w:val="20"/>
          <w:color w:val="auto"/>
        </w:rPr>
      </w:pPr>
      <w:r>
        <w:rPr>
          <w:rFonts w:ascii="Arial" w:cs="Arial" w:eastAsia="Arial" w:hAnsi="Arial"/>
          <w:sz w:val="18"/>
          <w:szCs w:val="18"/>
          <w:color w:val="auto"/>
        </w:rPr>
        <w:t>ExlService Holdings, Inc. (the “Company”) is sending this letter to confirm the extension of time to respond to the comment letter dated January 19, 2017 from the staff (the “Staff”) of the Securities and Exchange Commission’s Division of Corporation Finance relating to the Company’s Annual Report on Form 10-K for the year ended December 31, 2015. As per a discussion with Ms. Meadows on January 30, 2017, this letter confirms that the agreed deadline for the Company to file its written response to the Staff’s comment letter is February 9, 2017. Please contact me at (212) 277-7103 with any questions or concerns.</w:t>
      </w:r>
    </w:p>
    <w:p>
      <w:pPr>
        <w:spacing w:after="0" w:line="188" w:lineRule="exact"/>
        <w:rPr>
          <w:sz w:val="24"/>
          <w:szCs w:val="24"/>
          <w:color w:val="auto"/>
        </w:rPr>
      </w:pPr>
    </w:p>
    <w:p>
      <w:pPr>
        <w:ind w:left="5840"/>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5840"/>
        <w:spacing w:after="0"/>
        <w:rPr>
          <w:sz w:val="20"/>
          <w:szCs w:val="20"/>
          <w:color w:val="auto"/>
        </w:rPr>
      </w:pPr>
      <w:r>
        <w:rPr>
          <w:rFonts w:ascii="Arial" w:cs="Arial" w:eastAsia="Arial" w:hAnsi="Arial"/>
          <w:sz w:val="18"/>
          <w:szCs w:val="18"/>
          <w:color w:val="auto"/>
        </w:rPr>
        <w:t>/s/ Nancy Saltzman</w:t>
      </w:r>
    </w:p>
    <w:p>
      <w:pPr>
        <w:spacing w:after="0" w:line="225" w:lineRule="exact"/>
        <w:rPr>
          <w:sz w:val="24"/>
          <w:szCs w:val="24"/>
          <w:color w:val="auto"/>
        </w:rPr>
      </w:pPr>
    </w:p>
    <w:p>
      <w:pPr>
        <w:ind w:left="5840"/>
        <w:spacing w:after="0"/>
        <w:rPr>
          <w:sz w:val="20"/>
          <w:szCs w:val="20"/>
          <w:color w:val="auto"/>
        </w:rPr>
      </w:pPr>
      <w:r>
        <w:rPr>
          <w:rFonts w:ascii="Arial" w:cs="Arial" w:eastAsia="Arial" w:hAnsi="Arial"/>
          <w:sz w:val="18"/>
          <w:szCs w:val="18"/>
          <w:color w:val="auto"/>
        </w:rPr>
        <w:t>Nancy Saltzman</w:t>
      </w:r>
    </w:p>
    <w:p>
      <w:pPr>
        <w:spacing w:after="0" w:line="23" w:lineRule="exact"/>
        <w:rPr>
          <w:sz w:val="24"/>
          <w:szCs w:val="24"/>
          <w:color w:val="auto"/>
        </w:rPr>
      </w:pPr>
    </w:p>
    <w:p>
      <w:pPr>
        <w:ind w:left="5840"/>
        <w:spacing w:after="0"/>
        <w:rPr>
          <w:sz w:val="20"/>
          <w:szCs w:val="20"/>
          <w:color w:val="auto"/>
        </w:rPr>
      </w:pPr>
      <w:r>
        <w:rPr>
          <w:rFonts w:ascii="Arial" w:cs="Arial" w:eastAsia="Arial" w:hAnsi="Arial"/>
          <w:sz w:val="18"/>
          <w:szCs w:val="18"/>
          <w:color w:val="auto"/>
        </w:rPr>
        <w:t>Executive Vice President, General Counsel,</w:t>
      </w:r>
    </w:p>
    <w:p>
      <w:pPr>
        <w:spacing w:after="0" w:line="9" w:lineRule="exact"/>
        <w:rPr>
          <w:sz w:val="24"/>
          <w:szCs w:val="24"/>
          <w:color w:val="auto"/>
        </w:rPr>
      </w:pPr>
    </w:p>
    <w:p>
      <w:pPr>
        <w:ind w:left="5840"/>
        <w:spacing w:after="0"/>
        <w:rPr>
          <w:sz w:val="20"/>
          <w:szCs w:val="20"/>
          <w:color w:val="auto"/>
        </w:rPr>
      </w:pPr>
      <w:r>
        <w:rPr>
          <w:rFonts w:ascii="Arial" w:cs="Arial" w:eastAsia="Arial" w:hAnsi="Arial"/>
          <w:sz w:val="18"/>
          <w:szCs w:val="18"/>
          <w:color w:val="auto"/>
        </w:rPr>
        <w:t>Chief Compliance Officer &amp; Corporate Secretary</w:t>
      </w:r>
    </w:p>
    <w:p>
      <w:pPr>
        <w:spacing w:after="0" w:line="211" w:lineRule="exact"/>
        <w:rPr>
          <w:sz w:val="24"/>
          <w:szCs w:val="24"/>
          <w:color w:val="auto"/>
        </w:rPr>
      </w:pPr>
    </w:p>
    <w:p>
      <w:pPr>
        <w:ind w:left="340" w:right="7900" w:hanging="332"/>
        <w:spacing w:after="0" w:line="308"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Vishal Chhibbar, ExlService Holdings, Inc. Stephen Older, McGuireWoods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668020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40"/>
      </w:cols>
      <w:pgMar w:left="240" w:top="23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2019-12-06T22:12:36Z</dcterms:created>
  <dcterms:modified xsi:type="dcterms:W3CDTF">2019-12-06T22:12:36Z</dcterms:modified>
</cp:coreProperties>
</file>