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0000FF"/>
              </w:rPr>
              <w:t>01/30/2017</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7,517</w:t>
            </w:r>
          </w:p>
        </w:tc>
        <w:tc>
          <w:tcPr>
            <w:tcW w:w="52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9,775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01/30/2017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3,192</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46.45</w:t>
            </w:r>
            <w:r>
              <w:rPr>
                <w:rFonts w:ascii="Arial" w:cs="Arial" w:eastAsia="Arial" w:hAnsi="Arial"/>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6,583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13, 2014 and voluntarily reported in a Form 4 filed on February 18, 2014.</w:t>
      </w:r>
    </w:p>
    <w:p>
      <w:pPr>
        <w:spacing w:after="0" w:line="30" w:lineRule="exact"/>
        <w:rPr>
          <w:rFonts w:ascii="Arial" w:cs="Arial" w:eastAsia="Arial" w:hAnsi="Arial"/>
          <w:sz w:val="14"/>
          <w:szCs w:val="14"/>
          <w:color w:val="008000"/>
        </w:rPr>
      </w:pPr>
    </w:p>
    <w:p>
      <w:pPr>
        <w:ind w:left="40" w:right="1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reported in this report were deemed earned on January 30, 2017 based on the Compensation Committee of the Board of Directors administering the award certifying the achievement of performance targets applicable to the PRSUs for the performance period ending on December 31, 2016. Pursuant to the agreement governing the grant of the PRSUs and pursuant to the Company's 2006 Omnibus Award Plan, pursuant to which such PRSUs were granted, the closing price of the Common Stock on the Nasdaq Global Select Market on the preceding day, January 27, 2017 in this case, is used for purposes of computing tax reporting and withholding.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2019-12-04T01:03:37Z</dcterms:created>
  <dcterms:modified xsi:type="dcterms:W3CDTF">2019-12-04T01:03:37Z</dcterms:modified>
</cp:coreProperties>
</file>