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6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67"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2"/>
                <w:szCs w:val="2"/>
                <w:color w:val="auto"/>
              </w:rPr>
            </w:pP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ind w:left="280"/>
              <w:spacing w:after="0" w:line="155" w:lineRule="exact"/>
              <w:rPr>
                <w:sz w:val="20"/>
                <w:szCs w:val="20"/>
                <w:color w:val="auto"/>
              </w:rPr>
            </w:pPr>
            <w:r>
              <w:rPr>
                <w:rFonts w:ascii="Arial" w:cs="Arial" w:eastAsia="Arial" w:hAnsi="Arial"/>
                <w:sz w:val="14"/>
                <w:szCs w:val="14"/>
                <w:color w:val="auto"/>
              </w:rPr>
              <w:t>Line)</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gridSpan w:val="2"/>
          </w:tcPr>
          <w:p>
            <w:pPr>
              <w:jc w:val="right"/>
              <w:ind w:right="138"/>
              <w:spacing w:after="0"/>
              <w:rPr>
                <w:sz w:val="20"/>
                <w:szCs w:val="20"/>
                <w:color w:val="auto"/>
              </w:rPr>
            </w:pPr>
            <w:r>
              <w:rPr>
                <w:rFonts w:ascii="Arial" w:cs="Arial" w:eastAsia="Arial" w:hAnsi="Arial"/>
                <w:sz w:val="18"/>
                <w:szCs w:val="18"/>
                <w:color w:val="0000FF"/>
              </w:rPr>
              <w:t>01/29/2019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13,780</w:t>
            </w:r>
          </w:p>
        </w:tc>
        <w:tc>
          <w:tcPr>
            <w:tcW w:w="460" w:type="dxa"/>
            <w:vAlign w:val="bottom"/>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460" w:type="dxa"/>
            <w:vAlign w:val="bottom"/>
            <w:gridSpan w:val="3"/>
          </w:tcPr>
          <w:p>
            <w:pPr>
              <w:jc w:val="center"/>
              <w:ind w:left="62"/>
              <w:spacing w:after="0"/>
              <w:rPr>
                <w:sz w:val="20"/>
                <w:szCs w:val="20"/>
                <w:color w:val="auto"/>
              </w:rPr>
            </w:pPr>
            <w:r>
              <w:rPr>
                <w:rFonts w:ascii="Arial" w:cs="Arial" w:eastAsia="Arial" w:hAnsi="Arial"/>
                <w:sz w:val="18"/>
                <w:szCs w:val="18"/>
                <w:color w:val="0000FF"/>
                <w:w w:val="86"/>
              </w:rPr>
              <w:t>233,444</w:t>
            </w:r>
          </w:p>
        </w:tc>
        <w:tc>
          <w:tcPr>
            <w:tcW w:w="940" w:type="dxa"/>
            <w:vAlign w:val="bottom"/>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24, 2016 and voluntarily reported in a Form 4 filed on February 26, 2016. Such shares of Common Stock were deemed earned on January 29, 2019 based on the Compensation Committee of the Board of Directors administering the award certifying the achievement of performance targets applicable to the PRSUs for the performance period ending on December 31, 2018.</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01/31/2019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2019-12-23T22:10:01Z</dcterms:created>
  <dcterms:modified xsi:type="dcterms:W3CDTF">2019-12-23T22:10:01Z</dcterms:modified>
</cp:coreProperties>
</file>